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0BE0" w14:textId="77777777" w:rsidR="00B90CC2" w:rsidRPr="00B90CC2" w:rsidRDefault="00B90CC2" w:rsidP="00B90CC2">
      <w:pPr>
        <w:spacing w:line="240" w:lineRule="auto"/>
        <w:rPr>
          <w:rFonts w:ascii="Arial" w:hAnsi="Arial" w:cs="Arial"/>
          <w:sz w:val="60"/>
          <w:szCs w:val="60"/>
        </w:rPr>
      </w:pPr>
      <w:r w:rsidRPr="00B90CC2">
        <w:rPr>
          <w:rFonts w:ascii="Arial" w:hAnsi="Arial" w:cs="Arial"/>
          <w:sz w:val="60"/>
          <w:szCs w:val="60"/>
          <w:highlight w:val="yellow"/>
        </w:rPr>
        <w:t>URGENT ACTION</w:t>
      </w:r>
      <w:r w:rsidRPr="00B90CC2">
        <w:rPr>
          <w:rFonts w:ascii="Arial" w:hAnsi="Arial" w:cs="Arial"/>
          <w:sz w:val="60"/>
          <w:szCs w:val="60"/>
        </w:rPr>
        <w:t xml:space="preserve"> </w:t>
      </w:r>
    </w:p>
    <w:p w14:paraId="08A53166" w14:textId="77777777" w:rsidR="00B90CC2" w:rsidRPr="00B90CC2" w:rsidRDefault="00B90CC2" w:rsidP="00B90CC2">
      <w:pPr>
        <w:spacing w:after="0" w:line="240" w:lineRule="auto"/>
        <w:rPr>
          <w:rFonts w:ascii="Arial" w:hAnsi="Arial" w:cs="Arial"/>
          <w:b/>
          <w:bCs/>
          <w:sz w:val="28"/>
          <w:szCs w:val="28"/>
        </w:rPr>
      </w:pPr>
      <w:r w:rsidRPr="00B90CC2">
        <w:rPr>
          <w:rFonts w:ascii="Arial" w:hAnsi="Arial" w:cs="Arial"/>
          <w:b/>
          <w:bCs/>
          <w:sz w:val="28"/>
          <w:szCs w:val="28"/>
        </w:rPr>
        <w:t xml:space="preserve">FINAL APPEAL SCHEDULED IN “CONSPIRACY CASE” </w:t>
      </w:r>
    </w:p>
    <w:p w14:paraId="6B65E320" w14:textId="4469980E" w:rsidR="00B90CC2" w:rsidRPr="00B90CC2" w:rsidRDefault="00416CCD" w:rsidP="00B90CC2">
      <w:pPr>
        <w:spacing w:after="0" w:line="240" w:lineRule="auto"/>
        <w:rPr>
          <w:rFonts w:ascii="Arial" w:hAnsi="Arial" w:cs="Arial"/>
          <w:b/>
          <w:bCs/>
          <w:sz w:val="22"/>
          <w:szCs w:val="22"/>
        </w:rPr>
      </w:pPr>
      <w:r>
        <w:rPr>
          <w:rFonts w:ascii="Arial" w:hAnsi="Arial" w:cs="Arial"/>
          <w:b/>
          <w:bCs/>
          <w:sz w:val="22"/>
          <w:szCs w:val="22"/>
        </w:rPr>
        <w:t>The</w:t>
      </w:r>
      <w:r w:rsidR="00B90CC2" w:rsidRPr="00B90CC2">
        <w:rPr>
          <w:rFonts w:ascii="Arial" w:hAnsi="Arial" w:cs="Arial"/>
          <w:b/>
          <w:bCs/>
          <w:sz w:val="22"/>
          <w:szCs w:val="22"/>
        </w:rPr>
        <w:t xml:space="preserve"> Court of Cassation’s review of the convictions in the “conspiracy case” </w:t>
      </w:r>
      <w:r>
        <w:rPr>
          <w:rFonts w:ascii="Arial" w:hAnsi="Arial" w:cs="Arial"/>
          <w:b/>
          <w:bCs/>
          <w:sz w:val="22"/>
          <w:szCs w:val="22"/>
        </w:rPr>
        <w:t>took</w:t>
      </w:r>
      <w:r w:rsidR="00B90CC2" w:rsidRPr="00B90CC2">
        <w:rPr>
          <w:rFonts w:ascii="Arial" w:hAnsi="Arial" w:cs="Arial"/>
          <w:b/>
          <w:bCs/>
          <w:sz w:val="22"/>
          <w:szCs w:val="22"/>
        </w:rPr>
        <w:t xml:space="preserve"> place on September </w:t>
      </w:r>
      <w:r w:rsidR="002C7CAB" w:rsidRPr="00B90CC2">
        <w:rPr>
          <w:rFonts w:ascii="Arial" w:hAnsi="Arial" w:cs="Arial"/>
          <w:b/>
          <w:bCs/>
          <w:sz w:val="22"/>
          <w:szCs w:val="22"/>
        </w:rPr>
        <w:t>3</w:t>
      </w:r>
      <w:r w:rsidR="002C7CAB">
        <w:rPr>
          <w:rFonts w:ascii="Arial" w:hAnsi="Arial" w:cs="Arial"/>
          <w:b/>
          <w:bCs/>
          <w:sz w:val="22"/>
          <w:szCs w:val="22"/>
        </w:rPr>
        <w:t xml:space="preserve">, </w:t>
      </w:r>
      <w:r w:rsidR="00B90CC2" w:rsidRPr="00B90CC2">
        <w:rPr>
          <w:rFonts w:ascii="Arial" w:hAnsi="Arial" w:cs="Arial"/>
          <w:b/>
          <w:bCs/>
          <w:sz w:val="22"/>
          <w:szCs w:val="22"/>
        </w:rPr>
        <w:t>2026. The conviction in this notorious case has seen prominent opposition figures, human rights defenders</w:t>
      </w:r>
      <w:r w:rsidR="00B733C5">
        <w:rPr>
          <w:rFonts w:ascii="Arial" w:hAnsi="Arial" w:cs="Arial"/>
          <w:b/>
          <w:bCs/>
          <w:sz w:val="22"/>
          <w:szCs w:val="22"/>
        </w:rPr>
        <w:t>,</w:t>
      </w:r>
      <w:r w:rsidR="00B90CC2" w:rsidRPr="00B90CC2">
        <w:rPr>
          <w:rFonts w:ascii="Arial" w:hAnsi="Arial" w:cs="Arial"/>
          <w:b/>
          <w:bCs/>
          <w:sz w:val="22"/>
          <w:szCs w:val="22"/>
        </w:rPr>
        <w:t xml:space="preserve"> and lawyers unjustly imprisoned for up to 45 years. Successive heatwaves in Tunisia, with temperatures above 45°C have further worsened detention conditions in poorly ventilated cells, affecting defendants’ health, particularly that of older detainees such as 82- year-old Ahmed Nejib Chebbi. Urgent action is needed now to call on the Tunisian authorities to immediately quash the unjust convictions and sentences and release all those detained solely for peacefully exercising their human rights. </w:t>
      </w:r>
    </w:p>
    <w:p w14:paraId="1D150D6F" w14:textId="77777777" w:rsidR="00B90CC2" w:rsidRPr="00B90CC2" w:rsidRDefault="00B90CC2" w:rsidP="00B90CC2">
      <w:pPr>
        <w:spacing w:after="0" w:line="240" w:lineRule="auto"/>
        <w:rPr>
          <w:rFonts w:ascii="Arial" w:hAnsi="Arial" w:cs="Arial"/>
          <w:sz w:val="18"/>
          <w:szCs w:val="18"/>
        </w:rPr>
      </w:pPr>
    </w:p>
    <w:p w14:paraId="26911FC1" w14:textId="77777777" w:rsidR="00B90CC2" w:rsidRPr="00B90CC2" w:rsidRDefault="00B90CC2" w:rsidP="00B90CC2">
      <w:pPr>
        <w:pStyle w:val="paragraph"/>
        <w:spacing w:before="0" w:beforeAutospacing="0" w:after="0" w:afterAutospacing="0"/>
        <w:textAlignment w:val="baseline"/>
        <w:rPr>
          <w:rFonts w:ascii="Arial" w:hAnsi="Arial" w:cs="Arial"/>
          <w:sz w:val="20"/>
          <w:szCs w:val="20"/>
        </w:rPr>
      </w:pPr>
      <w:r w:rsidRPr="00B90CC2">
        <w:rPr>
          <w:rFonts w:ascii="Arial" w:hAnsi="Arial" w:cs="Arial"/>
          <w:sz w:val="20"/>
          <w:szCs w:val="20"/>
        </w:rPr>
        <w:t xml:space="preserve">TAKE ACTION: </w:t>
      </w:r>
    </w:p>
    <w:p w14:paraId="287BE79C" w14:textId="77777777" w:rsidR="00B90CC2" w:rsidRPr="00B90CC2" w:rsidRDefault="00B90CC2" w:rsidP="00B90CC2">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B90CC2">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347123DD" w14:textId="5A722708" w:rsidR="00B90CC2" w:rsidRPr="00B90CC2" w:rsidRDefault="00B90CC2" w:rsidP="00B90CC2">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B90CC2">
          <w:rPr>
            <w:rStyle w:val="Hyperlink"/>
            <w:rFonts w:ascii="Arial" w:eastAsiaTheme="majorEastAsia" w:hAnsi="Arial" w:cs="Arial"/>
            <w:sz w:val="20"/>
            <w:szCs w:val="20"/>
          </w:rPr>
          <w:t>Click here</w:t>
        </w:r>
      </w:hyperlink>
      <w:r w:rsidRPr="00B90CC2">
        <w:rPr>
          <w:rStyle w:val="normaltextrun"/>
          <w:rFonts w:ascii="Arial" w:eastAsiaTheme="majorEastAsia" w:hAnsi="Arial" w:cs="Arial"/>
          <w:sz w:val="20"/>
          <w:szCs w:val="20"/>
        </w:rPr>
        <w:t xml:space="preserve"> to report your action(s) on </w:t>
      </w:r>
      <w:r w:rsidRPr="00B90CC2">
        <w:rPr>
          <w:rStyle w:val="normaltextrun"/>
          <w:rFonts w:ascii="Arial" w:eastAsiaTheme="majorEastAsia" w:hAnsi="Arial" w:cs="Arial"/>
          <w:b/>
          <w:bCs/>
          <w:i/>
          <w:iCs/>
          <w:color w:val="000000" w:themeColor="text1"/>
          <w:sz w:val="20"/>
          <w:szCs w:val="20"/>
        </w:rPr>
        <w:t>Se</w:t>
      </w:r>
      <w:r w:rsidRPr="00B90CC2">
        <w:rPr>
          <w:rStyle w:val="normaltextrun"/>
          <w:rFonts w:ascii="Arial" w:eastAsiaTheme="majorEastAsia" w:hAnsi="Arial" w:cs="Arial"/>
          <w:b/>
          <w:bCs/>
          <w:i/>
          <w:iCs/>
          <w:color w:val="000000" w:themeColor="text1"/>
          <w:sz w:val="20"/>
          <w:szCs w:val="20"/>
        </w:rPr>
        <w:t xml:space="preserve">venth </w:t>
      </w:r>
      <w:r w:rsidRPr="00B90CC2">
        <w:rPr>
          <w:rStyle w:val="normaltextrun"/>
          <w:rFonts w:ascii="Arial" w:eastAsiaTheme="majorEastAsia" w:hAnsi="Arial" w:cs="Arial"/>
          <w:b/>
          <w:bCs/>
          <w:i/>
          <w:iCs/>
          <w:color w:val="000000" w:themeColor="text1"/>
          <w:sz w:val="20"/>
          <w:szCs w:val="20"/>
        </w:rPr>
        <w:t xml:space="preserve">UA </w:t>
      </w:r>
      <w:r w:rsidRPr="00B90CC2">
        <w:rPr>
          <w:rStyle w:val="normaltextrun"/>
          <w:rFonts w:ascii="Arial" w:eastAsiaTheme="majorEastAsia" w:hAnsi="Arial" w:cs="Arial"/>
          <w:b/>
          <w:bCs/>
          <w:i/>
          <w:iCs/>
          <w:color w:val="000000" w:themeColor="text1"/>
          <w:sz w:val="20"/>
          <w:szCs w:val="20"/>
        </w:rPr>
        <w:t>52.23</w:t>
      </w:r>
      <w:r w:rsidRPr="00B90CC2">
        <w:rPr>
          <w:rStyle w:val="normaltextrun"/>
          <w:rFonts w:ascii="Arial" w:eastAsiaTheme="majorEastAsia" w:hAnsi="Arial" w:cs="Arial"/>
          <w:sz w:val="20"/>
          <w:szCs w:val="20"/>
        </w:rPr>
        <w:t>. We share this number with the officials we are trying to persuade.</w:t>
      </w:r>
    </w:p>
    <w:p w14:paraId="59D0571A" w14:textId="77777777" w:rsidR="00B90CC2" w:rsidRPr="00B90CC2" w:rsidRDefault="00B90CC2" w:rsidP="00B90CC2">
      <w:pPr>
        <w:spacing w:after="0" w:line="240" w:lineRule="auto"/>
        <w:rPr>
          <w:rFonts w:ascii="Arial" w:hAnsi="Arial" w:cs="Arial"/>
          <w:sz w:val="18"/>
          <w:szCs w:val="18"/>
        </w:rPr>
      </w:pPr>
    </w:p>
    <w:p w14:paraId="445A4D05" w14:textId="77777777" w:rsidR="00B90CC2" w:rsidRPr="00B90CC2" w:rsidRDefault="00B90CC2" w:rsidP="00B90CC2">
      <w:pPr>
        <w:spacing w:after="0" w:line="240" w:lineRule="auto"/>
        <w:rPr>
          <w:rFonts w:ascii="Arial" w:hAnsi="Arial" w:cs="Arial"/>
          <w:b/>
          <w:bCs/>
          <w:sz w:val="20"/>
          <w:szCs w:val="20"/>
        </w:rPr>
        <w:sectPr w:rsidR="00B90CC2" w:rsidRPr="00B90CC2" w:rsidSect="00B90CC2">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68D647CA" w14:textId="08B9C53C" w:rsidR="00B90CC2" w:rsidRPr="00B90CC2" w:rsidRDefault="00B90CC2" w:rsidP="00B90CC2">
      <w:pPr>
        <w:spacing w:after="0" w:line="240" w:lineRule="auto"/>
        <w:rPr>
          <w:rFonts w:ascii="Arial" w:hAnsi="Arial" w:cs="Arial"/>
          <w:b/>
          <w:bCs/>
          <w:sz w:val="20"/>
          <w:szCs w:val="20"/>
        </w:rPr>
      </w:pPr>
      <w:r w:rsidRPr="00B90CC2">
        <w:rPr>
          <w:rFonts w:ascii="Arial" w:hAnsi="Arial" w:cs="Arial"/>
          <w:b/>
          <w:bCs/>
          <w:sz w:val="20"/>
          <w:szCs w:val="20"/>
        </w:rPr>
        <w:t xml:space="preserve">President of the Republic Kais Saied </w:t>
      </w:r>
    </w:p>
    <w:p w14:paraId="5E8EE105" w14:textId="697295F4" w:rsidR="00B90CC2" w:rsidRPr="00B90CC2" w:rsidRDefault="00B90CC2" w:rsidP="00B90CC2">
      <w:pPr>
        <w:spacing w:after="0" w:line="240" w:lineRule="auto"/>
        <w:rPr>
          <w:rFonts w:ascii="Arial" w:hAnsi="Arial" w:cs="Arial"/>
          <w:sz w:val="20"/>
          <w:szCs w:val="20"/>
        </w:rPr>
      </w:pPr>
      <w:r w:rsidRPr="00B90CC2">
        <w:rPr>
          <w:rFonts w:ascii="Arial" w:hAnsi="Arial" w:cs="Arial"/>
          <w:sz w:val="20"/>
          <w:szCs w:val="20"/>
        </w:rPr>
        <w:t xml:space="preserve">Email: </w:t>
      </w:r>
      <w:hyperlink r:id="rId12" w:history="1">
        <w:r w:rsidRPr="00B90CC2">
          <w:rPr>
            <w:rStyle w:val="Hyperlink"/>
            <w:rFonts w:ascii="Arial" w:hAnsi="Arial" w:cs="Arial"/>
            <w:sz w:val="20"/>
            <w:szCs w:val="20"/>
          </w:rPr>
          <w:t>contact@carthage.tn</w:t>
        </w:r>
      </w:hyperlink>
      <w:r w:rsidRPr="00B90CC2">
        <w:rPr>
          <w:rFonts w:ascii="Arial" w:hAnsi="Arial" w:cs="Arial"/>
          <w:sz w:val="20"/>
          <w:szCs w:val="20"/>
        </w:rPr>
        <w:t xml:space="preserve"> </w:t>
      </w:r>
    </w:p>
    <w:p w14:paraId="636CF553" w14:textId="31811207" w:rsidR="00B90CC2" w:rsidRPr="00B90CC2" w:rsidRDefault="00B90CC2" w:rsidP="00B90CC2">
      <w:pPr>
        <w:spacing w:after="0" w:line="240" w:lineRule="auto"/>
        <w:rPr>
          <w:rFonts w:ascii="Arial" w:hAnsi="Arial" w:cs="Arial"/>
          <w:sz w:val="20"/>
          <w:szCs w:val="20"/>
        </w:rPr>
      </w:pPr>
      <w:r w:rsidRPr="00B90CC2">
        <w:rPr>
          <w:rFonts w:ascii="Arial" w:hAnsi="Arial" w:cs="Arial"/>
          <w:sz w:val="20"/>
          <w:szCs w:val="20"/>
        </w:rPr>
        <w:t xml:space="preserve">Facebook: </w:t>
      </w:r>
      <w:hyperlink r:id="rId13" w:history="1">
        <w:r w:rsidRPr="00B90CC2">
          <w:rPr>
            <w:rStyle w:val="Hyperlink"/>
            <w:rFonts w:ascii="Arial" w:hAnsi="Arial" w:cs="Arial"/>
            <w:sz w:val="20"/>
            <w:szCs w:val="20"/>
          </w:rPr>
          <w:t>https://www.facebook.com/Presidence.tn/</w:t>
        </w:r>
      </w:hyperlink>
      <w:r w:rsidRPr="00B90CC2">
        <w:rPr>
          <w:rFonts w:ascii="Arial" w:hAnsi="Arial" w:cs="Arial"/>
          <w:sz w:val="20"/>
          <w:szCs w:val="20"/>
        </w:rPr>
        <w:t xml:space="preserve"> </w:t>
      </w:r>
    </w:p>
    <w:p w14:paraId="13860CF4" w14:textId="1FC509C1" w:rsidR="00B90CC2" w:rsidRPr="00B90CC2" w:rsidRDefault="00B90CC2" w:rsidP="00B90CC2">
      <w:pPr>
        <w:spacing w:after="0" w:line="240" w:lineRule="auto"/>
        <w:rPr>
          <w:rFonts w:ascii="Arial" w:hAnsi="Arial" w:cs="Arial"/>
          <w:sz w:val="20"/>
          <w:szCs w:val="20"/>
        </w:rPr>
      </w:pPr>
      <w:r w:rsidRPr="00B90CC2">
        <w:rPr>
          <w:rFonts w:ascii="Arial" w:hAnsi="Arial" w:cs="Arial"/>
          <w:sz w:val="20"/>
          <w:szCs w:val="20"/>
        </w:rPr>
        <w:t xml:space="preserve">X: @TnPresidency </w:t>
      </w:r>
    </w:p>
    <w:p w14:paraId="3CA307AB" w14:textId="6B669B23" w:rsidR="00B90CC2" w:rsidRPr="00B90CC2" w:rsidRDefault="00B90CC2" w:rsidP="00B90CC2">
      <w:pPr>
        <w:spacing w:after="0" w:line="240" w:lineRule="auto"/>
        <w:jc w:val="right"/>
        <w:rPr>
          <w:rFonts w:ascii="Arial" w:hAnsi="Arial" w:cs="Arial"/>
          <w:b/>
          <w:bCs/>
          <w:sz w:val="20"/>
          <w:szCs w:val="20"/>
        </w:rPr>
      </w:pPr>
      <w:r w:rsidRPr="00B90CC2">
        <w:rPr>
          <w:rFonts w:ascii="Arial" w:hAnsi="Arial" w:cs="Arial"/>
          <w:b/>
          <w:bCs/>
          <w:i/>
          <w:iCs/>
          <w:sz w:val="20"/>
          <w:szCs w:val="20"/>
        </w:rPr>
        <w:br w:type="column"/>
      </w:r>
      <w:r w:rsidRPr="00B90CC2">
        <w:rPr>
          <w:rFonts w:ascii="Arial" w:hAnsi="Arial" w:cs="Arial"/>
          <w:b/>
          <w:bCs/>
          <w:i/>
          <w:iCs/>
          <w:sz w:val="20"/>
          <w:szCs w:val="20"/>
        </w:rPr>
        <w:t>Send a copy of your letter to the address below</w:t>
      </w:r>
      <w:r w:rsidRPr="00B90CC2">
        <w:rPr>
          <w:rFonts w:ascii="Arial" w:hAnsi="Arial" w:cs="Arial"/>
          <w:b/>
          <w:bCs/>
          <w:sz w:val="20"/>
          <w:szCs w:val="20"/>
        </w:rPr>
        <w:t xml:space="preserve"> </w:t>
      </w:r>
    </w:p>
    <w:p w14:paraId="556A09E8" w14:textId="77777777" w:rsidR="00B90CC2" w:rsidRPr="00B90CC2" w:rsidRDefault="00B90CC2" w:rsidP="00B90CC2">
      <w:pPr>
        <w:spacing w:after="0" w:line="240" w:lineRule="auto"/>
        <w:jc w:val="right"/>
        <w:rPr>
          <w:rFonts w:ascii="Arial" w:hAnsi="Arial" w:cs="Arial"/>
          <w:b/>
          <w:bCs/>
          <w:sz w:val="10"/>
          <w:szCs w:val="10"/>
        </w:rPr>
      </w:pPr>
    </w:p>
    <w:p w14:paraId="600ADA80" w14:textId="77777777" w:rsidR="00B90CC2" w:rsidRPr="00B90CC2" w:rsidRDefault="00B90CC2" w:rsidP="00B90CC2">
      <w:pPr>
        <w:spacing w:after="0" w:line="240" w:lineRule="auto"/>
        <w:jc w:val="right"/>
        <w:rPr>
          <w:rFonts w:ascii="Arial" w:hAnsi="Arial" w:cs="Arial"/>
          <w:b/>
          <w:bCs/>
          <w:sz w:val="20"/>
          <w:szCs w:val="20"/>
        </w:rPr>
      </w:pPr>
      <w:r w:rsidRPr="00B90CC2">
        <w:rPr>
          <w:rFonts w:ascii="Arial" w:hAnsi="Arial" w:cs="Arial"/>
          <w:b/>
          <w:bCs/>
          <w:sz w:val="20"/>
          <w:szCs w:val="20"/>
        </w:rPr>
        <w:t>CC: Tunisian Embassy in the United States</w:t>
      </w:r>
    </w:p>
    <w:p w14:paraId="1B6D5CCF" w14:textId="77777777" w:rsidR="00B90CC2" w:rsidRPr="00B90CC2" w:rsidRDefault="00B90CC2" w:rsidP="00B90CC2">
      <w:pPr>
        <w:spacing w:after="0" w:line="240" w:lineRule="auto"/>
        <w:jc w:val="right"/>
        <w:rPr>
          <w:rFonts w:ascii="Arial" w:hAnsi="Arial" w:cs="Arial"/>
          <w:b/>
          <w:bCs/>
          <w:sz w:val="20"/>
          <w:szCs w:val="20"/>
        </w:rPr>
      </w:pPr>
      <w:r w:rsidRPr="00B90CC2">
        <w:rPr>
          <w:rFonts w:ascii="Arial" w:hAnsi="Arial" w:cs="Arial"/>
          <w:b/>
          <w:bCs/>
          <w:sz w:val="20"/>
          <w:szCs w:val="20"/>
        </w:rPr>
        <w:t>Ambassador Hanene Al-</w:t>
      </w:r>
      <w:proofErr w:type="spellStart"/>
      <w:r w:rsidRPr="00B90CC2">
        <w:rPr>
          <w:rFonts w:ascii="Arial" w:hAnsi="Arial" w:cs="Arial"/>
          <w:b/>
          <w:bCs/>
          <w:sz w:val="20"/>
          <w:szCs w:val="20"/>
        </w:rPr>
        <w:t>Tajouri</w:t>
      </w:r>
      <w:proofErr w:type="spellEnd"/>
      <w:r w:rsidRPr="00B90CC2">
        <w:rPr>
          <w:rFonts w:ascii="Arial" w:hAnsi="Arial" w:cs="Arial"/>
          <w:b/>
          <w:bCs/>
          <w:sz w:val="20"/>
          <w:szCs w:val="20"/>
        </w:rPr>
        <w:t xml:space="preserve"> </w:t>
      </w:r>
      <w:proofErr w:type="spellStart"/>
      <w:r w:rsidRPr="00B90CC2">
        <w:rPr>
          <w:rFonts w:ascii="Arial" w:hAnsi="Arial" w:cs="Arial"/>
          <w:b/>
          <w:bCs/>
          <w:sz w:val="20"/>
          <w:szCs w:val="20"/>
        </w:rPr>
        <w:t>Bessassi</w:t>
      </w:r>
      <w:proofErr w:type="spellEnd"/>
    </w:p>
    <w:p w14:paraId="4D8E31C9" w14:textId="77777777" w:rsidR="00B90CC2" w:rsidRPr="00B90CC2" w:rsidRDefault="00B90CC2" w:rsidP="00B90CC2">
      <w:pPr>
        <w:spacing w:after="0" w:line="240" w:lineRule="auto"/>
        <w:jc w:val="right"/>
        <w:rPr>
          <w:rFonts w:ascii="Arial" w:hAnsi="Arial" w:cs="Arial"/>
          <w:sz w:val="20"/>
          <w:szCs w:val="20"/>
        </w:rPr>
      </w:pPr>
      <w:r w:rsidRPr="00B90CC2">
        <w:rPr>
          <w:rFonts w:ascii="Arial" w:hAnsi="Arial" w:cs="Arial"/>
          <w:sz w:val="20"/>
          <w:szCs w:val="20"/>
        </w:rPr>
        <w:t xml:space="preserve">1515 Massachusetts Avenue, NW, </w:t>
      </w:r>
    </w:p>
    <w:p w14:paraId="6318DBE3" w14:textId="77777777" w:rsidR="00B90CC2" w:rsidRPr="00B90CC2" w:rsidRDefault="00B90CC2" w:rsidP="00B90CC2">
      <w:pPr>
        <w:spacing w:after="0" w:line="240" w:lineRule="auto"/>
        <w:jc w:val="right"/>
        <w:rPr>
          <w:rFonts w:ascii="Arial" w:hAnsi="Arial" w:cs="Arial"/>
          <w:sz w:val="20"/>
          <w:szCs w:val="20"/>
        </w:rPr>
      </w:pPr>
      <w:r w:rsidRPr="00B90CC2">
        <w:rPr>
          <w:rFonts w:ascii="Arial" w:hAnsi="Arial" w:cs="Arial"/>
          <w:sz w:val="20"/>
          <w:szCs w:val="20"/>
        </w:rPr>
        <w:t>Washington DC 20005</w:t>
      </w:r>
    </w:p>
    <w:p w14:paraId="4BB87492" w14:textId="77777777" w:rsidR="00B90CC2" w:rsidRPr="00B90CC2" w:rsidRDefault="00B90CC2" w:rsidP="00B90CC2">
      <w:pPr>
        <w:spacing w:after="0" w:line="240" w:lineRule="auto"/>
        <w:jc w:val="right"/>
        <w:rPr>
          <w:rStyle w:val="Hyperlink"/>
          <w:rFonts w:ascii="Arial" w:hAnsi="Arial" w:cs="Arial"/>
          <w:sz w:val="20"/>
          <w:szCs w:val="20"/>
        </w:rPr>
      </w:pPr>
      <w:r w:rsidRPr="00B90CC2">
        <w:rPr>
          <w:rFonts w:ascii="Arial" w:hAnsi="Arial" w:cs="Arial"/>
          <w:sz w:val="20"/>
          <w:szCs w:val="20"/>
        </w:rPr>
        <w:t xml:space="preserve">Email: </w:t>
      </w:r>
      <w:hyperlink r:id="rId14" w:tgtFrame="_blank" w:history="1">
        <w:r w:rsidRPr="00B90CC2">
          <w:rPr>
            <w:rStyle w:val="Hyperlink"/>
            <w:rFonts w:ascii="Arial" w:hAnsi="Arial" w:cs="Arial"/>
            <w:sz w:val="20"/>
            <w:szCs w:val="20"/>
          </w:rPr>
          <w:t>AT.Washington@Tunisianembassy.org</w:t>
        </w:r>
      </w:hyperlink>
    </w:p>
    <w:p w14:paraId="57499341" w14:textId="77777777" w:rsidR="00B90CC2" w:rsidRPr="00B90CC2" w:rsidRDefault="00B90CC2" w:rsidP="00B90CC2">
      <w:pPr>
        <w:spacing w:line="240" w:lineRule="auto"/>
        <w:rPr>
          <w:rFonts w:ascii="Arial" w:hAnsi="Arial" w:cs="Arial"/>
        </w:rPr>
        <w:sectPr w:rsidR="00B90CC2" w:rsidRPr="00B90CC2" w:rsidSect="00B90CC2">
          <w:type w:val="continuous"/>
          <w:pgSz w:w="12240" w:h="15840"/>
          <w:pgMar w:top="720" w:right="720" w:bottom="2160" w:left="720" w:header="720" w:footer="720" w:gutter="0"/>
          <w:cols w:num="2" w:space="720"/>
          <w:docGrid w:linePitch="360"/>
        </w:sectPr>
      </w:pPr>
    </w:p>
    <w:p w14:paraId="0B07F220" w14:textId="77777777" w:rsidR="00B90CC2" w:rsidRPr="00B90CC2" w:rsidRDefault="00B90CC2" w:rsidP="00B90CC2">
      <w:pPr>
        <w:spacing w:line="240" w:lineRule="auto"/>
        <w:rPr>
          <w:rFonts w:ascii="Arial" w:hAnsi="Arial" w:cs="Arial"/>
        </w:rPr>
      </w:pPr>
      <w:r w:rsidRPr="00B90CC2">
        <w:rPr>
          <w:rFonts w:ascii="Arial" w:hAnsi="Arial" w:cs="Arial"/>
        </w:rPr>
        <w:t xml:space="preserve">Your Excellency, </w:t>
      </w:r>
    </w:p>
    <w:p w14:paraId="5E508AA1" w14:textId="5D1332DF" w:rsidR="00B90CC2" w:rsidRPr="00B90CC2" w:rsidRDefault="00B90CC2" w:rsidP="00B90CC2">
      <w:pPr>
        <w:spacing w:line="240" w:lineRule="auto"/>
        <w:rPr>
          <w:rFonts w:ascii="Arial" w:hAnsi="Arial" w:cs="Arial"/>
        </w:rPr>
      </w:pPr>
      <w:r w:rsidRPr="00B90CC2">
        <w:rPr>
          <w:rFonts w:ascii="Arial" w:hAnsi="Arial" w:cs="Arial"/>
        </w:rPr>
        <w:t xml:space="preserve">I am </w:t>
      </w:r>
      <w:r w:rsidR="00B733C5">
        <w:rPr>
          <w:rFonts w:ascii="Arial" w:hAnsi="Arial" w:cs="Arial"/>
        </w:rPr>
        <w:t>writing about the</w:t>
      </w:r>
      <w:r w:rsidRPr="00B90CC2">
        <w:rPr>
          <w:rFonts w:ascii="Arial" w:hAnsi="Arial" w:cs="Arial"/>
        </w:rPr>
        <w:t xml:space="preserve"> Court of Cassation hearing </w:t>
      </w:r>
      <w:r w:rsidR="00B733C5">
        <w:rPr>
          <w:rFonts w:ascii="Arial" w:hAnsi="Arial" w:cs="Arial"/>
        </w:rPr>
        <w:t xml:space="preserve">that was </w:t>
      </w:r>
      <w:r w:rsidRPr="00B90CC2">
        <w:rPr>
          <w:rFonts w:ascii="Arial" w:hAnsi="Arial" w:cs="Arial"/>
        </w:rPr>
        <w:t>scheduled for September</w:t>
      </w:r>
      <w:r w:rsidR="00B733C5">
        <w:rPr>
          <w:rFonts w:ascii="Arial" w:hAnsi="Arial" w:cs="Arial"/>
        </w:rPr>
        <w:t xml:space="preserve"> </w:t>
      </w:r>
      <w:r w:rsidR="00B733C5" w:rsidRPr="00B90CC2">
        <w:rPr>
          <w:rFonts w:ascii="Arial" w:hAnsi="Arial" w:cs="Arial"/>
        </w:rPr>
        <w:t>3</w:t>
      </w:r>
      <w:r w:rsidRPr="00B90CC2">
        <w:rPr>
          <w:rFonts w:ascii="Arial" w:hAnsi="Arial" w:cs="Arial"/>
        </w:rPr>
        <w:t xml:space="preserve"> in the politically motivated “conspiracy case” which saw prominent opposition figures, human rights defenders</w:t>
      </w:r>
      <w:r w:rsidR="00B733C5">
        <w:rPr>
          <w:rFonts w:ascii="Arial" w:hAnsi="Arial" w:cs="Arial"/>
        </w:rPr>
        <w:t>,</w:t>
      </w:r>
      <w:r w:rsidRPr="00B90CC2">
        <w:rPr>
          <w:rFonts w:ascii="Arial" w:hAnsi="Arial" w:cs="Arial"/>
        </w:rPr>
        <w:t xml:space="preserve"> and lawyers convicted after unfair trials. On November </w:t>
      </w:r>
      <w:r w:rsidR="00A62D9B" w:rsidRPr="00B90CC2">
        <w:rPr>
          <w:rFonts w:ascii="Arial" w:hAnsi="Arial" w:cs="Arial"/>
        </w:rPr>
        <w:t>27</w:t>
      </w:r>
      <w:r w:rsidR="00A62D9B">
        <w:rPr>
          <w:rFonts w:ascii="Arial" w:hAnsi="Arial" w:cs="Arial"/>
        </w:rPr>
        <w:t xml:space="preserve">, </w:t>
      </w:r>
      <w:r w:rsidRPr="00B90CC2">
        <w:rPr>
          <w:rFonts w:ascii="Arial" w:hAnsi="Arial" w:cs="Arial"/>
        </w:rPr>
        <w:t xml:space="preserve">2025, the Tunis Court of Appeal upheld the convictions of 34 defendants and imposed prison sentences ranging from five to 45 years, following proceedings marred by serious violations of fair-trial rights. Those imprisoned include </w:t>
      </w:r>
      <w:r w:rsidRPr="00A62D9B">
        <w:rPr>
          <w:rFonts w:ascii="Arial" w:hAnsi="Arial" w:cs="Arial"/>
          <w:b/>
          <w:bCs/>
        </w:rPr>
        <w:t>Ayachi Hammami</w:t>
      </w:r>
      <w:r w:rsidRPr="00B90CC2">
        <w:rPr>
          <w:rFonts w:ascii="Arial" w:hAnsi="Arial" w:cs="Arial"/>
        </w:rPr>
        <w:t xml:space="preserve">, </w:t>
      </w:r>
      <w:r w:rsidRPr="00A62D9B">
        <w:rPr>
          <w:rFonts w:ascii="Arial" w:hAnsi="Arial" w:cs="Arial"/>
          <w:b/>
          <w:bCs/>
        </w:rPr>
        <w:t>Chaima Issa</w:t>
      </w:r>
      <w:r w:rsidRPr="00B90CC2">
        <w:rPr>
          <w:rFonts w:ascii="Arial" w:hAnsi="Arial" w:cs="Arial"/>
        </w:rPr>
        <w:t xml:space="preserve">, </w:t>
      </w:r>
      <w:r w:rsidRPr="00A62D9B">
        <w:rPr>
          <w:rFonts w:ascii="Arial" w:hAnsi="Arial" w:cs="Arial"/>
          <w:b/>
          <w:bCs/>
        </w:rPr>
        <w:t>Ahmed Nejib Chebbi</w:t>
      </w:r>
      <w:r w:rsidRPr="00B90CC2">
        <w:rPr>
          <w:rFonts w:ascii="Arial" w:hAnsi="Arial" w:cs="Arial"/>
        </w:rPr>
        <w:t xml:space="preserve">, </w:t>
      </w:r>
      <w:proofErr w:type="spellStart"/>
      <w:r w:rsidRPr="00A62D9B">
        <w:rPr>
          <w:rFonts w:ascii="Arial" w:hAnsi="Arial" w:cs="Arial"/>
          <w:b/>
          <w:bCs/>
        </w:rPr>
        <w:t>Jaouhar</w:t>
      </w:r>
      <w:proofErr w:type="spellEnd"/>
      <w:r w:rsidRPr="00A62D9B">
        <w:rPr>
          <w:rFonts w:ascii="Arial" w:hAnsi="Arial" w:cs="Arial"/>
          <w:b/>
          <w:bCs/>
        </w:rPr>
        <w:t xml:space="preserve"> Ben Mbarek</w:t>
      </w:r>
      <w:r w:rsidRPr="00B90CC2">
        <w:rPr>
          <w:rFonts w:ascii="Arial" w:hAnsi="Arial" w:cs="Arial"/>
        </w:rPr>
        <w:t xml:space="preserve">, </w:t>
      </w:r>
      <w:r w:rsidRPr="00A62D9B">
        <w:rPr>
          <w:rFonts w:ascii="Arial" w:hAnsi="Arial" w:cs="Arial"/>
          <w:b/>
          <w:bCs/>
        </w:rPr>
        <w:t>Issam Chebbi</w:t>
      </w:r>
      <w:r w:rsidRPr="00B90CC2">
        <w:rPr>
          <w:rFonts w:ascii="Arial" w:hAnsi="Arial" w:cs="Arial"/>
        </w:rPr>
        <w:t xml:space="preserve">, </w:t>
      </w:r>
      <w:r w:rsidRPr="00A62D9B">
        <w:rPr>
          <w:rFonts w:ascii="Arial" w:hAnsi="Arial" w:cs="Arial"/>
          <w:b/>
          <w:bCs/>
        </w:rPr>
        <w:t xml:space="preserve">Ghazi </w:t>
      </w:r>
      <w:proofErr w:type="spellStart"/>
      <w:r w:rsidRPr="00A62D9B">
        <w:rPr>
          <w:rFonts w:ascii="Arial" w:hAnsi="Arial" w:cs="Arial"/>
          <w:b/>
          <w:bCs/>
        </w:rPr>
        <w:t>Chaouachi</w:t>
      </w:r>
      <w:proofErr w:type="spellEnd"/>
      <w:r w:rsidRPr="00B90CC2">
        <w:rPr>
          <w:rFonts w:ascii="Arial" w:hAnsi="Arial" w:cs="Arial"/>
        </w:rPr>
        <w:t xml:space="preserve">, </w:t>
      </w:r>
      <w:r w:rsidRPr="00A62D9B">
        <w:rPr>
          <w:rFonts w:ascii="Arial" w:hAnsi="Arial" w:cs="Arial"/>
          <w:b/>
          <w:bCs/>
        </w:rPr>
        <w:t>Ridha Belhaj</w:t>
      </w:r>
      <w:r w:rsidRPr="00B90CC2">
        <w:rPr>
          <w:rFonts w:ascii="Arial" w:hAnsi="Arial" w:cs="Arial"/>
        </w:rPr>
        <w:t xml:space="preserve">, </w:t>
      </w:r>
      <w:r w:rsidRPr="00A62D9B">
        <w:rPr>
          <w:rFonts w:ascii="Arial" w:hAnsi="Arial" w:cs="Arial"/>
          <w:b/>
          <w:bCs/>
        </w:rPr>
        <w:t>Khayam Turki</w:t>
      </w:r>
      <w:r w:rsidR="00A62D9B">
        <w:rPr>
          <w:rFonts w:ascii="Arial" w:hAnsi="Arial" w:cs="Arial"/>
        </w:rPr>
        <w:t xml:space="preserve">, </w:t>
      </w:r>
      <w:r w:rsidRPr="00B90CC2">
        <w:rPr>
          <w:rFonts w:ascii="Arial" w:hAnsi="Arial" w:cs="Arial"/>
        </w:rPr>
        <w:t xml:space="preserve">and </w:t>
      </w:r>
      <w:r w:rsidRPr="00A62D9B">
        <w:rPr>
          <w:rFonts w:ascii="Arial" w:hAnsi="Arial" w:cs="Arial"/>
          <w:b/>
          <w:bCs/>
        </w:rPr>
        <w:t>Abdelhamid Jelassi</w:t>
      </w:r>
      <w:r w:rsidRPr="00B90CC2">
        <w:rPr>
          <w:rFonts w:ascii="Arial" w:hAnsi="Arial" w:cs="Arial"/>
        </w:rPr>
        <w:t xml:space="preserve">. </w:t>
      </w:r>
    </w:p>
    <w:p w14:paraId="6E386EE2" w14:textId="52107E90" w:rsidR="00B90CC2" w:rsidRPr="00B90CC2" w:rsidRDefault="00B90CC2" w:rsidP="00B90CC2">
      <w:pPr>
        <w:spacing w:line="240" w:lineRule="auto"/>
        <w:rPr>
          <w:rFonts w:ascii="Arial" w:hAnsi="Arial" w:cs="Arial"/>
        </w:rPr>
      </w:pPr>
      <w:r w:rsidRPr="00B90CC2">
        <w:rPr>
          <w:rFonts w:ascii="Arial" w:hAnsi="Arial" w:cs="Arial"/>
        </w:rPr>
        <w:t xml:space="preserve">The continued imprisonment of the defendants is taking a severe toll on their health and well-being. The summer months have been particularly harsh for those detained with heatwaves of over 45 °C worsening conditions in poorly ventilated prison cells and exacerbating medical conditions. </w:t>
      </w:r>
    </w:p>
    <w:p w14:paraId="333341B5" w14:textId="1D383502" w:rsidR="00B90CC2" w:rsidRPr="00B90CC2" w:rsidRDefault="00B90CC2" w:rsidP="00B90CC2">
      <w:pPr>
        <w:spacing w:line="240" w:lineRule="auto"/>
        <w:rPr>
          <w:rFonts w:ascii="Arial" w:hAnsi="Arial" w:cs="Arial"/>
        </w:rPr>
      </w:pPr>
      <w:r w:rsidRPr="00B90CC2">
        <w:rPr>
          <w:rFonts w:ascii="Arial" w:hAnsi="Arial" w:cs="Arial"/>
        </w:rPr>
        <w:t>I urge you to quash the unjust convictions and sentences of all defendants and to immediately and unconditionally release those who are detained solely for the peaceful exercise of their human rights. Pending their release, ensure that all detained defendants are held in conditions that comply with international standards and have regular access to their families, lawyers</w:t>
      </w:r>
      <w:r w:rsidR="004668F4">
        <w:rPr>
          <w:rFonts w:ascii="Arial" w:hAnsi="Arial" w:cs="Arial"/>
        </w:rPr>
        <w:t>,</w:t>
      </w:r>
      <w:r w:rsidRPr="00B90CC2">
        <w:rPr>
          <w:rFonts w:ascii="Arial" w:hAnsi="Arial" w:cs="Arial"/>
        </w:rPr>
        <w:t xml:space="preserve"> and adequate and timely healthcare. </w:t>
      </w:r>
    </w:p>
    <w:p w14:paraId="2F947330" w14:textId="77777777" w:rsidR="00B90CC2" w:rsidRPr="00B90CC2" w:rsidRDefault="00B90CC2" w:rsidP="00B90CC2">
      <w:pPr>
        <w:spacing w:line="240" w:lineRule="auto"/>
        <w:rPr>
          <w:rFonts w:ascii="Arial" w:hAnsi="Arial" w:cs="Arial"/>
        </w:rPr>
      </w:pPr>
      <w:r w:rsidRPr="00B90CC2">
        <w:rPr>
          <w:rFonts w:ascii="Arial" w:hAnsi="Arial" w:cs="Arial"/>
        </w:rPr>
        <w:t xml:space="preserve">Yours sincerely, </w:t>
      </w:r>
    </w:p>
    <w:p w14:paraId="32853AF6" w14:textId="77777777" w:rsidR="00E86965" w:rsidRDefault="00E86965">
      <w:pPr>
        <w:rPr>
          <w:rFonts w:ascii="Arial" w:hAnsi="Arial" w:cs="Arial"/>
          <w:b/>
          <w:bCs/>
          <w:highlight w:val="lightGray"/>
        </w:rPr>
      </w:pPr>
      <w:r>
        <w:rPr>
          <w:rFonts w:ascii="Arial" w:hAnsi="Arial" w:cs="Arial"/>
          <w:b/>
          <w:bCs/>
          <w:highlight w:val="lightGray"/>
        </w:rPr>
        <w:br w:type="page"/>
      </w:r>
    </w:p>
    <w:p w14:paraId="2BA7C8C7" w14:textId="5DD43F17" w:rsidR="00B90CC2" w:rsidRPr="00B90CC2" w:rsidRDefault="00B90CC2" w:rsidP="00B90CC2">
      <w:pPr>
        <w:spacing w:after="0" w:line="240" w:lineRule="auto"/>
        <w:rPr>
          <w:rFonts w:ascii="Arial" w:hAnsi="Arial" w:cs="Arial"/>
          <w:b/>
          <w:bCs/>
        </w:rPr>
      </w:pPr>
      <w:r w:rsidRPr="00B90CC2">
        <w:rPr>
          <w:rFonts w:ascii="Arial" w:hAnsi="Arial" w:cs="Arial"/>
          <w:b/>
          <w:bCs/>
          <w:highlight w:val="lightGray"/>
        </w:rPr>
        <w:lastRenderedPageBreak/>
        <w:t>ADDITIONAL INFORMATION</w:t>
      </w:r>
      <w:r w:rsidRPr="00B90CC2">
        <w:rPr>
          <w:rFonts w:ascii="Arial" w:hAnsi="Arial" w:cs="Arial"/>
          <w:b/>
          <w:bCs/>
        </w:rPr>
        <w:t xml:space="preserve"> </w:t>
      </w:r>
    </w:p>
    <w:p w14:paraId="15C6DA52" w14:textId="77777777" w:rsidR="00B90CC2" w:rsidRPr="00B90CC2" w:rsidRDefault="00B90CC2" w:rsidP="00B90CC2">
      <w:pPr>
        <w:spacing w:after="0" w:line="240" w:lineRule="auto"/>
        <w:rPr>
          <w:rFonts w:ascii="Arial" w:hAnsi="Arial" w:cs="Arial"/>
        </w:rPr>
      </w:pPr>
      <w:r w:rsidRPr="00B90CC2">
        <w:rPr>
          <w:rFonts w:ascii="Arial" w:hAnsi="Arial" w:cs="Arial"/>
        </w:rPr>
        <w:t xml:space="preserve">The “conspiracy case” in Tunisia involves the prosecution of </w:t>
      </w:r>
      <w:r w:rsidRPr="00E86965">
        <w:rPr>
          <w:rFonts w:ascii="Arial" w:hAnsi="Arial" w:cs="Arial"/>
          <w:b/>
          <w:bCs/>
        </w:rPr>
        <w:t>37 opposition figures, lawyers, and activists</w:t>
      </w:r>
      <w:r w:rsidRPr="00B90CC2">
        <w:rPr>
          <w:rFonts w:ascii="Arial" w:hAnsi="Arial" w:cs="Arial"/>
        </w:rPr>
        <w:t xml:space="preserve"> on politically motivated charges, primarily “conspiracy against state security,” which carry severe prison sentence with them. </w:t>
      </w:r>
    </w:p>
    <w:p w14:paraId="385E8345" w14:textId="77777777" w:rsidR="00B90CC2" w:rsidRPr="00B90CC2" w:rsidRDefault="00B90CC2" w:rsidP="00B90CC2">
      <w:pPr>
        <w:spacing w:after="0" w:line="240" w:lineRule="auto"/>
        <w:rPr>
          <w:rFonts w:ascii="Arial" w:hAnsi="Arial" w:cs="Arial"/>
          <w:sz w:val="18"/>
          <w:szCs w:val="18"/>
        </w:rPr>
      </w:pPr>
    </w:p>
    <w:p w14:paraId="295D2451" w14:textId="3867550E" w:rsidR="00B90CC2" w:rsidRPr="00B90CC2" w:rsidRDefault="00B90CC2" w:rsidP="00B90CC2">
      <w:pPr>
        <w:spacing w:after="0" w:line="240" w:lineRule="auto"/>
        <w:rPr>
          <w:rFonts w:ascii="Arial" w:hAnsi="Arial" w:cs="Arial"/>
        </w:rPr>
      </w:pPr>
      <w:r w:rsidRPr="00B90CC2">
        <w:rPr>
          <w:rFonts w:ascii="Arial" w:hAnsi="Arial" w:cs="Arial"/>
        </w:rPr>
        <w:t>In April 2025, the Tunis Court of First Instance handed down harsh prison terms, ranging from four to 66 years, following a trial widely condemned for its grave fair trial violations, lack of transparency</w:t>
      </w:r>
      <w:r w:rsidR="009D14C7">
        <w:rPr>
          <w:rFonts w:ascii="Arial" w:hAnsi="Arial" w:cs="Arial"/>
        </w:rPr>
        <w:t>,</w:t>
      </w:r>
      <w:r w:rsidRPr="00B90CC2">
        <w:rPr>
          <w:rFonts w:ascii="Arial" w:hAnsi="Arial" w:cs="Arial"/>
        </w:rPr>
        <w:t xml:space="preserve"> and executive interference. Defendants were not allowed to be present for their trial, based on the court’s decision to hold all terrorism trials remotely since April 2024. Evidence was neither publicly presented nor subjected to cross-examination, and access to the courtroom was denied to several independent journalists, civil society representatives, and members of the diplomatic community. The defendants were not allowed to attend in person, were not allowed to speak, and their lawyers were not given the opportunity to present their arguments before the court delivered its verdicts. Those sentenced included political opposition activists from across the political spectrum, businessman, lawyers, human rights defenders</w:t>
      </w:r>
      <w:r w:rsidR="00387254">
        <w:rPr>
          <w:rFonts w:ascii="Arial" w:hAnsi="Arial" w:cs="Arial"/>
        </w:rPr>
        <w:t>,</w:t>
      </w:r>
      <w:r w:rsidRPr="00B90CC2">
        <w:rPr>
          <w:rFonts w:ascii="Arial" w:hAnsi="Arial" w:cs="Arial"/>
        </w:rPr>
        <w:t xml:space="preserve"> and activists over two years after the investigation started in February 2023. The defendants were sentenced based on unfounded charges of conspiracy under 10 provisions of the Tunisian Penal Code including Article 72, which mandates the death penalty for trying to “change the nature of the state.” They were also sentenced on bogus terrorism related charges under the 2015 counterterrorism law including Article 32, which mandates up to 20 years of imprisonment for "forming a terrorist organization". The charges and evidence presented were based solely on the defendants’ involvement in organizing political opposition or meetings including with foreign nationals</w:t>
      </w:r>
      <w:r w:rsidR="00387254">
        <w:rPr>
          <w:rFonts w:ascii="Arial" w:hAnsi="Arial" w:cs="Arial"/>
        </w:rPr>
        <w:t>.</w:t>
      </w:r>
    </w:p>
    <w:p w14:paraId="412C3DDC" w14:textId="77777777" w:rsidR="00B90CC2" w:rsidRPr="00B90CC2" w:rsidRDefault="00B90CC2" w:rsidP="00B90CC2">
      <w:pPr>
        <w:spacing w:after="0" w:line="240" w:lineRule="auto"/>
        <w:rPr>
          <w:rFonts w:ascii="Arial" w:hAnsi="Arial" w:cs="Arial"/>
          <w:sz w:val="18"/>
          <w:szCs w:val="18"/>
        </w:rPr>
      </w:pPr>
    </w:p>
    <w:p w14:paraId="1FBC5AF6" w14:textId="60359CAF" w:rsidR="00B90CC2" w:rsidRPr="00B90CC2" w:rsidRDefault="00B90CC2" w:rsidP="00B90CC2">
      <w:pPr>
        <w:spacing w:after="0" w:line="240" w:lineRule="auto"/>
        <w:rPr>
          <w:rFonts w:ascii="Arial" w:hAnsi="Arial" w:cs="Arial"/>
        </w:rPr>
      </w:pPr>
      <w:r w:rsidRPr="00B90CC2">
        <w:rPr>
          <w:rFonts w:ascii="Arial" w:hAnsi="Arial" w:cs="Arial"/>
        </w:rPr>
        <w:t xml:space="preserve">Authorities had arbitrarily detained eight of the defendants in pre-trial detention since their arrest in February 2023 exceeding the legal limit of 14 months set out in the Code of Criminal Procedure: including politician </w:t>
      </w:r>
      <w:r w:rsidRPr="00CA043B">
        <w:rPr>
          <w:rFonts w:ascii="Arial" w:hAnsi="Arial" w:cs="Arial"/>
          <w:b/>
          <w:bCs/>
        </w:rPr>
        <w:t>Khayyam Turki</w:t>
      </w:r>
      <w:r w:rsidRPr="00B90CC2">
        <w:rPr>
          <w:rFonts w:ascii="Arial" w:hAnsi="Arial" w:cs="Arial"/>
        </w:rPr>
        <w:t xml:space="preserve">, businessman </w:t>
      </w:r>
      <w:r w:rsidRPr="00CA043B">
        <w:rPr>
          <w:rFonts w:ascii="Arial" w:hAnsi="Arial" w:cs="Arial"/>
          <w:b/>
          <w:bCs/>
        </w:rPr>
        <w:t xml:space="preserve">Kamel </w:t>
      </w:r>
      <w:proofErr w:type="spellStart"/>
      <w:r w:rsidRPr="00CA043B">
        <w:rPr>
          <w:rFonts w:ascii="Arial" w:hAnsi="Arial" w:cs="Arial"/>
          <w:b/>
          <w:bCs/>
        </w:rPr>
        <w:t>Ltaeif</w:t>
      </w:r>
      <w:proofErr w:type="spellEnd"/>
      <w:r w:rsidRPr="00B90CC2">
        <w:rPr>
          <w:rFonts w:ascii="Arial" w:hAnsi="Arial" w:cs="Arial"/>
        </w:rPr>
        <w:t xml:space="preserve">; politician </w:t>
      </w:r>
      <w:r w:rsidRPr="00CA043B">
        <w:rPr>
          <w:rFonts w:ascii="Arial" w:hAnsi="Arial" w:cs="Arial"/>
          <w:b/>
          <w:bCs/>
        </w:rPr>
        <w:t>Abdelhamid Jelassi</w:t>
      </w:r>
      <w:r w:rsidRPr="00B90CC2">
        <w:rPr>
          <w:rFonts w:ascii="Arial" w:hAnsi="Arial" w:cs="Arial"/>
        </w:rPr>
        <w:t xml:space="preserve">; opposition activist </w:t>
      </w:r>
      <w:r w:rsidRPr="00CA043B">
        <w:rPr>
          <w:rFonts w:ascii="Arial" w:hAnsi="Arial" w:cs="Arial"/>
          <w:b/>
          <w:bCs/>
        </w:rPr>
        <w:t>Issam Chebbi</w:t>
      </w:r>
      <w:r w:rsidRPr="00B90CC2">
        <w:rPr>
          <w:rFonts w:ascii="Arial" w:hAnsi="Arial" w:cs="Arial"/>
        </w:rPr>
        <w:t xml:space="preserve">; opposition activist </w:t>
      </w:r>
      <w:r w:rsidRPr="00CA043B">
        <w:rPr>
          <w:rFonts w:ascii="Arial" w:hAnsi="Arial" w:cs="Arial"/>
          <w:b/>
          <w:bCs/>
        </w:rPr>
        <w:t>Jaouhar Ben</w:t>
      </w:r>
      <w:r w:rsidRPr="00B90CC2">
        <w:rPr>
          <w:rFonts w:ascii="Arial" w:hAnsi="Arial" w:cs="Arial"/>
        </w:rPr>
        <w:t xml:space="preserve">; and lawyers and political activists </w:t>
      </w:r>
      <w:r w:rsidRPr="00CA043B">
        <w:rPr>
          <w:rFonts w:ascii="Arial" w:hAnsi="Arial" w:cs="Arial"/>
          <w:b/>
          <w:bCs/>
        </w:rPr>
        <w:t xml:space="preserve">Ghazi </w:t>
      </w:r>
      <w:proofErr w:type="spellStart"/>
      <w:r w:rsidRPr="00CA043B">
        <w:rPr>
          <w:rFonts w:ascii="Arial" w:hAnsi="Arial" w:cs="Arial"/>
          <w:b/>
          <w:bCs/>
        </w:rPr>
        <w:t>Chaouachi</w:t>
      </w:r>
      <w:proofErr w:type="spellEnd"/>
      <w:r w:rsidRPr="00B90CC2">
        <w:rPr>
          <w:rFonts w:ascii="Arial" w:hAnsi="Arial" w:cs="Arial"/>
        </w:rPr>
        <w:t xml:space="preserve"> and </w:t>
      </w:r>
      <w:r w:rsidRPr="00CA043B">
        <w:rPr>
          <w:rFonts w:ascii="Arial" w:hAnsi="Arial" w:cs="Arial"/>
          <w:b/>
          <w:bCs/>
        </w:rPr>
        <w:t>Ridha Belhaj</w:t>
      </w:r>
      <w:r w:rsidRPr="00B90CC2">
        <w:rPr>
          <w:rFonts w:ascii="Arial" w:hAnsi="Arial" w:cs="Arial"/>
        </w:rPr>
        <w:t xml:space="preserve">. Security forces arrested </w:t>
      </w:r>
      <w:r w:rsidRPr="00404FF1">
        <w:rPr>
          <w:rFonts w:ascii="Arial" w:hAnsi="Arial" w:cs="Arial"/>
          <w:b/>
          <w:bCs/>
        </w:rPr>
        <w:t>Chaima Issa</w:t>
      </w:r>
      <w:r w:rsidRPr="00B90CC2">
        <w:rPr>
          <w:rFonts w:ascii="Arial" w:hAnsi="Arial" w:cs="Arial"/>
        </w:rPr>
        <w:t xml:space="preserve"> and </w:t>
      </w:r>
      <w:proofErr w:type="spellStart"/>
      <w:r w:rsidRPr="00404FF1">
        <w:rPr>
          <w:rFonts w:ascii="Arial" w:hAnsi="Arial" w:cs="Arial"/>
          <w:b/>
          <w:bCs/>
        </w:rPr>
        <w:t>Lazhar</w:t>
      </w:r>
      <w:proofErr w:type="spellEnd"/>
      <w:r w:rsidRPr="00404FF1">
        <w:rPr>
          <w:rFonts w:ascii="Arial" w:hAnsi="Arial" w:cs="Arial"/>
          <w:b/>
          <w:bCs/>
        </w:rPr>
        <w:t xml:space="preserve"> Akremi</w:t>
      </w:r>
      <w:r w:rsidRPr="00B90CC2">
        <w:rPr>
          <w:rFonts w:ascii="Arial" w:hAnsi="Arial" w:cs="Arial"/>
        </w:rPr>
        <w:t xml:space="preserve"> in February 2023, but they were provisionally released on July </w:t>
      </w:r>
      <w:r w:rsidR="00404FF1" w:rsidRPr="00B90CC2">
        <w:rPr>
          <w:rFonts w:ascii="Arial" w:hAnsi="Arial" w:cs="Arial"/>
        </w:rPr>
        <w:t>13</w:t>
      </w:r>
      <w:r w:rsidR="00404FF1">
        <w:rPr>
          <w:rFonts w:ascii="Arial" w:hAnsi="Arial" w:cs="Arial"/>
        </w:rPr>
        <w:t xml:space="preserve">, </w:t>
      </w:r>
      <w:r w:rsidR="00404FF1" w:rsidRPr="00B90CC2">
        <w:rPr>
          <w:rFonts w:ascii="Arial" w:hAnsi="Arial" w:cs="Arial"/>
        </w:rPr>
        <w:t>2023,</w:t>
      </w:r>
      <w:r w:rsidRPr="00B90CC2">
        <w:rPr>
          <w:rFonts w:ascii="Arial" w:hAnsi="Arial" w:cs="Arial"/>
        </w:rPr>
        <w:t xml:space="preserve"> after nearly five months of arbitrary detention. Following their release, authorities banned them from traveling abroad and “appearing in public spaces”. </w:t>
      </w:r>
    </w:p>
    <w:p w14:paraId="7AE83BD7" w14:textId="77777777" w:rsidR="00B90CC2" w:rsidRPr="00B90CC2" w:rsidRDefault="00B90CC2" w:rsidP="00B90CC2">
      <w:pPr>
        <w:spacing w:after="0" w:line="240" w:lineRule="auto"/>
        <w:rPr>
          <w:rFonts w:ascii="Arial" w:hAnsi="Arial" w:cs="Arial"/>
          <w:sz w:val="18"/>
          <w:szCs w:val="18"/>
        </w:rPr>
      </w:pPr>
    </w:p>
    <w:p w14:paraId="66F041C3" w14:textId="2F7C6CA3" w:rsidR="00B90CC2" w:rsidRPr="00B90CC2" w:rsidRDefault="00B90CC2" w:rsidP="00B90CC2">
      <w:pPr>
        <w:spacing w:after="0" w:line="240" w:lineRule="auto"/>
        <w:rPr>
          <w:rFonts w:ascii="Arial" w:hAnsi="Arial" w:cs="Arial"/>
        </w:rPr>
      </w:pPr>
      <w:r w:rsidRPr="00B90CC2">
        <w:rPr>
          <w:rFonts w:ascii="Arial" w:hAnsi="Arial" w:cs="Arial"/>
        </w:rPr>
        <w:t xml:space="preserve">On February </w:t>
      </w:r>
      <w:r w:rsidR="00E96B9E" w:rsidRPr="00B90CC2">
        <w:rPr>
          <w:rFonts w:ascii="Arial" w:hAnsi="Arial" w:cs="Arial"/>
        </w:rPr>
        <w:t>22</w:t>
      </w:r>
      <w:r w:rsidR="00E96B9E">
        <w:rPr>
          <w:rFonts w:ascii="Arial" w:hAnsi="Arial" w:cs="Arial"/>
        </w:rPr>
        <w:t xml:space="preserve">, </w:t>
      </w:r>
      <w:r w:rsidRPr="00B90CC2">
        <w:rPr>
          <w:rFonts w:ascii="Arial" w:hAnsi="Arial" w:cs="Arial"/>
        </w:rPr>
        <w:t xml:space="preserve">2023, President Saied </w:t>
      </w:r>
      <w:hyperlink r:id="rId15" w:history="1">
        <w:r w:rsidRPr="00B90CC2">
          <w:rPr>
            <w:rStyle w:val="Hyperlink"/>
            <w:rFonts w:ascii="Arial" w:hAnsi="Arial" w:cs="Arial"/>
          </w:rPr>
          <w:t>declared</w:t>
        </w:r>
      </w:hyperlink>
      <w:r w:rsidRPr="00B90CC2">
        <w:rPr>
          <w:rFonts w:ascii="Arial" w:hAnsi="Arial" w:cs="Arial"/>
        </w:rPr>
        <w:t xml:space="preserve"> that anyone who “dared to exonerate” what he described as “criminal networks” was, in essence, an “accomplice.” This statement, coupled with the president’s </w:t>
      </w:r>
      <w:hyperlink r:id="rId16" w:history="1">
        <w:r w:rsidRPr="00B90CC2">
          <w:rPr>
            <w:rStyle w:val="Hyperlink"/>
            <w:rFonts w:ascii="Arial" w:hAnsi="Arial" w:cs="Arial"/>
          </w:rPr>
          <w:t>arbitrary dismissal</w:t>
        </w:r>
      </w:hyperlink>
      <w:r w:rsidRPr="00B90CC2">
        <w:rPr>
          <w:rFonts w:ascii="Arial" w:hAnsi="Arial" w:cs="Arial"/>
        </w:rPr>
        <w:t xml:space="preserve"> of 57 judges in 2022, has contributed to a growing climate of intimidation of the judiciary. </w:t>
      </w:r>
      <w:r w:rsidR="00666BE8">
        <w:rPr>
          <w:rFonts w:ascii="Arial" w:hAnsi="Arial" w:cs="Arial"/>
        </w:rPr>
        <w:t>T</w:t>
      </w:r>
      <w:r w:rsidRPr="00B90CC2">
        <w:rPr>
          <w:rFonts w:ascii="Arial" w:hAnsi="Arial" w:cs="Arial"/>
        </w:rPr>
        <w:t xml:space="preserve">he United Nations Working Group on Arbitrary Detention issued an </w:t>
      </w:r>
      <w:hyperlink r:id="rId17" w:history="1">
        <w:r w:rsidRPr="00B90CC2">
          <w:rPr>
            <w:rStyle w:val="Hyperlink"/>
            <w:rFonts w:ascii="Arial" w:hAnsi="Arial" w:cs="Arial"/>
          </w:rPr>
          <w:t>opinion</w:t>
        </w:r>
      </w:hyperlink>
      <w:r w:rsidRPr="00B90CC2">
        <w:rPr>
          <w:rFonts w:ascii="Arial" w:hAnsi="Arial" w:cs="Arial"/>
        </w:rPr>
        <w:t xml:space="preserve"> concluding that “the violations of the eight individuals’ right to due process and a fair trial are of such gravity as to render their detention arbitrary”. The Court of Cassation hearing was announced only three days before its scheduled date of September</w:t>
      </w:r>
      <w:r w:rsidR="004078DE">
        <w:rPr>
          <w:rFonts w:ascii="Arial" w:hAnsi="Arial" w:cs="Arial"/>
        </w:rPr>
        <w:t xml:space="preserve"> </w:t>
      </w:r>
      <w:r w:rsidR="004078DE" w:rsidRPr="00B90CC2">
        <w:rPr>
          <w:rFonts w:ascii="Arial" w:hAnsi="Arial" w:cs="Arial"/>
        </w:rPr>
        <w:t>3</w:t>
      </w:r>
      <w:r w:rsidRPr="00B90CC2">
        <w:rPr>
          <w:rFonts w:ascii="Arial" w:hAnsi="Arial" w:cs="Arial"/>
        </w:rPr>
        <w:t xml:space="preserve">, leaving the defendants and their lawyers very limited time to prepare their </w:t>
      </w:r>
      <w:r w:rsidR="00E96B9E" w:rsidRPr="00B90CC2">
        <w:rPr>
          <w:rFonts w:ascii="Arial" w:hAnsi="Arial" w:cs="Arial"/>
        </w:rPr>
        <w:t>defense</w:t>
      </w:r>
      <w:r w:rsidRPr="00B90CC2">
        <w:rPr>
          <w:rFonts w:ascii="Arial" w:hAnsi="Arial" w:cs="Arial"/>
        </w:rPr>
        <w:t xml:space="preserve"> for this final stage of the proceedings. </w:t>
      </w:r>
    </w:p>
    <w:p w14:paraId="6ADDCAD2" w14:textId="77777777" w:rsidR="00B90CC2" w:rsidRPr="00B90CC2" w:rsidRDefault="00B90CC2" w:rsidP="00B90CC2">
      <w:pPr>
        <w:spacing w:after="0" w:line="240" w:lineRule="auto"/>
        <w:rPr>
          <w:rFonts w:ascii="Arial" w:hAnsi="Arial" w:cs="Arial"/>
          <w:sz w:val="18"/>
          <w:szCs w:val="18"/>
        </w:rPr>
      </w:pPr>
    </w:p>
    <w:p w14:paraId="6B693EA0" w14:textId="13A23444" w:rsidR="00B90CC2" w:rsidRPr="00B90CC2" w:rsidRDefault="00B90CC2" w:rsidP="00B90CC2">
      <w:pPr>
        <w:spacing w:after="0" w:line="240" w:lineRule="auto"/>
        <w:rPr>
          <w:rFonts w:ascii="Arial" w:hAnsi="Arial" w:cs="Arial"/>
        </w:rPr>
      </w:pPr>
      <w:r w:rsidRPr="00B90CC2">
        <w:rPr>
          <w:rFonts w:ascii="Arial" w:hAnsi="Arial" w:cs="Arial"/>
          <w:b/>
          <w:bCs/>
        </w:rPr>
        <w:t>PREFERRED LANGUAGE TO ADDRESS TARGET</w:t>
      </w:r>
      <w:r w:rsidRPr="00B90CC2">
        <w:rPr>
          <w:rFonts w:ascii="Arial" w:hAnsi="Arial" w:cs="Arial"/>
        </w:rPr>
        <w:t>: Arabic, French</w:t>
      </w:r>
      <w:r>
        <w:rPr>
          <w:rFonts w:ascii="Arial" w:hAnsi="Arial" w:cs="Arial"/>
        </w:rPr>
        <w:t xml:space="preserve">, </w:t>
      </w:r>
      <w:r w:rsidRPr="00B90CC2">
        <w:rPr>
          <w:rFonts w:ascii="Arial" w:hAnsi="Arial" w:cs="Arial"/>
        </w:rPr>
        <w:t>English</w:t>
      </w:r>
      <w:r>
        <w:rPr>
          <w:rFonts w:ascii="Arial" w:hAnsi="Arial" w:cs="Arial"/>
        </w:rPr>
        <w:t xml:space="preserve">, or </w:t>
      </w:r>
      <w:r w:rsidRPr="00B90CC2">
        <w:rPr>
          <w:rFonts w:ascii="Arial" w:hAnsi="Arial" w:cs="Arial"/>
        </w:rPr>
        <w:t xml:space="preserve">your own language. </w:t>
      </w:r>
    </w:p>
    <w:p w14:paraId="3D769A93" w14:textId="77777777" w:rsidR="00B90CC2" w:rsidRPr="00B90CC2" w:rsidRDefault="00B90CC2" w:rsidP="00B90CC2">
      <w:pPr>
        <w:spacing w:after="0" w:line="240" w:lineRule="auto"/>
        <w:rPr>
          <w:rFonts w:ascii="Arial" w:hAnsi="Arial" w:cs="Arial"/>
          <w:sz w:val="18"/>
          <w:szCs w:val="18"/>
        </w:rPr>
      </w:pPr>
    </w:p>
    <w:p w14:paraId="5916046E" w14:textId="69419B32" w:rsidR="00B90CC2" w:rsidRPr="00B90CC2" w:rsidRDefault="00B90CC2" w:rsidP="00B90CC2">
      <w:pPr>
        <w:spacing w:after="0" w:line="240" w:lineRule="auto"/>
        <w:rPr>
          <w:rFonts w:ascii="Arial" w:hAnsi="Arial" w:cs="Arial"/>
        </w:rPr>
      </w:pPr>
      <w:r w:rsidRPr="00B90CC2">
        <w:rPr>
          <w:rFonts w:ascii="Arial" w:hAnsi="Arial" w:cs="Arial"/>
          <w:b/>
          <w:bCs/>
        </w:rPr>
        <w:t>PLEASE TAKE ACTION AS SOON AS POSSIBLE UNTIL</w:t>
      </w:r>
      <w:r w:rsidRPr="00B90CC2">
        <w:rPr>
          <w:rFonts w:ascii="Arial" w:hAnsi="Arial" w:cs="Arial"/>
        </w:rPr>
        <w:t>: February 1</w:t>
      </w:r>
      <w:r>
        <w:rPr>
          <w:rFonts w:ascii="Arial" w:hAnsi="Arial" w:cs="Arial"/>
        </w:rPr>
        <w:t xml:space="preserve">, </w:t>
      </w:r>
      <w:r w:rsidRPr="00B90CC2">
        <w:rPr>
          <w:rFonts w:ascii="Arial" w:hAnsi="Arial" w:cs="Arial"/>
        </w:rPr>
        <w:t>2027</w:t>
      </w:r>
    </w:p>
    <w:p w14:paraId="508B828D" w14:textId="77777777" w:rsidR="00B90CC2" w:rsidRPr="00B90CC2" w:rsidRDefault="00B90CC2" w:rsidP="00B90CC2">
      <w:pPr>
        <w:spacing w:after="0" w:line="240" w:lineRule="auto"/>
        <w:rPr>
          <w:rFonts w:ascii="Arial" w:hAnsi="Arial" w:cs="Arial"/>
          <w:sz w:val="18"/>
          <w:szCs w:val="18"/>
        </w:rPr>
      </w:pPr>
    </w:p>
    <w:p w14:paraId="17C200E0" w14:textId="2D374249" w:rsidR="00B90CC2" w:rsidRPr="00B90CC2" w:rsidRDefault="00B90CC2" w:rsidP="00B90CC2">
      <w:pPr>
        <w:spacing w:after="0" w:line="240" w:lineRule="auto"/>
        <w:rPr>
          <w:rFonts w:ascii="Arial" w:hAnsi="Arial" w:cs="Arial"/>
        </w:rPr>
      </w:pPr>
      <w:r w:rsidRPr="00B90CC2">
        <w:rPr>
          <w:rFonts w:ascii="Arial" w:hAnsi="Arial" w:cs="Arial"/>
          <w:b/>
          <w:bCs/>
        </w:rPr>
        <w:t>LINK TO PREVIOUS UA</w:t>
      </w:r>
      <w:r w:rsidRPr="00B90CC2">
        <w:rPr>
          <w:rFonts w:ascii="Arial" w:hAnsi="Arial" w:cs="Arial"/>
        </w:rPr>
        <w:t xml:space="preserve">: </w:t>
      </w:r>
      <w:hyperlink r:id="rId18" w:history="1">
        <w:r w:rsidRPr="00B90CC2">
          <w:rPr>
            <w:rStyle w:val="Hyperlink"/>
            <w:rFonts w:ascii="Arial" w:hAnsi="Arial" w:cs="Arial"/>
          </w:rPr>
          <w:t>https://www.amnestyusa.org/urgent-actions/tunisia-opposition-activists-unjustly-jailed/</w:t>
        </w:r>
      </w:hyperlink>
      <w:r w:rsidRPr="00B90CC2">
        <w:rPr>
          <w:rFonts w:ascii="Arial" w:hAnsi="Arial" w:cs="Arial"/>
        </w:rPr>
        <w:t xml:space="preserve"> </w:t>
      </w:r>
    </w:p>
    <w:sectPr w:rsidR="00B90CC2" w:rsidRPr="00B90CC2" w:rsidSect="00B90CC2">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9448A" w14:textId="77777777" w:rsidR="008C3A92" w:rsidRDefault="008C3A92" w:rsidP="00B90CC2">
      <w:pPr>
        <w:spacing w:after="0" w:line="240" w:lineRule="auto"/>
      </w:pPr>
      <w:r>
        <w:separator/>
      </w:r>
    </w:p>
  </w:endnote>
  <w:endnote w:type="continuationSeparator" w:id="0">
    <w:p w14:paraId="5EEDD27A" w14:textId="77777777" w:rsidR="008C3A92" w:rsidRDefault="008C3A92" w:rsidP="00B9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9E22" w14:textId="5F96E603" w:rsidR="00B90CC2" w:rsidRPr="00234918" w:rsidRDefault="00B90CC2" w:rsidP="00B90CC2">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4B797661" w14:textId="792DDBC4" w:rsidR="00B90CC2" w:rsidRDefault="00B90CC2" w:rsidP="00B90CC2">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049F" w14:textId="70A0F974" w:rsidR="00B90CC2" w:rsidRDefault="00B90CC2" w:rsidP="00B90CC2">
    <w:pPr>
      <w:pStyle w:val="Footer"/>
      <w:jc w:val="right"/>
    </w:pPr>
    <w:r>
      <w:rPr>
        <w:noProof/>
      </w:rPr>
      <w:drawing>
        <wp:inline distT="0" distB="0" distL="0" distR="0" wp14:anchorId="6A8ECC67" wp14:editId="03446F9A">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D113" w14:textId="77777777" w:rsidR="008C3A92" w:rsidRDefault="008C3A92" w:rsidP="00B90CC2">
      <w:pPr>
        <w:spacing w:after="0" w:line="240" w:lineRule="auto"/>
      </w:pPr>
      <w:r>
        <w:separator/>
      </w:r>
    </w:p>
  </w:footnote>
  <w:footnote w:type="continuationSeparator" w:id="0">
    <w:p w14:paraId="25502467" w14:textId="77777777" w:rsidR="008C3A92" w:rsidRDefault="008C3A92" w:rsidP="00B9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B483" w14:textId="734ADC76" w:rsidR="00B90CC2" w:rsidRPr="00416CCD" w:rsidRDefault="00416CCD" w:rsidP="00416CCD">
    <w:pPr>
      <w:rPr>
        <w:sz w:val="20"/>
        <w:szCs w:val="20"/>
      </w:rPr>
    </w:pPr>
    <w:r w:rsidRPr="00B90CC2">
      <w:rPr>
        <w:rFonts w:ascii="Arial" w:hAnsi="Arial" w:cs="Arial"/>
        <w:sz w:val="20"/>
        <w:szCs w:val="20"/>
      </w:rPr>
      <w:t xml:space="preserve">Seventh UA: 52/23 Index: MDE 30/1406/2026 Tunisia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90CC2">
      <w:rPr>
        <w:rFonts w:ascii="Arial" w:hAnsi="Arial" w:cs="Arial"/>
        <w:sz w:val="20"/>
        <w:szCs w:val="20"/>
      </w:rPr>
      <w:t xml:space="preserve">Date: </w:t>
    </w:r>
    <w:r>
      <w:rPr>
        <w:rFonts w:ascii="Arial" w:hAnsi="Arial" w:cs="Arial"/>
        <w:sz w:val="20"/>
        <w:szCs w:val="20"/>
      </w:rPr>
      <w:t>7 September</w:t>
    </w:r>
    <w:r w:rsidRPr="00B90CC2">
      <w:rPr>
        <w:rFonts w:ascii="Arial" w:hAnsi="Arial" w:cs="Arial"/>
        <w:sz w:val="20"/>
        <w:szCs w:val="20"/>
      </w:rPr>
      <w:t xml:space="preserve">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15D3" w14:textId="015C2E9B" w:rsidR="00B90CC2" w:rsidRPr="00B90CC2" w:rsidRDefault="00B90CC2" w:rsidP="00B90CC2">
    <w:pPr>
      <w:rPr>
        <w:sz w:val="20"/>
        <w:szCs w:val="20"/>
      </w:rPr>
    </w:pPr>
    <w:r w:rsidRPr="00B90CC2">
      <w:rPr>
        <w:rFonts w:ascii="Arial" w:hAnsi="Arial" w:cs="Arial"/>
        <w:sz w:val="20"/>
        <w:szCs w:val="20"/>
      </w:rPr>
      <w:t xml:space="preserve">Seventh UA: 52/23 Index: MDE 30/1406/2026 Tunisia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16CCD">
      <w:rPr>
        <w:rFonts w:ascii="Arial" w:hAnsi="Arial" w:cs="Arial"/>
        <w:sz w:val="20"/>
        <w:szCs w:val="20"/>
      </w:rPr>
      <w:t xml:space="preserve">            </w:t>
    </w:r>
    <w:r w:rsidRPr="00B90CC2">
      <w:rPr>
        <w:rFonts w:ascii="Arial" w:hAnsi="Arial" w:cs="Arial"/>
        <w:sz w:val="20"/>
        <w:szCs w:val="20"/>
      </w:rPr>
      <w:t xml:space="preserve">Date: </w:t>
    </w:r>
    <w:r w:rsidR="00416CCD">
      <w:rPr>
        <w:rFonts w:ascii="Arial" w:hAnsi="Arial" w:cs="Arial"/>
        <w:sz w:val="20"/>
        <w:szCs w:val="20"/>
      </w:rPr>
      <w:t>7 September</w:t>
    </w:r>
    <w:r w:rsidRPr="00B90CC2">
      <w:rPr>
        <w:rFonts w:ascii="Arial" w:hAnsi="Arial" w:cs="Arial"/>
        <w:sz w:val="20"/>
        <w:szCs w:val="20"/>
      </w:rPr>
      <w:t xml:space="preserve">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C2"/>
    <w:rsid w:val="0006308C"/>
    <w:rsid w:val="000B71B1"/>
    <w:rsid w:val="002C7CAB"/>
    <w:rsid w:val="00387254"/>
    <w:rsid w:val="00404FF1"/>
    <w:rsid w:val="004078DE"/>
    <w:rsid w:val="00416CCD"/>
    <w:rsid w:val="004668F4"/>
    <w:rsid w:val="00602992"/>
    <w:rsid w:val="00666BE8"/>
    <w:rsid w:val="006E2F3A"/>
    <w:rsid w:val="008C3A92"/>
    <w:rsid w:val="009D14C7"/>
    <w:rsid w:val="00A62D9B"/>
    <w:rsid w:val="00B536AF"/>
    <w:rsid w:val="00B733C5"/>
    <w:rsid w:val="00B90CC2"/>
    <w:rsid w:val="00CA043B"/>
    <w:rsid w:val="00E86965"/>
    <w:rsid w:val="00E939E6"/>
    <w:rsid w:val="00E9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AD9D"/>
  <w15:chartTrackingRefBased/>
  <w15:docId w15:val="{131CAD8A-13A0-4FB2-BCC3-D968502A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C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C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C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C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C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C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C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CC2"/>
    <w:rPr>
      <w:rFonts w:eastAsiaTheme="majorEastAsia" w:cstheme="majorBidi"/>
      <w:color w:val="272727" w:themeColor="text1" w:themeTint="D8"/>
    </w:rPr>
  </w:style>
  <w:style w:type="paragraph" w:styleId="Title">
    <w:name w:val="Title"/>
    <w:basedOn w:val="Normal"/>
    <w:next w:val="Normal"/>
    <w:link w:val="TitleChar"/>
    <w:uiPriority w:val="10"/>
    <w:qFormat/>
    <w:rsid w:val="00B90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CC2"/>
    <w:pPr>
      <w:spacing w:before="160"/>
      <w:jc w:val="center"/>
    </w:pPr>
    <w:rPr>
      <w:i/>
      <w:iCs/>
      <w:color w:val="404040" w:themeColor="text1" w:themeTint="BF"/>
    </w:rPr>
  </w:style>
  <w:style w:type="character" w:customStyle="1" w:styleId="QuoteChar">
    <w:name w:val="Quote Char"/>
    <w:basedOn w:val="DefaultParagraphFont"/>
    <w:link w:val="Quote"/>
    <w:uiPriority w:val="29"/>
    <w:rsid w:val="00B90CC2"/>
    <w:rPr>
      <w:i/>
      <w:iCs/>
      <w:color w:val="404040" w:themeColor="text1" w:themeTint="BF"/>
    </w:rPr>
  </w:style>
  <w:style w:type="paragraph" w:styleId="ListParagraph">
    <w:name w:val="List Paragraph"/>
    <w:basedOn w:val="Normal"/>
    <w:uiPriority w:val="34"/>
    <w:qFormat/>
    <w:rsid w:val="00B90CC2"/>
    <w:pPr>
      <w:ind w:left="720"/>
      <w:contextualSpacing/>
    </w:pPr>
  </w:style>
  <w:style w:type="character" w:styleId="IntenseEmphasis">
    <w:name w:val="Intense Emphasis"/>
    <w:basedOn w:val="DefaultParagraphFont"/>
    <w:uiPriority w:val="21"/>
    <w:qFormat/>
    <w:rsid w:val="00B90CC2"/>
    <w:rPr>
      <w:i/>
      <w:iCs/>
      <w:color w:val="0F4761" w:themeColor="accent1" w:themeShade="BF"/>
    </w:rPr>
  </w:style>
  <w:style w:type="paragraph" w:styleId="IntenseQuote">
    <w:name w:val="Intense Quote"/>
    <w:basedOn w:val="Normal"/>
    <w:next w:val="Normal"/>
    <w:link w:val="IntenseQuoteChar"/>
    <w:uiPriority w:val="30"/>
    <w:qFormat/>
    <w:rsid w:val="00B90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CC2"/>
    <w:rPr>
      <w:i/>
      <w:iCs/>
      <w:color w:val="0F4761" w:themeColor="accent1" w:themeShade="BF"/>
    </w:rPr>
  </w:style>
  <w:style w:type="character" w:styleId="IntenseReference">
    <w:name w:val="Intense Reference"/>
    <w:basedOn w:val="DefaultParagraphFont"/>
    <w:uiPriority w:val="32"/>
    <w:qFormat/>
    <w:rsid w:val="00B90CC2"/>
    <w:rPr>
      <w:b/>
      <w:bCs/>
      <w:smallCaps/>
      <w:color w:val="0F4761" w:themeColor="accent1" w:themeShade="BF"/>
      <w:spacing w:val="5"/>
    </w:rPr>
  </w:style>
  <w:style w:type="paragraph" w:styleId="Header">
    <w:name w:val="header"/>
    <w:basedOn w:val="Normal"/>
    <w:link w:val="HeaderChar"/>
    <w:uiPriority w:val="99"/>
    <w:unhideWhenUsed/>
    <w:rsid w:val="00B90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CC2"/>
  </w:style>
  <w:style w:type="paragraph" w:styleId="Footer">
    <w:name w:val="footer"/>
    <w:basedOn w:val="Normal"/>
    <w:link w:val="FooterChar"/>
    <w:uiPriority w:val="99"/>
    <w:unhideWhenUsed/>
    <w:rsid w:val="00B90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CC2"/>
  </w:style>
  <w:style w:type="character" w:styleId="Hyperlink">
    <w:name w:val="Hyperlink"/>
    <w:basedOn w:val="DefaultParagraphFont"/>
    <w:uiPriority w:val="99"/>
    <w:unhideWhenUsed/>
    <w:rsid w:val="00B90CC2"/>
    <w:rPr>
      <w:color w:val="467886" w:themeColor="hyperlink"/>
      <w:u w:val="single"/>
    </w:rPr>
  </w:style>
  <w:style w:type="paragraph" w:customStyle="1" w:styleId="paragraph">
    <w:name w:val="paragraph"/>
    <w:basedOn w:val="Normal"/>
    <w:rsid w:val="00B90CC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90CC2"/>
  </w:style>
  <w:style w:type="character" w:styleId="UnresolvedMention">
    <w:name w:val="Unresolved Mention"/>
    <w:basedOn w:val="DefaultParagraphFont"/>
    <w:uiPriority w:val="99"/>
    <w:semiHidden/>
    <w:unhideWhenUsed/>
    <w:rsid w:val="00B90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acebook.com/Presidence.tn/" TargetMode="External"/><Relationship Id="rId18" Type="http://schemas.openxmlformats.org/officeDocument/2006/relationships/hyperlink" Target="https://www.amnestyusa.org/urgent-actions/tunisia-opposition-activists-unjustly-jailed/"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contact@carthage.tn" TargetMode="External"/><Relationship Id="rId17" Type="http://schemas.openxmlformats.org/officeDocument/2006/relationships/hyperlink" Target="https://digitallibrary.un.org/record/4069597/files/A_HRC_WGAD_2024_35-EN.pdf" TargetMode="External"/><Relationship Id="rId2" Type="http://schemas.openxmlformats.org/officeDocument/2006/relationships/styles" Target="styles.xml"/><Relationship Id="rId16" Type="http://schemas.openxmlformats.org/officeDocument/2006/relationships/hyperlink" Target="https://www.amnesty.org/en/latest/news/2022/06/tunisia-arbitrary-dismissals-a-blow-to-judicial-independ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facebook.com/watch/?v=74276685416083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T.Washington@Tunisianembassy.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1091</Words>
  <Characters>5907</Characters>
  <Application>Microsoft Office Word</Application>
  <DocSecurity>0</DocSecurity>
  <Lines>111</Lines>
  <Paragraphs>52</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19</cp:revision>
  <cp:lastPrinted>2026-09-10T01:43:00Z</cp:lastPrinted>
  <dcterms:created xsi:type="dcterms:W3CDTF">2026-09-10T01:01:00Z</dcterms:created>
  <dcterms:modified xsi:type="dcterms:W3CDTF">2026-09-10T01:59:00Z</dcterms:modified>
</cp:coreProperties>
</file>