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A7A1B6" w14:textId="77777777" w:rsidR="0034128A" w:rsidRPr="00F7195D" w:rsidRDefault="0034128A" w:rsidP="00F7195D">
      <w:pPr>
        <w:pStyle w:val="AIUrgentActionTopHeading"/>
        <w:tabs>
          <w:tab w:val="clear" w:pos="567"/>
        </w:tabs>
        <w:spacing w:line="240" w:lineRule="auto"/>
        <w:ind w:left="-283"/>
        <w:rPr>
          <w:rFonts w:cs="Arial"/>
          <w:sz w:val="70"/>
          <w:szCs w:val="70"/>
        </w:rPr>
      </w:pPr>
      <w:r w:rsidRPr="00F7195D">
        <w:rPr>
          <w:rFonts w:cs="Arial"/>
          <w:sz w:val="70"/>
          <w:szCs w:val="70"/>
          <w:highlight w:val="yellow"/>
        </w:rPr>
        <w:t>URGENT ACTION</w:t>
      </w:r>
    </w:p>
    <w:p w14:paraId="1EF38A9A" w14:textId="6D9AA65E" w:rsidR="005D2C37" w:rsidRPr="00EB75FD" w:rsidRDefault="005D2C37" w:rsidP="00F7195D">
      <w:pPr>
        <w:pStyle w:val="Default"/>
        <w:ind w:left="-283"/>
        <w:rPr>
          <w:b/>
          <w:sz w:val="14"/>
          <w:szCs w:val="14"/>
        </w:rPr>
      </w:pPr>
    </w:p>
    <w:p w14:paraId="48AFE8F2" w14:textId="33F3A04F" w:rsidR="00FD626F" w:rsidRPr="00F7195D" w:rsidRDefault="000977B7" w:rsidP="00F7195D">
      <w:pPr>
        <w:spacing w:after="0" w:line="240" w:lineRule="auto"/>
        <w:ind w:left="-283"/>
        <w:rPr>
          <w:rFonts w:ascii="Arial" w:hAnsi="Arial" w:cs="Arial"/>
          <w:b/>
          <w:sz w:val="36"/>
          <w:szCs w:val="36"/>
          <w:lang w:eastAsia="es-MX"/>
        </w:rPr>
      </w:pPr>
      <w:r w:rsidRPr="00F7195D">
        <w:rPr>
          <w:rFonts w:ascii="Arial" w:hAnsi="Arial" w:cs="Arial"/>
          <w:b/>
          <w:sz w:val="36"/>
          <w:szCs w:val="36"/>
          <w:lang w:eastAsia="es-MX"/>
        </w:rPr>
        <w:t xml:space="preserve">DENMARK: </w:t>
      </w:r>
      <w:r w:rsidR="00925D38" w:rsidRPr="00F7195D">
        <w:rPr>
          <w:rFonts w:ascii="Arial" w:hAnsi="Arial" w:cs="Arial"/>
          <w:b/>
          <w:sz w:val="36"/>
          <w:szCs w:val="36"/>
          <w:lang w:eastAsia="es-MX"/>
        </w:rPr>
        <w:t xml:space="preserve">PROTECT SYRIANS </w:t>
      </w:r>
      <w:r w:rsidRPr="00F7195D">
        <w:rPr>
          <w:rFonts w:ascii="Arial" w:hAnsi="Arial" w:cs="Arial"/>
          <w:b/>
          <w:sz w:val="36"/>
          <w:szCs w:val="36"/>
          <w:lang w:eastAsia="es-MX"/>
        </w:rPr>
        <w:t>AT RISK OF RE</w:t>
      </w:r>
      <w:r w:rsidR="00DA3858" w:rsidRPr="00F7195D">
        <w:rPr>
          <w:rFonts w:ascii="Arial" w:hAnsi="Arial" w:cs="Arial"/>
          <w:b/>
          <w:sz w:val="36"/>
          <w:szCs w:val="36"/>
          <w:lang w:eastAsia="es-MX"/>
        </w:rPr>
        <w:t>TURN</w:t>
      </w:r>
    </w:p>
    <w:p w14:paraId="7574F2B5" w14:textId="6C23DF6C" w:rsidR="00D23D90" w:rsidRPr="00F7195D" w:rsidRDefault="00AD23AB" w:rsidP="00F7195D">
      <w:pPr>
        <w:spacing w:after="0" w:line="240" w:lineRule="auto"/>
        <w:ind w:left="-283"/>
        <w:jc w:val="both"/>
        <w:rPr>
          <w:rFonts w:ascii="Arial" w:hAnsi="Arial" w:cs="Arial"/>
          <w:b/>
          <w:sz w:val="22"/>
          <w:szCs w:val="22"/>
          <w:lang w:eastAsia="es-MX"/>
        </w:rPr>
      </w:pPr>
      <w:r w:rsidRPr="00F7195D">
        <w:rPr>
          <w:rFonts w:ascii="Arial" w:hAnsi="Arial" w:cs="Arial"/>
          <w:b/>
          <w:sz w:val="22"/>
          <w:szCs w:val="22"/>
          <w:lang w:eastAsia="es-MX"/>
        </w:rPr>
        <w:t xml:space="preserve">Between 2020 and April </w:t>
      </w:r>
      <w:r w:rsidR="00F7195D">
        <w:rPr>
          <w:rFonts w:ascii="Arial" w:hAnsi="Arial" w:cs="Arial"/>
          <w:b/>
          <w:sz w:val="22"/>
          <w:szCs w:val="22"/>
          <w:lang w:eastAsia="es-MX"/>
        </w:rPr>
        <w:t xml:space="preserve">1, </w:t>
      </w:r>
      <w:r w:rsidRPr="00F7195D">
        <w:rPr>
          <w:rFonts w:ascii="Arial" w:hAnsi="Arial" w:cs="Arial"/>
          <w:b/>
          <w:sz w:val="22"/>
          <w:szCs w:val="22"/>
          <w:lang w:eastAsia="es-MX"/>
        </w:rPr>
        <w:t>2021, Denmark has revoked or not renewed the residence permits of 380 Syrians, claiming that certain parts of Syria (Damascus and the Rif region) are “safe”. While many of them are waiting for their cases to be finally decided in appeal, 39 Syrians have already been put in a “return position”, meaning that they are at risk of being returned to Syria. Amnesty International believes that any return to Syria would be a violation of the international obligation of non-refoulement, which prohibits states from transferring people to a place where they would be at real risk of serious human rights violations.</w:t>
      </w:r>
    </w:p>
    <w:p w14:paraId="228FF5F4" w14:textId="77777777" w:rsidR="005D2C37" w:rsidRPr="00EB75FD" w:rsidRDefault="005D2C37" w:rsidP="00F7195D">
      <w:pPr>
        <w:spacing w:after="0" w:line="240" w:lineRule="auto"/>
        <w:ind w:left="-283"/>
        <w:rPr>
          <w:rFonts w:ascii="Arial" w:hAnsi="Arial" w:cs="Arial"/>
          <w:b/>
          <w:sz w:val="14"/>
          <w:szCs w:val="14"/>
          <w:lang w:eastAsia="es-MX"/>
        </w:rPr>
      </w:pPr>
    </w:p>
    <w:p w14:paraId="07DB5036" w14:textId="4203286D" w:rsidR="005D2C37" w:rsidRDefault="005D2C37" w:rsidP="00F7195D">
      <w:pPr>
        <w:spacing w:after="0" w:line="240" w:lineRule="auto"/>
        <w:ind w:left="-283"/>
        <w:rPr>
          <w:rFonts w:ascii="Arial" w:hAnsi="Arial" w:cs="Arial"/>
          <w:b/>
          <w:color w:val="auto"/>
          <w:sz w:val="20"/>
          <w:szCs w:val="20"/>
          <w:lang w:eastAsia="es-MX"/>
        </w:rPr>
      </w:pPr>
      <w:r w:rsidRPr="00F7195D">
        <w:rPr>
          <w:rFonts w:ascii="Arial" w:hAnsi="Arial" w:cs="Arial"/>
          <w:b/>
          <w:color w:val="auto"/>
          <w:sz w:val="20"/>
          <w:szCs w:val="20"/>
          <w:lang w:eastAsia="es-MX"/>
        </w:rPr>
        <w:t xml:space="preserve">TAKE ACTION: </w:t>
      </w:r>
    </w:p>
    <w:p w14:paraId="01A7E4BC" w14:textId="77777777" w:rsidR="00F7195D" w:rsidRPr="00F7195D" w:rsidRDefault="00F7195D" w:rsidP="00F7195D">
      <w:pPr>
        <w:numPr>
          <w:ilvl w:val="0"/>
          <w:numId w:val="23"/>
        </w:numPr>
        <w:spacing w:after="0" w:line="240" w:lineRule="auto"/>
        <w:rPr>
          <w:rFonts w:ascii="Arial" w:hAnsi="Arial" w:cs="Arial"/>
          <w:bCs/>
          <w:color w:val="auto"/>
          <w:sz w:val="20"/>
          <w:szCs w:val="20"/>
          <w:lang w:val="en-US" w:eastAsia="es-MX"/>
        </w:rPr>
      </w:pPr>
      <w:r w:rsidRPr="00F7195D">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3A0CE6F" w14:textId="3DC71499" w:rsidR="005D2C37" w:rsidRDefault="00F7195D" w:rsidP="00F7195D">
      <w:pPr>
        <w:numPr>
          <w:ilvl w:val="0"/>
          <w:numId w:val="24"/>
        </w:numPr>
        <w:spacing w:after="0" w:line="240" w:lineRule="auto"/>
        <w:rPr>
          <w:rFonts w:ascii="Arial" w:hAnsi="Arial" w:cs="Arial"/>
          <w:bCs/>
          <w:color w:val="auto"/>
          <w:sz w:val="20"/>
          <w:szCs w:val="20"/>
          <w:lang w:val="en-US" w:eastAsia="es-MX"/>
        </w:rPr>
      </w:pPr>
      <w:hyperlink r:id="rId7" w:tgtFrame="_blank" w:history="1">
        <w:r w:rsidRPr="00F7195D">
          <w:rPr>
            <w:rStyle w:val="Hyperlink"/>
            <w:rFonts w:ascii="Arial" w:hAnsi="Arial" w:cs="Arial"/>
            <w:bCs/>
            <w:sz w:val="20"/>
            <w:szCs w:val="20"/>
            <w:lang w:val="en-US" w:eastAsia="es-MX"/>
          </w:rPr>
          <w:t>Click here</w:t>
        </w:r>
      </w:hyperlink>
      <w:r w:rsidRPr="00F7195D">
        <w:rPr>
          <w:rFonts w:ascii="Arial" w:hAnsi="Arial" w:cs="Arial"/>
          <w:bCs/>
          <w:color w:val="auto"/>
          <w:sz w:val="20"/>
          <w:szCs w:val="20"/>
          <w:lang w:val="en-US" w:eastAsia="es-MX"/>
        </w:rPr>
        <w:t> to let us know the actions you took on </w:t>
      </w:r>
      <w:r w:rsidRPr="00F7195D">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45</w:t>
      </w:r>
      <w:r w:rsidRPr="00F7195D">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F7195D">
        <w:rPr>
          <w:rFonts w:ascii="Arial" w:hAnsi="Arial" w:cs="Arial"/>
          <w:bCs/>
          <w:color w:val="auto"/>
          <w:sz w:val="20"/>
          <w:szCs w:val="20"/>
          <w:lang w:val="en-US" w:eastAsia="es-MX"/>
        </w:rPr>
        <w:t>. </w:t>
      </w:r>
      <w:proofErr w:type="gramStart"/>
      <w:r w:rsidRPr="00F7195D">
        <w:rPr>
          <w:rFonts w:ascii="Arial" w:hAnsi="Arial" w:cs="Arial"/>
          <w:bCs/>
          <w:color w:val="auto"/>
          <w:sz w:val="20"/>
          <w:szCs w:val="20"/>
          <w:lang w:val="en-US" w:eastAsia="es-MX"/>
        </w:rPr>
        <w:t>It’s</w:t>
      </w:r>
      <w:proofErr w:type="gramEnd"/>
      <w:r w:rsidRPr="00F7195D">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196E17DD" w14:textId="77777777" w:rsidR="00F7195D" w:rsidRPr="00EB75FD" w:rsidRDefault="00F7195D" w:rsidP="00F7195D">
      <w:pPr>
        <w:spacing w:after="0" w:line="240" w:lineRule="auto"/>
        <w:ind w:left="720"/>
        <w:rPr>
          <w:rFonts w:ascii="Arial" w:hAnsi="Arial" w:cs="Arial"/>
          <w:bCs/>
          <w:color w:val="auto"/>
          <w:sz w:val="14"/>
          <w:szCs w:val="14"/>
          <w:lang w:val="en-US" w:eastAsia="es-MX"/>
        </w:rPr>
      </w:pPr>
    </w:p>
    <w:p w14:paraId="520B30FC" w14:textId="77777777" w:rsidR="00EB75FD" w:rsidRDefault="00EB75FD" w:rsidP="00EB75FD">
      <w:pPr>
        <w:spacing w:after="0" w:line="240" w:lineRule="auto"/>
        <w:ind w:left="-283"/>
        <w:rPr>
          <w:rFonts w:ascii="Arial" w:hAnsi="Arial" w:cs="Arial"/>
          <w:b/>
          <w:bCs/>
          <w:color w:val="auto"/>
          <w:szCs w:val="18"/>
          <w:lang w:eastAsia="en-GB"/>
        </w:rPr>
        <w:sectPr w:rsidR="00EB75FD" w:rsidSect="00F7195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ABEE749" w14:textId="77777777" w:rsid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b/>
          <w:bCs/>
          <w:color w:val="auto"/>
          <w:szCs w:val="18"/>
          <w:lang w:eastAsia="en-GB"/>
        </w:rPr>
        <w:t>Danish Minister of Immigration and Integration</w:t>
      </w:r>
    </w:p>
    <w:p w14:paraId="487AA401" w14:textId="77777777" w:rsid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color w:val="auto"/>
          <w:szCs w:val="18"/>
          <w:lang w:eastAsia="en-GB"/>
        </w:rPr>
        <w:t>Mr.</w:t>
      </w:r>
      <w:r w:rsidR="000657EC" w:rsidRPr="00F7195D">
        <w:rPr>
          <w:rFonts w:ascii="Arial" w:hAnsi="Arial" w:cs="Arial"/>
          <w:color w:val="auto"/>
          <w:szCs w:val="18"/>
          <w:lang w:eastAsia="en-GB"/>
        </w:rPr>
        <w:t xml:space="preserve"> </w:t>
      </w:r>
      <w:r w:rsidRPr="00F7195D">
        <w:rPr>
          <w:rFonts w:ascii="Arial" w:hAnsi="Arial" w:cs="Arial"/>
          <w:color w:val="auto"/>
          <w:szCs w:val="18"/>
          <w:lang w:eastAsia="en-GB"/>
        </w:rPr>
        <w:t>Mattias Tesfaye</w:t>
      </w:r>
    </w:p>
    <w:p w14:paraId="7105662D" w14:textId="77777777" w:rsidR="00EB75FD" w:rsidRDefault="00AD23AB" w:rsidP="00EB75FD">
      <w:pPr>
        <w:spacing w:after="0" w:line="240" w:lineRule="auto"/>
        <w:ind w:left="-283"/>
        <w:rPr>
          <w:rFonts w:ascii="Arial" w:hAnsi="Arial" w:cs="Arial"/>
          <w:b/>
          <w:bCs/>
          <w:color w:val="auto"/>
          <w:szCs w:val="18"/>
          <w:lang w:eastAsia="en-GB"/>
        </w:rPr>
      </w:pPr>
      <w:proofErr w:type="spellStart"/>
      <w:r w:rsidRPr="00F7195D">
        <w:rPr>
          <w:rFonts w:ascii="Arial" w:hAnsi="Arial" w:cs="Arial"/>
          <w:color w:val="auto"/>
          <w:szCs w:val="18"/>
          <w:lang w:eastAsia="en-GB"/>
        </w:rPr>
        <w:t>Slotsholmsgade</w:t>
      </w:r>
      <w:proofErr w:type="spellEnd"/>
      <w:r w:rsidRPr="00F7195D">
        <w:rPr>
          <w:rFonts w:ascii="Arial" w:hAnsi="Arial" w:cs="Arial"/>
          <w:color w:val="auto"/>
          <w:szCs w:val="18"/>
          <w:lang w:eastAsia="en-GB"/>
        </w:rPr>
        <w:t xml:space="preserve"> 10,</w:t>
      </w:r>
    </w:p>
    <w:p w14:paraId="3B0AC95A" w14:textId="6D9E0DE6" w:rsidR="00AD23AB" w:rsidRP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color w:val="auto"/>
          <w:szCs w:val="18"/>
          <w:lang w:eastAsia="en-GB"/>
        </w:rPr>
        <w:t xml:space="preserve">1216 </w:t>
      </w:r>
      <w:proofErr w:type="spellStart"/>
      <w:r w:rsidRPr="00F7195D">
        <w:rPr>
          <w:rFonts w:ascii="Arial" w:hAnsi="Arial" w:cs="Arial"/>
          <w:color w:val="auto"/>
          <w:szCs w:val="18"/>
          <w:lang w:eastAsia="en-GB"/>
        </w:rPr>
        <w:t>København</w:t>
      </w:r>
      <w:proofErr w:type="spellEnd"/>
      <w:r w:rsidR="00EB75FD">
        <w:rPr>
          <w:rFonts w:ascii="Arial" w:hAnsi="Arial" w:cs="Arial"/>
          <w:b/>
          <w:bCs/>
          <w:color w:val="auto"/>
          <w:szCs w:val="18"/>
          <w:lang w:eastAsia="en-GB"/>
        </w:rPr>
        <w:t xml:space="preserve">, </w:t>
      </w:r>
      <w:r w:rsidRPr="00F7195D">
        <w:rPr>
          <w:rFonts w:ascii="Arial" w:hAnsi="Arial" w:cs="Arial"/>
          <w:color w:val="auto"/>
          <w:szCs w:val="18"/>
          <w:lang w:eastAsia="en-GB"/>
        </w:rPr>
        <w:t>Denmark</w:t>
      </w:r>
    </w:p>
    <w:p w14:paraId="27DB66A0" w14:textId="79611328" w:rsidR="00AD23AB" w:rsidRDefault="00AD23AB" w:rsidP="00EB75FD">
      <w:pPr>
        <w:spacing w:after="0" w:line="240" w:lineRule="auto"/>
        <w:ind w:left="-283"/>
        <w:rPr>
          <w:rFonts w:ascii="Arial" w:hAnsi="Arial" w:cs="Arial"/>
          <w:szCs w:val="18"/>
          <w:shd w:val="clear" w:color="auto" w:fill="FFFFFF"/>
        </w:rPr>
      </w:pPr>
      <w:r w:rsidRPr="00F7195D">
        <w:rPr>
          <w:rFonts w:ascii="Arial" w:hAnsi="Arial" w:cs="Arial"/>
          <w:szCs w:val="18"/>
        </w:rPr>
        <w:t xml:space="preserve">Email: </w:t>
      </w:r>
      <w:hyperlink r:id="rId12" w:history="1">
        <w:r w:rsidR="00F7195D" w:rsidRPr="009E70B9">
          <w:rPr>
            <w:rStyle w:val="Hyperlink"/>
            <w:rFonts w:ascii="Arial" w:hAnsi="Arial" w:cs="Arial"/>
            <w:szCs w:val="18"/>
            <w:shd w:val="clear" w:color="auto" w:fill="FFFFFF"/>
          </w:rPr>
          <w:t>uim@uim.dk</w:t>
        </w:r>
      </w:hyperlink>
      <w:r w:rsidR="00F7195D">
        <w:rPr>
          <w:rFonts w:ascii="Arial" w:hAnsi="Arial" w:cs="Arial"/>
          <w:szCs w:val="18"/>
          <w:shd w:val="clear" w:color="auto" w:fill="FFFFFF"/>
        </w:rPr>
        <w:t xml:space="preserve"> </w:t>
      </w:r>
    </w:p>
    <w:p w14:paraId="1C28F09A" w14:textId="69A2FC37" w:rsidR="00F8516C" w:rsidRDefault="00F8516C" w:rsidP="00EB75FD">
      <w:pPr>
        <w:spacing w:after="0" w:line="240" w:lineRule="auto"/>
        <w:ind w:left="-283"/>
        <w:rPr>
          <w:rFonts w:ascii="Arial" w:hAnsi="Arial" w:cs="Arial"/>
          <w:szCs w:val="18"/>
          <w:shd w:val="clear" w:color="auto" w:fill="FFFFFF"/>
        </w:rPr>
      </w:pPr>
    </w:p>
    <w:p w14:paraId="7ACBF3E8" w14:textId="77777777" w:rsidR="00EB75FD" w:rsidRDefault="00EB75FD" w:rsidP="00EB75FD">
      <w:pPr>
        <w:spacing w:after="0" w:line="240" w:lineRule="auto"/>
        <w:ind w:left="-283"/>
        <w:rPr>
          <w:rFonts w:ascii="Arial" w:hAnsi="Arial" w:cs="Arial"/>
          <w:b/>
          <w:bCs/>
          <w:szCs w:val="18"/>
          <w:shd w:val="clear" w:color="auto" w:fill="FFFFFF"/>
        </w:rPr>
      </w:pPr>
    </w:p>
    <w:p w14:paraId="2C8A9509" w14:textId="638830FB" w:rsidR="00F8516C" w:rsidRDefault="00F8516C" w:rsidP="00EB75FD">
      <w:pPr>
        <w:spacing w:after="0" w:line="240" w:lineRule="auto"/>
        <w:ind w:left="-144"/>
        <w:rPr>
          <w:rFonts w:ascii="Arial" w:hAnsi="Arial" w:cs="Arial"/>
          <w:b/>
          <w:bCs/>
          <w:szCs w:val="18"/>
          <w:shd w:val="clear" w:color="auto" w:fill="FFFFFF"/>
        </w:rPr>
      </w:pPr>
      <w:r>
        <w:rPr>
          <w:rFonts w:ascii="Arial" w:hAnsi="Arial" w:cs="Arial"/>
          <w:b/>
          <w:bCs/>
          <w:szCs w:val="18"/>
          <w:shd w:val="clear" w:color="auto" w:fill="FFFFFF"/>
        </w:rPr>
        <w:t>Ambassador</w:t>
      </w:r>
      <w:r w:rsidRPr="00F8516C">
        <w:rPr>
          <w:rFonts w:ascii="Arial" w:hAnsi="Arial" w:cs="Arial"/>
          <w:b/>
          <w:bCs/>
          <w:szCs w:val="18"/>
          <w:shd w:val="clear" w:color="auto" w:fill="FFFFFF"/>
        </w:rPr>
        <w:t xml:space="preserve"> </w:t>
      </w:r>
      <w:r w:rsidRPr="00F8516C">
        <w:rPr>
          <w:rFonts w:ascii="Arial" w:hAnsi="Arial" w:cs="Arial"/>
          <w:b/>
          <w:bCs/>
          <w:szCs w:val="18"/>
          <w:shd w:val="clear" w:color="auto" w:fill="FFFFFF"/>
        </w:rPr>
        <w:t xml:space="preserve">Lone </w:t>
      </w:r>
      <w:proofErr w:type="spellStart"/>
      <w:r w:rsidRPr="00F8516C">
        <w:rPr>
          <w:rFonts w:ascii="Arial" w:hAnsi="Arial" w:cs="Arial"/>
          <w:b/>
          <w:bCs/>
          <w:szCs w:val="18"/>
          <w:shd w:val="clear" w:color="auto" w:fill="FFFFFF"/>
        </w:rPr>
        <w:t>Dencker</w:t>
      </w:r>
      <w:proofErr w:type="spellEnd"/>
      <w:r w:rsidRPr="00F8516C">
        <w:rPr>
          <w:rFonts w:ascii="Arial" w:hAnsi="Arial" w:cs="Arial"/>
          <w:b/>
          <w:bCs/>
          <w:szCs w:val="18"/>
          <w:shd w:val="clear" w:color="auto" w:fill="FFFFFF"/>
        </w:rPr>
        <w:t xml:space="preserve"> </w:t>
      </w:r>
      <w:proofErr w:type="spellStart"/>
      <w:r w:rsidRPr="00F8516C">
        <w:rPr>
          <w:rFonts w:ascii="Arial" w:hAnsi="Arial" w:cs="Arial"/>
          <w:b/>
          <w:bCs/>
          <w:szCs w:val="18"/>
          <w:shd w:val="clear" w:color="auto" w:fill="FFFFFF"/>
        </w:rPr>
        <w:t>Wisborg</w:t>
      </w:r>
      <w:proofErr w:type="spellEnd"/>
    </w:p>
    <w:p w14:paraId="572199D0" w14:textId="77777777" w:rsidR="00F8516C" w:rsidRDefault="00F8516C" w:rsidP="00EB75FD">
      <w:pPr>
        <w:spacing w:after="0" w:line="240" w:lineRule="auto"/>
        <w:ind w:left="-144"/>
        <w:rPr>
          <w:rFonts w:ascii="Arial" w:hAnsi="Arial" w:cs="Arial"/>
          <w:szCs w:val="18"/>
          <w:shd w:val="clear" w:color="auto" w:fill="FFFFFF"/>
        </w:rPr>
      </w:pPr>
      <w:r>
        <w:rPr>
          <w:rFonts w:ascii="Arial" w:hAnsi="Arial" w:cs="Arial"/>
          <w:szCs w:val="18"/>
          <w:shd w:val="clear" w:color="auto" w:fill="FFFFFF"/>
        </w:rPr>
        <w:t>Embassy of Denmark</w:t>
      </w:r>
    </w:p>
    <w:p w14:paraId="68BC2754" w14:textId="71E31168" w:rsidR="00EB75FD" w:rsidRPr="00EB75FD" w:rsidRDefault="00EB75FD" w:rsidP="00EB75FD">
      <w:pPr>
        <w:spacing w:after="0" w:line="240" w:lineRule="auto"/>
        <w:ind w:left="-144"/>
        <w:rPr>
          <w:rFonts w:ascii="Arial" w:hAnsi="Arial" w:cs="Arial"/>
          <w:szCs w:val="18"/>
          <w:shd w:val="clear" w:color="auto" w:fill="FFFFFF"/>
        </w:rPr>
      </w:pPr>
      <w:r w:rsidRPr="00EB75FD">
        <w:rPr>
          <w:rFonts w:ascii="Arial" w:hAnsi="Arial" w:cs="Arial"/>
          <w:szCs w:val="18"/>
          <w:shd w:val="clear" w:color="auto" w:fill="FFFFFF"/>
        </w:rPr>
        <w:t>3200 Whitehaven St. NW</w:t>
      </w:r>
      <w:r>
        <w:rPr>
          <w:rFonts w:ascii="Arial" w:hAnsi="Arial" w:cs="Arial"/>
          <w:szCs w:val="18"/>
          <w:shd w:val="clear" w:color="auto" w:fill="FFFFFF"/>
        </w:rPr>
        <w:t xml:space="preserve">, </w:t>
      </w:r>
      <w:r w:rsidRPr="00EB75FD">
        <w:rPr>
          <w:rFonts w:ascii="Arial" w:hAnsi="Arial" w:cs="Arial"/>
          <w:szCs w:val="18"/>
          <w:shd w:val="clear" w:color="auto" w:fill="FFFFFF"/>
        </w:rPr>
        <w:t>Washington, DC 20008</w:t>
      </w:r>
    </w:p>
    <w:p w14:paraId="7C298DED" w14:textId="34775AC9" w:rsidR="00EB75FD" w:rsidRPr="00EB75FD" w:rsidRDefault="00EB75FD" w:rsidP="00EB75FD">
      <w:pPr>
        <w:spacing w:after="0" w:line="240" w:lineRule="auto"/>
        <w:ind w:left="-144"/>
        <w:rPr>
          <w:rFonts w:ascii="Arial" w:hAnsi="Arial" w:cs="Arial"/>
          <w:szCs w:val="18"/>
          <w:shd w:val="clear" w:color="auto" w:fill="FFFFFF"/>
        </w:rPr>
      </w:pPr>
      <w:r w:rsidRPr="00EB75FD">
        <w:rPr>
          <w:rFonts w:ascii="Arial" w:hAnsi="Arial" w:cs="Arial"/>
          <w:szCs w:val="18"/>
          <w:shd w:val="clear" w:color="auto" w:fill="FFFFFF"/>
        </w:rPr>
        <w:t>Tel.: +1 (202) 234-4300</w:t>
      </w:r>
      <w:r>
        <w:rPr>
          <w:rFonts w:ascii="Arial" w:hAnsi="Arial" w:cs="Arial"/>
          <w:szCs w:val="18"/>
          <w:shd w:val="clear" w:color="auto" w:fill="FFFFFF"/>
        </w:rPr>
        <w:t xml:space="preserve"> | </w:t>
      </w:r>
      <w:r w:rsidRPr="00EB75FD">
        <w:rPr>
          <w:rFonts w:ascii="Arial" w:hAnsi="Arial" w:cs="Arial"/>
          <w:szCs w:val="18"/>
          <w:shd w:val="clear" w:color="auto" w:fill="FFFFFF"/>
        </w:rPr>
        <w:t>Fax: +1 (202) 328-1470</w:t>
      </w:r>
    </w:p>
    <w:p w14:paraId="2CB2B3A2" w14:textId="61E2A7C9" w:rsidR="00F8516C" w:rsidRDefault="00EB75FD" w:rsidP="00EB75FD">
      <w:pPr>
        <w:spacing w:after="0" w:line="240" w:lineRule="auto"/>
        <w:ind w:left="-144"/>
        <w:rPr>
          <w:rFonts w:ascii="Arial" w:hAnsi="Arial" w:cs="Arial"/>
          <w:szCs w:val="18"/>
          <w:shd w:val="clear" w:color="auto" w:fill="FFFFFF"/>
        </w:rPr>
      </w:pPr>
      <w:r w:rsidRPr="00EB75FD">
        <w:rPr>
          <w:rFonts w:ascii="Arial" w:hAnsi="Arial" w:cs="Arial"/>
          <w:szCs w:val="18"/>
          <w:shd w:val="clear" w:color="auto" w:fill="FFFFFF"/>
        </w:rPr>
        <w:t xml:space="preserve">Email: </w:t>
      </w:r>
      <w:hyperlink r:id="rId13" w:history="1">
        <w:r w:rsidRPr="009E70B9">
          <w:rPr>
            <w:rStyle w:val="Hyperlink"/>
            <w:rFonts w:ascii="Arial" w:hAnsi="Arial" w:cs="Arial"/>
            <w:szCs w:val="18"/>
            <w:shd w:val="clear" w:color="auto" w:fill="FFFFFF"/>
          </w:rPr>
          <w:t>wasamb@um.dk</w:t>
        </w:r>
      </w:hyperlink>
      <w:r>
        <w:rPr>
          <w:rFonts w:ascii="Arial" w:hAnsi="Arial" w:cs="Arial"/>
          <w:szCs w:val="18"/>
          <w:shd w:val="clear" w:color="auto" w:fill="FFFFFF"/>
        </w:rPr>
        <w:t xml:space="preserve"> </w:t>
      </w:r>
      <w:r w:rsidR="00F8516C" w:rsidRPr="00EB75FD">
        <w:rPr>
          <w:rFonts w:ascii="Arial" w:hAnsi="Arial" w:cs="Arial"/>
          <w:szCs w:val="18"/>
          <w:shd w:val="clear" w:color="auto" w:fill="FFFFFF"/>
        </w:rPr>
        <w:t xml:space="preserve"> </w:t>
      </w:r>
    </w:p>
    <w:p w14:paraId="4F4BB0E5" w14:textId="152A14A7" w:rsidR="00EB75FD" w:rsidRPr="00EB75FD" w:rsidRDefault="00EB75FD" w:rsidP="00EB75FD">
      <w:pPr>
        <w:spacing w:after="0" w:line="240" w:lineRule="auto"/>
        <w:ind w:left="-144"/>
        <w:rPr>
          <w:rFonts w:ascii="Arial" w:hAnsi="Arial" w:cs="Arial"/>
          <w:szCs w:val="18"/>
        </w:rPr>
      </w:pPr>
      <w:r>
        <w:rPr>
          <w:rFonts w:ascii="Arial" w:hAnsi="Arial" w:cs="Arial"/>
          <w:szCs w:val="18"/>
          <w:shd w:val="clear" w:color="auto" w:fill="FFFFFF"/>
        </w:rPr>
        <w:t>Salutation: Dear Ambassador</w:t>
      </w:r>
    </w:p>
    <w:p w14:paraId="7DC8D7D7" w14:textId="77777777" w:rsidR="00EB75FD" w:rsidRDefault="00EB75FD" w:rsidP="00F7195D">
      <w:pPr>
        <w:spacing w:after="0" w:line="240" w:lineRule="auto"/>
        <w:ind w:left="-283"/>
        <w:rPr>
          <w:rFonts w:ascii="Arial" w:hAnsi="Arial" w:cs="Arial"/>
          <w:color w:val="auto"/>
          <w:sz w:val="20"/>
          <w:szCs w:val="20"/>
        </w:rPr>
        <w:sectPr w:rsidR="00EB75FD" w:rsidSect="00EB75F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687CEA9" w14:textId="1263127C" w:rsidR="00AD23AB" w:rsidRPr="00F7195D" w:rsidRDefault="00AD23AB" w:rsidP="00F7195D">
      <w:pPr>
        <w:spacing w:after="0" w:line="240" w:lineRule="auto"/>
        <w:ind w:left="-283"/>
        <w:rPr>
          <w:rFonts w:ascii="Arial" w:hAnsi="Arial" w:cs="Arial"/>
          <w:color w:val="auto"/>
          <w:sz w:val="20"/>
          <w:szCs w:val="20"/>
        </w:rPr>
      </w:pPr>
    </w:p>
    <w:p w14:paraId="6BEA19CA" w14:textId="74DC67D2" w:rsidR="00AD23AB" w:rsidRPr="00F7195D" w:rsidRDefault="00AD23AB" w:rsidP="00F7195D">
      <w:pPr>
        <w:spacing w:after="0" w:line="240" w:lineRule="auto"/>
        <w:ind w:left="-283"/>
        <w:rPr>
          <w:rFonts w:ascii="Arial" w:hAnsi="Arial" w:cs="Arial"/>
          <w:color w:val="auto"/>
          <w:sz w:val="20"/>
          <w:szCs w:val="20"/>
        </w:rPr>
      </w:pPr>
      <w:r w:rsidRPr="00F7195D">
        <w:rPr>
          <w:rFonts w:ascii="Arial" w:hAnsi="Arial" w:cs="Arial"/>
          <w:color w:val="auto"/>
          <w:sz w:val="20"/>
          <w:szCs w:val="20"/>
        </w:rPr>
        <w:t>Dear Mattias Tesfaye,</w:t>
      </w:r>
    </w:p>
    <w:p w14:paraId="0EEC429D" w14:textId="77777777" w:rsidR="00AD23AB" w:rsidRPr="00EB75FD" w:rsidRDefault="00AD23AB" w:rsidP="00F7195D">
      <w:pPr>
        <w:spacing w:after="0" w:line="240" w:lineRule="auto"/>
        <w:ind w:left="-283"/>
        <w:rPr>
          <w:rFonts w:ascii="Arial" w:hAnsi="Arial" w:cs="Arial"/>
          <w:color w:val="auto"/>
          <w:sz w:val="14"/>
          <w:szCs w:val="14"/>
        </w:rPr>
      </w:pPr>
    </w:p>
    <w:p w14:paraId="18C427A0" w14:textId="0BE52880"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I am writing to call on the government of Denmark to halt the review process of the residency permits of Syrian refugees and renew the temporary residency of Syrian refugees who sought refuge in Denmark after fleeing the armed conflict in their country. All Syrian asylum seekers should be granted protection in Denmark.</w:t>
      </w:r>
    </w:p>
    <w:p w14:paraId="3830ED82" w14:textId="77777777" w:rsidR="00AD23AB" w:rsidRPr="00EB75FD" w:rsidRDefault="00AD23AB" w:rsidP="00F7195D">
      <w:pPr>
        <w:spacing w:after="0" w:line="240" w:lineRule="auto"/>
        <w:ind w:left="-283"/>
        <w:jc w:val="both"/>
        <w:rPr>
          <w:rFonts w:ascii="Arial" w:hAnsi="Arial" w:cs="Arial"/>
          <w:bCs/>
          <w:color w:val="auto"/>
          <w:sz w:val="14"/>
          <w:szCs w:val="14"/>
          <w:lang w:eastAsia="es-MX"/>
        </w:rPr>
      </w:pPr>
    </w:p>
    <w:p w14:paraId="48145989" w14:textId="55C28D56"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val="en-US" w:eastAsia="es-MX"/>
        </w:rPr>
        <w:t xml:space="preserve">By April </w:t>
      </w:r>
      <w:r w:rsidR="00F7195D">
        <w:rPr>
          <w:rFonts w:ascii="Arial" w:hAnsi="Arial" w:cs="Arial"/>
          <w:bCs/>
          <w:color w:val="auto"/>
          <w:sz w:val="20"/>
          <w:szCs w:val="20"/>
          <w:lang w:val="en-US" w:eastAsia="es-MX"/>
        </w:rPr>
        <w:t xml:space="preserve">1, </w:t>
      </w:r>
      <w:r w:rsidRPr="00F7195D">
        <w:rPr>
          <w:rFonts w:ascii="Arial" w:hAnsi="Arial" w:cs="Arial"/>
          <w:bCs/>
          <w:color w:val="auto"/>
          <w:sz w:val="20"/>
          <w:szCs w:val="20"/>
          <w:lang w:val="en-US" w:eastAsia="es-MX"/>
        </w:rPr>
        <w:t xml:space="preserve">2021, 380 Syrians have already had their residency permits revoked or not renewed at the Immigration Service (first instance) and are now either waiting or have received a final decision by the Danish Refugee Appeals Board (last instance). </w:t>
      </w:r>
      <w:r w:rsidRPr="00F7195D">
        <w:rPr>
          <w:rFonts w:ascii="Arial" w:hAnsi="Arial" w:cs="Arial"/>
          <w:color w:val="auto"/>
          <w:sz w:val="20"/>
          <w:szCs w:val="20"/>
          <w:lang w:val="en-US"/>
        </w:rPr>
        <w:t>By April 2021, at least 39 Syrians who fled the armed conflict in Syria have received a final decision on their case and have been put in a so-called ‘return position’ in Denmark – meaning that they are at risk of being deported if Denmark re-establishes diplomatic ties with the Syrian regime.</w:t>
      </w:r>
    </w:p>
    <w:p w14:paraId="4FBBB748" w14:textId="77777777" w:rsidR="00AD23AB" w:rsidRPr="00EB75FD" w:rsidRDefault="00AD23AB" w:rsidP="00F7195D">
      <w:pPr>
        <w:spacing w:after="0" w:line="240" w:lineRule="auto"/>
        <w:ind w:left="-283"/>
        <w:jc w:val="both"/>
        <w:rPr>
          <w:rFonts w:ascii="Arial" w:hAnsi="Arial" w:cs="Arial"/>
          <w:bCs/>
          <w:color w:val="auto"/>
          <w:sz w:val="14"/>
          <w:szCs w:val="14"/>
          <w:lang w:eastAsia="es-MX"/>
        </w:rPr>
      </w:pPr>
    </w:p>
    <w:p w14:paraId="6F732F2D" w14:textId="714F5D89"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I am concerned that Syrians affected by the decision to review residency permits will be transferred to “return centres” where they would not have access to work or education opportunities, despite no immediate prospect of deportation. I am also concerned that these conditions may pressure them to return to Syria, where they would be at real risk of serious human rights violations.</w:t>
      </w:r>
    </w:p>
    <w:p w14:paraId="30E5D260" w14:textId="77777777" w:rsidR="00AD23AB" w:rsidRPr="00F7195D" w:rsidRDefault="00AD23AB" w:rsidP="00F7195D">
      <w:pPr>
        <w:spacing w:after="0" w:line="240" w:lineRule="auto"/>
        <w:ind w:left="-283"/>
        <w:jc w:val="both"/>
        <w:rPr>
          <w:rFonts w:ascii="Arial" w:hAnsi="Arial" w:cs="Arial"/>
          <w:bCs/>
          <w:color w:val="auto"/>
          <w:sz w:val="16"/>
          <w:szCs w:val="16"/>
          <w:lang w:eastAsia="es-MX"/>
        </w:rPr>
      </w:pPr>
    </w:p>
    <w:p w14:paraId="7BC47E9E" w14:textId="77777777"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 xml:space="preserve">The cessation of hostilities in certain areas of Syria does not mean that people can safely go back. Amnesty International has exhaustively documented the continued crimes taking place in Syria. Civilians in Syria, including refugees who returned, are at risk of serious human rights violations, such as arbitrary detention, </w:t>
      </w:r>
      <w:proofErr w:type="gramStart"/>
      <w:r w:rsidRPr="00F7195D">
        <w:rPr>
          <w:rFonts w:ascii="Arial" w:hAnsi="Arial" w:cs="Arial"/>
          <w:bCs/>
          <w:color w:val="auto"/>
          <w:sz w:val="20"/>
          <w:szCs w:val="20"/>
          <w:lang w:eastAsia="es-MX"/>
        </w:rPr>
        <w:t>torture</w:t>
      </w:r>
      <w:proofErr w:type="gramEnd"/>
      <w:r w:rsidRPr="00F7195D">
        <w:rPr>
          <w:rFonts w:ascii="Arial" w:hAnsi="Arial" w:cs="Arial"/>
          <w:bCs/>
          <w:color w:val="auto"/>
          <w:sz w:val="20"/>
          <w:szCs w:val="20"/>
          <w:lang w:eastAsia="es-MX"/>
        </w:rPr>
        <w:t xml:space="preserve"> and other ill-treatment, and enforced disappearance.</w:t>
      </w:r>
    </w:p>
    <w:p w14:paraId="3C3A7A1F" w14:textId="77777777" w:rsidR="00AD23AB" w:rsidRPr="00F7195D" w:rsidRDefault="00AD23AB" w:rsidP="00F7195D">
      <w:pPr>
        <w:spacing w:after="0" w:line="240" w:lineRule="auto"/>
        <w:ind w:left="-283"/>
        <w:jc w:val="both"/>
        <w:rPr>
          <w:rFonts w:ascii="Arial" w:hAnsi="Arial" w:cs="Arial"/>
          <w:bCs/>
          <w:color w:val="auto"/>
          <w:sz w:val="16"/>
          <w:szCs w:val="16"/>
          <w:lang w:eastAsia="es-MX"/>
        </w:rPr>
      </w:pPr>
    </w:p>
    <w:p w14:paraId="2A6BC184" w14:textId="0CC45157"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 xml:space="preserve">I urge you to take immediate steps to ensure the continuation of protection to all Syrians residing in Denmark, including those who have temporary residency permits. All Syrians </w:t>
      </w:r>
      <w:proofErr w:type="gramStart"/>
      <w:r w:rsidRPr="00F7195D">
        <w:rPr>
          <w:rFonts w:ascii="Arial" w:hAnsi="Arial" w:cs="Arial"/>
          <w:bCs/>
          <w:color w:val="auto"/>
          <w:sz w:val="20"/>
          <w:szCs w:val="20"/>
          <w:lang w:eastAsia="es-MX"/>
        </w:rPr>
        <w:t>are in need of</w:t>
      </w:r>
      <w:proofErr w:type="gramEnd"/>
      <w:r w:rsidRPr="00F7195D">
        <w:rPr>
          <w:rFonts w:ascii="Arial" w:hAnsi="Arial" w:cs="Arial"/>
          <w:bCs/>
          <w:color w:val="auto"/>
          <w:sz w:val="20"/>
          <w:szCs w:val="20"/>
          <w:lang w:eastAsia="es-MX"/>
        </w:rPr>
        <w:t xml:space="preserve"> protection until there is a situation where their fundamental rights are no longer at risk in Syria.</w:t>
      </w:r>
    </w:p>
    <w:p w14:paraId="02EBBF05" w14:textId="77777777" w:rsidR="00AD23AB" w:rsidRPr="00F7195D" w:rsidRDefault="00AD23AB" w:rsidP="00F7195D">
      <w:pPr>
        <w:spacing w:after="0" w:line="240" w:lineRule="auto"/>
        <w:ind w:left="-283"/>
        <w:jc w:val="both"/>
        <w:rPr>
          <w:rFonts w:ascii="Arial" w:hAnsi="Arial" w:cs="Arial"/>
          <w:color w:val="auto"/>
          <w:sz w:val="20"/>
          <w:szCs w:val="20"/>
        </w:rPr>
      </w:pPr>
    </w:p>
    <w:p w14:paraId="553597AF" w14:textId="2F962A70" w:rsidR="005D2C37" w:rsidRPr="00F7195D" w:rsidRDefault="00F7195D" w:rsidP="00F7195D">
      <w:pPr>
        <w:spacing w:after="0" w:line="240" w:lineRule="auto"/>
        <w:ind w:left="-283"/>
        <w:jc w:val="both"/>
        <w:rPr>
          <w:rFonts w:ascii="Arial" w:hAnsi="Arial" w:cs="Arial"/>
          <w:color w:val="auto"/>
          <w:sz w:val="20"/>
          <w:szCs w:val="20"/>
        </w:rPr>
      </w:pPr>
      <w:r>
        <w:rPr>
          <w:rFonts w:ascii="Arial" w:hAnsi="Arial" w:cs="Arial"/>
          <w:color w:val="auto"/>
          <w:sz w:val="20"/>
          <w:szCs w:val="20"/>
        </w:rPr>
        <w:t>S</w:t>
      </w:r>
      <w:r w:rsidR="00AD23AB" w:rsidRPr="00F7195D">
        <w:rPr>
          <w:rFonts w:ascii="Arial" w:hAnsi="Arial" w:cs="Arial"/>
          <w:color w:val="auto"/>
          <w:sz w:val="20"/>
          <w:szCs w:val="20"/>
        </w:rPr>
        <w:t>incerely,</w:t>
      </w:r>
    </w:p>
    <w:p w14:paraId="3519D5AA" w14:textId="77777777" w:rsidR="0082127B" w:rsidRPr="00F7195D" w:rsidRDefault="0082127B" w:rsidP="00F7195D">
      <w:pPr>
        <w:pStyle w:val="AIBoxHeading"/>
        <w:shd w:val="clear" w:color="auto" w:fill="D9D9D9" w:themeFill="background1" w:themeFillShade="D9"/>
        <w:spacing w:line="240" w:lineRule="auto"/>
        <w:ind w:left="-288"/>
        <w:rPr>
          <w:rFonts w:ascii="Arial" w:hAnsi="Arial" w:cs="Arial"/>
          <w:b/>
          <w:sz w:val="32"/>
          <w:szCs w:val="32"/>
        </w:rPr>
      </w:pPr>
      <w:r w:rsidRPr="00F7195D">
        <w:rPr>
          <w:rFonts w:ascii="Arial" w:hAnsi="Arial" w:cs="Arial"/>
          <w:b/>
          <w:sz w:val="32"/>
          <w:szCs w:val="32"/>
        </w:rPr>
        <w:lastRenderedPageBreak/>
        <w:t>Additional information</w:t>
      </w:r>
    </w:p>
    <w:p w14:paraId="4D02E4E5" w14:textId="77777777" w:rsidR="00AD23AB" w:rsidRPr="00F7195D" w:rsidRDefault="00AD23AB" w:rsidP="00F7195D">
      <w:pPr>
        <w:spacing w:after="0" w:line="240" w:lineRule="auto"/>
        <w:ind w:left="-288"/>
        <w:jc w:val="both"/>
        <w:rPr>
          <w:rFonts w:ascii="Arial" w:hAnsi="Arial" w:cs="Arial"/>
          <w:lang w:val="en-US" w:eastAsia="en-US"/>
        </w:rPr>
      </w:pPr>
    </w:p>
    <w:p w14:paraId="3472C72C" w14:textId="6271359E" w:rsidR="00AD23AB" w:rsidRPr="00F7195D" w:rsidRDefault="00AD23AB" w:rsidP="00F7195D">
      <w:pPr>
        <w:spacing w:line="240" w:lineRule="auto"/>
        <w:ind w:left="-288"/>
        <w:jc w:val="both"/>
        <w:rPr>
          <w:rFonts w:ascii="Arial" w:hAnsi="Arial" w:cs="Arial"/>
          <w:color w:val="auto"/>
          <w:szCs w:val="18"/>
          <w:lang w:val="en-US" w:eastAsia="en-US"/>
        </w:rPr>
      </w:pPr>
      <w:r w:rsidRPr="00F7195D">
        <w:rPr>
          <w:rFonts w:ascii="Arial" w:hAnsi="Arial" w:cs="Arial"/>
          <w:szCs w:val="18"/>
          <w:lang w:val="en-US" w:eastAsia="en-US"/>
        </w:rPr>
        <w:t xml:space="preserve">Against the backdrop of contested country-of-origin reports on the situation in Syria, the Danish Immigration Service and the Danish Refugee Appeals Board consider Damascus - and from February 2021 also the rural Damascus </w:t>
      </w:r>
      <w:r w:rsidRPr="00F7195D">
        <w:rPr>
          <w:rFonts w:ascii="Arial" w:hAnsi="Arial" w:cs="Arial"/>
          <w:color w:val="auto"/>
          <w:szCs w:val="18"/>
          <w:lang w:val="en-US" w:eastAsia="en-US"/>
        </w:rPr>
        <w:t>region - “safe” for returns.</w:t>
      </w:r>
    </w:p>
    <w:p w14:paraId="324FBABA" w14:textId="77777777" w:rsidR="00AD23AB" w:rsidRPr="00F7195D" w:rsidRDefault="00AD23AB" w:rsidP="00F7195D">
      <w:pPr>
        <w:spacing w:line="240" w:lineRule="auto"/>
        <w:ind w:left="-288"/>
        <w:jc w:val="both"/>
        <w:rPr>
          <w:rFonts w:ascii="Arial" w:hAnsi="Arial" w:cs="Arial"/>
          <w:color w:val="auto"/>
          <w:szCs w:val="18"/>
          <w:lang w:val="en-US" w:eastAsia="en-US"/>
        </w:rPr>
      </w:pPr>
      <w:r w:rsidRPr="00F7195D">
        <w:rPr>
          <w:rFonts w:ascii="Arial" w:hAnsi="Arial" w:cs="Arial"/>
          <w:color w:val="auto"/>
          <w:szCs w:val="18"/>
          <w:lang w:val="en-US" w:eastAsia="en-US"/>
        </w:rPr>
        <w:t xml:space="preserve">By April 2021, at least 39 Syrians who fled the armed conflict in Syria have received a final decision on their case and have been put in a so-called ‘return position’ in Denmark – meaning that they are at risk of being deported if Denmark re-establishes diplomatic ties with the Syrian regime. 30 days after the denial of asylum, revocation or non-renewal of their residence permits, Syrian refugees will be placed in return centers where they are unable to work or study. Denmark does not have any diplomatic ties with the Syrian regime and cannot carry out deportations. </w:t>
      </w:r>
      <w:r w:rsidRPr="00F7195D">
        <w:rPr>
          <w:rFonts w:ascii="Arial" w:hAnsi="Arial" w:cs="Arial"/>
          <w:bCs/>
          <w:color w:val="auto"/>
          <w:szCs w:val="18"/>
          <w:lang w:val="en-US" w:eastAsia="en-US"/>
        </w:rPr>
        <w:t xml:space="preserve">According to the Danish Aliens Act, the Danish authorities could use “motivation-inducing” measures – including detention – </w:t>
      </w:r>
      <w:r w:rsidRPr="00F7195D">
        <w:rPr>
          <w:rFonts w:ascii="Arial" w:hAnsi="Arial" w:cs="Arial"/>
          <w:color w:val="auto"/>
          <w:szCs w:val="18"/>
          <w:lang w:eastAsia="en-US"/>
        </w:rPr>
        <w:t>to “motivate” foreign nationals without regular migration status to “voluntarily” return.</w:t>
      </w:r>
    </w:p>
    <w:p w14:paraId="37BB3FF2" w14:textId="2C22E563" w:rsidR="00AD23AB" w:rsidRPr="00F7195D" w:rsidRDefault="00AD23AB" w:rsidP="00F7195D">
      <w:pPr>
        <w:spacing w:line="240" w:lineRule="auto"/>
        <w:ind w:left="-288"/>
        <w:jc w:val="both"/>
        <w:rPr>
          <w:rFonts w:ascii="Arial" w:hAnsi="Arial" w:cs="Arial"/>
          <w:color w:val="auto"/>
          <w:szCs w:val="18"/>
          <w:lang w:eastAsia="en-US"/>
        </w:rPr>
      </w:pPr>
      <w:r w:rsidRPr="00F7195D">
        <w:rPr>
          <w:rFonts w:ascii="Arial" w:hAnsi="Arial" w:cs="Arial"/>
          <w:color w:val="auto"/>
          <w:szCs w:val="18"/>
          <w:lang w:eastAsia="en-US"/>
        </w:rPr>
        <w:t xml:space="preserve">Amnesty International is deeply concerned that Syrians without residence permits will face serious restrictions, possibly including detention, to “incentivize” their “voluntary” return to Syria. As people are placed in return centres without access to work or education, the conditions imposed by the Danish government leave them with little alternative and might pressure them to return. </w:t>
      </w:r>
      <w:r w:rsidRPr="00F7195D">
        <w:rPr>
          <w:rFonts w:ascii="Arial" w:hAnsi="Arial" w:cs="Arial"/>
          <w:bCs/>
          <w:color w:val="auto"/>
          <w:szCs w:val="18"/>
          <w:lang w:val="en-US" w:eastAsia="en-US"/>
        </w:rPr>
        <w:t xml:space="preserve">Amnesty International believes that stripping individuals of their regular migration status, </w:t>
      </w:r>
      <w:proofErr w:type="gramStart"/>
      <w:r w:rsidRPr="00F7195D">
        <w:rPr>
          <w:rFonts w:ascii="Arial" w:hAnsi="Arial" w:cs="Arial"/>
          <w:bCs/>
          <w:color w:val="auto"/>
          <w:szCs w:val="18"/>
          <w:lang w:val="en-US" w:eastAsia="en-US"/>
        </w:rPr>
        <w:t>job</w:t>
      </w:r>
      <w:proofErr w:type="gramEnd"/>
      <w:r w:rsidRPr="00F7195D">
        <w:rPr>
          <w:rFonts w:ascii="Arial" w:hAnsi="Arial" w:cs="Arial"/>
          <w:bCs/>
          <w:color w:val="auto"/>
          <w:szCs w:val="18"/>
          <w:lang w:val="en-US" w:eastAsia="en-US"/>
        </w:rPr>
        <w:t xml:space="preserve"> and education, imposes on them conditions that pressure them to return to Syria. This is a violation of the international law obligation of non-refoulement, which prohibits states from transferring people, directly or indirectly, to a place where </w:t>
      </w:r>
      <w:r w:rsidRPr="00F7195D">
        <w:rPr>
          <w:rFonts w:ascii="Arial" w:hAnsi="Arial" w:cs="Arial"/>
          <w:color w:val="auto"/>
          <w:szCs w:val="18"/>
          <w:lang w:eastAsia="en-US"/>
        </w:rPr>
        <w:t>they would be at real risk of serious human rights violations.</w:t>
      </w:r>
    </w:p>
    <w:p w14:paraId="2591009B" w14:textId="51C6CB86" w:rsidR="00AD23AB" w:rsidRPr="00F7195D" w:rsidRDefault="00AD23AB" w:rsidP="00F7195D">
      <w:pPr>
        <w:spacing w:line="240" w:lineRule="auto"/>
        <w:ind w:left="-288"/>
        <w:jc w:val="both"/>
        <w:rPr>
          <w:rFonts w:ascii="Arial" w:hAnsi="Arial" w:cs="Arial"/>
          <w:color w:val="auto"/>
          <w:szCs w:val="18"/>
          <w:lang w:eastAsia="en-US"/>
        </w:rPr>
      </w:pPr>
      <w:r w:rsidRPr="00F7195D">
        <w:rPr>
          <w:rFonts w:ascii="Arial" w:hAnsi="Arial" w:cs="Arial"/>
          <w:color w:val="auto"/>
          <w:szCs w:val="18"/>
          <w:lang w:eastAsia="en-US"/>
        </w:rPr>
        <w:t>Danish Immigration authorities are using the current absence of hostilities in Damascus and the Rif-region as a justification to either revoke or refuse to renew residency permits. According to Amnesty International’s documentation, residents from Damascus and the Rif-region would still face a real risk of persecution or other serious human rights violations upon return - regardless of the absence of conduct of hostilities - and are therefore still in need of international protection.</w:t>
      </w:r>
    </w:p>
    <w:p w14:paraId="46D0FE0B" w14:textId="77777777" w:rsidR="00AD23AB" w:rsidRPr="00F7195D" w:rsidRDefault="00AD23AB" w:rsidP="00F7195D">
      <w:pPr>
        <w:spacing w:line="240" w:lineRule="auto"/>
        <w:ind w:left="-288"/>
        <w:jc w:val="both"/>
        <w:rPr>
          <w:rFonts w:ascii="Arial" w:hAnsi="Arial" w:cs="Arial"/>
          <w:color w:val="auto"/>
          <w:szCs w:val="18"/>
          <w:lang w:eastAsia="en-US"/>
        </w:rPr>
      </w:pPr>
      <w:r w:rsidRPr="00F7195D">
        <w:rPr>
          <w:rFonts w:ascii="Arial" w:hAnsi="Arial" w:cs="Arial"/>
          <w:color w:val="auto"/>
          <w:szCs w:val="18"/>
          <w:lang w:eastAsia="en-US"/>
        </w:rPr>
        <w:t>Amnesty International is currently conducting research on violations against Syrian refugees who have returned to Syrian government-controlled areas, including to Damascus. Our research to date shows that civilians returning to their place of origin in government-controlled areas are requested to go through a “security clearance” involving interrogation by Syrian security forces. Amnesty International considers these forces to be responsible for widespread and systematic human rights violations and abuses constituting crimes against humanity, including the use of torture, extrajudicial executions and enforced disappearances.</w:t>
      </w:r>
    </w:p>
    <w:p w14:paraId="5AAECDA0" w14:textId="135D6C0F" w:rsidR="00AD23AB" w:rsidRPr="00F7195D" w:rsidRDefault="00AD23AB" w:rsidP="00F7195D">
      <w:pPr>
        <w:spacing w:line="240" w:lineRule="auto"/>
        <w:ind w:left="-288"/>
        <w:jc w:val="both"/>
        <w:rPr>
          <w:rFonts w:ascii="Arial" w:hAnsi="Arial" w:cs="Arial"/>
          <w:color w:val="auto"/>
          <w:szCs w:val="18"/>
          <w:lang w:eastAsia="en-US"/>
        </w:rPr>
      </w:pPr>
      <w:r w:rsidRPr="00F7195D">
        <w:rPr>
          <w:rFonts w:ascii="Arial" w:hAnsi="Arial" w:cs="Arial"/>
          <w:color w:val="auto"/>
          <w:szCs w:val="18"/>
          <w:lang w:eastAsia="en-US"/>
        </w:rPr>
        <w:t>In 2019 the Danish government introduced a so-called “paradigm-shift” in its immigration and refugee policies. The focus changed from supporting integration to emphasizing the hoped-for short duration of protection and using all measures to effect return at the earliest opportunity. Part of the shift was to grant temporary residency permits to refugees in need of protection instead of the permanent status previously granted. In December 2019 the Danish Refugee Appeals Board ruled to deny asylum to three Syrian nationals from Damascus, stating that the individuals were not at risk of persecution due to the “general conditions” in the area.</w:t>
      </w:r>
      <w:r w:rsidRPr="00F7195D">
        <w:rPr>
          <w:rStyle w:val="FootnoteReference"/>
          <w:rFonts w:ascii="Arial" w:hAnsi="Arial" w:cs="Arial"/>
          <w:color w:val="auto"/>
          <w:szCs w:val="18"/>
          <w:lang w:eastAsia="en-US"/>
        </w:rPr>
        <w:footnoteReference w:id="1"/>
      </w:r>
      <w:r w:rsidRPr="00F7195D">
        <w:rPr>
          <w:rFonts w:ascii="Arial" w:hAnsi="Arial" w:cs="Arial"/>
          <w:color w:val="auto"/>
          <w:szCs w:val="18"/>
          <w:lang w:eastAsia="en-US"/>
        </w:rPr>
        <w:t xml:space="preserve"> The Board partly based its decision on a report from the Danish Immigration Services of 21 February 2019, according to which Syrians from Damascus were not at risk from ‘general violence in Damascus’.</w:t>
      </w:r>
      <w:r w:rsidRPr="00F7195D">
        <w:rPr>
          <w:rStyle w:val="FootnoteReference"/>
          <w:rFonts w:ascii="Arial" w:hAnsi="Arial" w:cs="Arial"/>
          <w:color w:val="auto"/>
          <w:szCs w:val="18"/>
          <w:lang w:eastAsia="en-US"/>
        </w:rPr>
        <w:footnoteReference w:id="2"/>
      </w:r>
      <w:r w:rsidRPr="00F7195D">
        <w:rPr>
          <w:rFonts w:ascii="Arial" w:hAnsi="Arial" w:cs="Arial"/>
          <w:color w:val="auto"/>
          <w:szCs w:val="18"/>
          <w:lang w:eastAsia="en-US"/>
        </w:rPr>
        <w:t xml:space="preserve"> Against this backdrop, the Ministry of Immigration and Integration decided in June 2020 to accelerate the review of residency permits of around 900 refugees from Damascus</w:t>
      </w:r>
      <w:r w:rsidRPr="00F7195D">
        <w:rPr>
          <w:rFonts w:ascii="Arial" w:hAnsi="Arial" w:cs="Arial"/>
          <w:bCs/>
          <w:color w:val="auto"/>
          <w:szCs w:val="18"/>
          <w:lang w:val="en-US" w:eastAsia="es-MX"/>
        </w:rPr>
        <w:t xml:space="preserve"> </w:t>
      </w:r>
      <w:r w:rsidRPr="00F7195D">
        <w:rPr>
          <w:rFonts w:ascii="Arial" w:hAnsi="Arial" w:cs="Arial"/>
          <w:bCs/>
          <w:color w:val="auto"/>
          <w:szCs w:val="18"/>
          <w:lang w:val="en-US" w:eastAsia="en-US"/>
        </w:rPr>
        <w:t>that had been given temporary protection status due to the general violence in Syria</w:t>
      </w:r>
      <w:r w:rsidRPr="00F7195D">
        <w:rPr>
          <w:rFonts w:ascii="Arial" w:hAnsi="Arial" w:cs="Arial"/>
          <w:color w:val="auto"/>
          <w:szCs w:val="18"/>
          <w:lang w:eastAsia="en-US"/>
        </w:rPr>
        <w:t>.</w:t>
      </w:r>
      <w:r w:rsidRPr="00F7195D">
        <w:rPr>
          <w:rStyle w:val="FootnoteReference"/>
          <w:rFonts w:ascii="Arial" w:hAnsi="Arial" w:cs="Arial"/>
          <w:color w:val="auto"/>
          <w:szCs w:val="18"/>
          <w:lang w:eastAsia="en-US"/>
        </w:rPr>
        <w:footnoteReference w:id="3"/>
      </w:r>
      <w:r w:rsidRPr="00F7195D">
        <w:rPr>
          <w:rFonts w:ascii="Arial" w:hAnsi="Arial" w:cs="Arial"/>
          <w:color w:val="auto"/>
          <w:szCs w:val="18"/>
          <w:lang w:eastAsia="en-US"/>
        </w:rPr>
        <w:t xml:space="preserve"> Since February 2021 this decision has now been extended to also include people from Rif-Damascus.</w:t>
      </w:r>
    </w:p>
    <w:p w14:paraId="24E6F99C" w14:textId="77777777" w:rsidR="00F7195D" w:rsidRDefault="00AD23AB" w:rsidP="00F7195D">
      <w:pPr>
        <w:spacing w:after="0" w:line="240" w:lineRule="auto"/>
        <w:ind w:left="-288"/>
        <w:rPr>
          <w:rFonts w:ascii="Arial" w:hAnsi="Arial" w:cs="Arial"/>
          <w:b/>
          <w:sz w:val="20"/>
          <w:szCs w:val="20"/>
        </w:rPr>
      </w:pPr>
      <w:r w:rsidRPr="00F7195D">
        <w:rPr>
          <w:rFonts w:ascii="Arial" w:hAnsi="Arial" w:cs="Arial"/>
          <w:b/>
          <w:sz w:val="20"/>
          <w:szCs w:val="20"/>
        </w:rPr>
        <w:t xml:space="preserve">PREFERRED LANGUAGE TO ADDRESS TARGET: </w:t>
      </w:r>
      <w:r w:rsidRPr="00F7195D">
        <w:rPr>
          <w:rFonts w:ascii="Arial" w:hAnsi="Arial" w:cs="Arial"/>
          <w:sz w:val="20"/>
          <w:szCs w:val="20"/>
        </w:rPr>
        <w:t>English, Danish</w:t>
      </w:r>
      <w:r w:rsidR="00F7195D">
        <w:rPr>
          <w:rFonts w:ascii="Arial" w:hAnsi="Arial" w:cs="Arial"/>
          <w:b/>
          <w:sz w:val="20"/>
          <w:szCs w:val="20"/>
        </w:rPr>
        <w:t xml:space="preserve">. </w:t>
      </w:r>
      <w:r w:rsidRPr="00F7195D">
        <w:rPr>
          <w:rFonts w:ascii="Arial" w:hAnsi="Arial" w:cs="Arial"/>
          <w:sz w:val="20"/>
          <w:szCs w:val="20"/>
        </w:rPr>
        <w:t>You can also write in your own language.</w:t>
      </w:r>
    </w:p>
    <w:p w14:paraId="1D78CD3F" w14:textId="77777777" w:rsidR="00F7195D" w:rsidRDefault="00F7195D" w:rsidP="00F7195D">
      <w:pPr>
        <w:spacing w:after="0" w:line="240" w:lineRule="auto"/>
        <w:ind w:left="-288"/>
        <w:rPr>
          <w:rFonts w:ascii="Arial" w:hAnsi="Arial" w:cs="Arial"/>
          <w:b/>
          <w:sz w:val="20"/>
          <w:szCs w:val="20"/>
        </w:rPr>
      </w:pPr>
    </w:p>
    <w:p w14:paraId="61B74AA7" w14:textId="4C02AB77" w:rsidR="00AD23AB" w:rsidRPr="00F7195D" w:rsidRDefault="00AD23AB" w:rsidP="00F7195D">
      <w:pPr>
        <w:spacing w:after="0" w:line="240" w:lineRule="auto"/>
        <w:ind w:left="-288"/>
        <w:rPr>
          <w:rFonts w:ascii="Arial" w:hAnsi="Arial" w:cs="Arial"/>
          <w:b/>
          <w:sz w:val="20"/>
          <w:szCs w:val="20"/>
        </w:rPr>
      </w:pPr>
      <w:r w:rsidRPr="00F7195D">
        <w:rPr>
          <w:rFonts w:ascii="Arial" w:hAnsi="Arial" w:cs="Arial"/>
          <w:b/>
          <w:sz w:val="20"/>
          <w:szCs w:val="20"/>
        </w:rPr>
        <w:t xml:space="preserve">PLEASE TAKE ACTION AS SOON AS POSSIBLE UNTIL: </w:t>
      </w:r>
      <w:r w:rsidRPr="00F7195D">
        <w:rPr>
          <w:rFonts w:ascii="Arial" w:hAnsi="Arial" w:cs="Arial"/>
          <w:sz w:val="20"/>
          <w:szCs w:val="20"/>
        </w:rPr>
        <w:t xml:space="preserve">June </w:t>
      </w:r>
      <w:r w:rsidR="00F7195D">
        <w:rPr>
          <w:rFonts w:ascii="Arial" w:hAnsi="Arial" w:cs="Arial"/>
          <w:sz w:val="20"/>
          <w:szCs w:val="20"/>
        </w:rPr>
        <w:t xml:space="preserve">22, </w:t>
      </w:r>
      <w:r w:rsidRPr="00F7195D">
        <w:rPr>
          <w:rFonts w:ascii="Arial" w:hAnsi="Arial" w:cs="Arial"/>
          <w:sz w:val="20"/>
          <w:szCs w:val="20"/>
        </w:rPr>
        <w:t xml:space="preserve">2021 </w:t>
      </w:r>
    </w:p>
    <w:p w14:paraId="5E2581D8" w14:textId="5F6D5F4D" w:rsidR="00B92AEC" w:rsidRPr="00F7195D" w:rsidRDefault="00AD23AB" w:rsidP="00F7195D">
      <w:pPr>
        <w:spacing w:after="0" w:line="240" w:lineRule="auto"/>
        <w:ind w:left="-288"/>
        <w:rPr>
          <w:rFonts w:ascii="Arial" w:hAnsi="Arial" w:cs="Arial"/>
          <w:sz w:val="20"/>
          <w:szCs w:val="20"/>
        </w:rPr>
      </w:pPr>
      <w:r w:rsidRPr="00F7195D">
        <w:rPr>
          <w:rFonts w:ascii="Arial" w:hAnsi="Arial" w:cs="Arial"/>
          <w:sz w:val="20"/>
          <w:szCs w:val="20"/>
        </w:rPr>
        <w:t>Please check with the Amnesty office in your country if you wish to send appeals after the deadline.</w:t>
      </w:r>
    </w:p>
    <w:sectPr w:rsidR="00B92AEC" w:rsidRPr="00F7195D" w:rsidSect="00F7195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18B5" w14:textId="77777777" w:rsidR="00660285" w:rsidRDefault="00660285">
      <w:r>
        <w:separator/>
      </w:r>
    </w:p>
  </w:endnote>
  <w:endnote w:type="continuationSeparator" w:id="0">
    <w:p w14:paraId="0150FDE1" w14:textId="77777777" w:rsidR="00660285" w:rsidRDefault="0066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A6F" w14:textId="77777777" w:rsidR="00F7195D" w:rsidRDefault="00F7195D" w:rsidP="00F7195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5E58D15" w14:textId="77777777" w:rsidR="00F7195D" w:rsidRDefault="00F7195D" w:rsidP="00F7195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6FCD5BA" w14:textId="77777777" w:rsidR="00F7195D" w:rsidRDefault="00F7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7820" w14:textId="6468F7D4" w:rsidR="00F7195D" w:rsidRDefault="00F7195D">
    <w:pPr>
      <w:pStyle w:val="Footer"/>
    </w:pPr>
    <w:r>
      <w:rPr>
        <w:noProof/>
      </w:rPr>
      <w:drawing>
        <wp:inline distT="0" distB="0" distL="0" distR="0" wp14:anchorId="5B455804" wp14:editId="10353618">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12CA" w14:textId="77777777" w:rsidR="00660285" w:rsidRDefault="00660285">
      <w:r>
        <w:separator/>
      </w:r>
    </w:p>
  </w:footnote>
  <w:footnote w:type="continuationSeparator" w:id="0">
    <w:p w14:paraId="439F6771" w14:textId="77777777" w:rsidR="00660285" w:rsidRDefault="00660285">
      <w:r>
        <w:continuationSeparator/>
      </w:r>
    </w:p>
  </w:footnote>
  <w:footnote w:id="1">
    <w:p w14:paraId="5B8A9A69" w14:textId="77777777" w:rsidR="00F7195D" w:rsidRPr="00AD23AB" w:rsidRDefault="00F7195D" w:rsidP="00AD23AB">
      <w:pPr>
        <w:pStyle w:val="FootnoteText"/>
        <w:rPr>
          <w:sz w:val="14"/>
          <w:szCs w:val="14"/>
          <w:lang w:val="en-US"/>
        </w:rPr>
      </w:pPr>
      <w:r>
        <w:rPr>
          <w:rStyle w:val="FootnoteReference"/>
        </w:rPr>
        <w:footnoteRef/>
      </w:r>
      <w:r>
        <w:t xml:space="preserve"> </w:t>
      </w:r>
      <w:r w:rsidRPr="00AD23AB">
        <w:rPr>
          <w:sz w:val="14"/>
          <w:szCs w:val="14"/>
        </w:rPr>
        <w:t>The Refugee Board, Statement, 17 December 2019, https://fln.dk/Nyheder/Nyhedsarkiv/2019/17-12-2019?fbclid=IwAR3wCx4gW6PqS-eUsEZWT1yeluR4-eZxegP9YKskDbRzzUqnrqZ_ES8p7MI</w:t>
      </w:r>
    </w:p>
  </w:footnote>
  <w:footnote w:id="2">
    <w:p w14:paraId="6F528954" w14:textId="77777777" w:rsidR="00F7195D" w:rsidRPr="00AD23AB" w:rsidRDefault="00F7195D" w:rsidP="00AD23AB">
      <w:pPr>
        <w:pStyle w:val="FootnoteText"/>
        <w:rPr>
          <w:sz w:val="14"/>
          <w:szCs w:val="14"/>
          <w:lang w:val="da-DK"/>
        </w:rPr>
      </w:pPr>
      <w:r w:rsidRPr="00AD23AB">
        <w:rPr>
          <w:rStyle w:val="FootnoteReference"/>
          <w:sz w:val="14"/>
          <w:szCs w:val="14"/>
        </w:rPr>
        <w:footnoteRef/>
      </w:r>
      <w:r w:rsidRPr="00AD23AB">
        <w:rPr>
          <w:sz w:val="14"/>
          <w:szCs w:val="14"/>
          <w:lang w:val="da-DK"/>
        </w:rPr>
        <w:t xml:space="preserve"> </w:t>
      </w:r>
      <w:r w:rsidRPr="00AD23AB">
        <w:rPr>
          <w:sz w:val="14"/>
          <w:szCs w:val="14"/>
          <w:lang w:val="da-DK"/>
        </w:rPr>
        <w:t>Integrationsministeriet, ”Regeringen saetter gang i genvurdering af syriske flygtninges behov for beskyttelse”, 28 June 2020 https://www.regeringen.dk/nyheder/2020/regeringen-saetter-gang-i-genvurdering-af-syriske-flygtninges-behov-for-beskyttelse/</w:t>
      </w:r>
    </w:p>
  </w:footnote>
  <w:footnote w:id="3">
    <w:p w14:paraId="4C6B5DE4" w14:textId="77777777" w:rsidR="00F7195D" w:rsidRPr="00451758" w:rsidRDefault="00F7195D" w:rsidP="00AD23AB">
      <w:pPr>
        <w:pStyle w:val="FootnoteText"/>
        <w:rPr>
          <w:lang w:val="en-US"/>
        </w:rPr>
      </w:pPr>
      <w:r w:rsidRPr="00AD23AB">
        <w:rPr>
          <w:rStyle w:val="FootnoteReference"/>
          <w:sz w:val="14"/>
          <w:szCs w:val="14"/>
        </w:rPr>
        <w:footnoteRef/>
      </w:r>
      <w:r w:rsidRPr="00AD23AB">
        <w:rPr>
          <w:sz w:val="14"/>
          <w:szCs w:val="14"/>
        </w:rPr>
        <w:t xml:space="preserve"> </w:t>
      </w:r>
      <w:proofErr w:type="spellStart"/>
      <w:r w:rsidRPr="00AD23AB">
        <w:rPr>
          <w:sz w:val="14"/>
          <w:szCs w:val="14"/>
        </w:rPr>
        <w:t>Integrationsministeriet</w:t>
      </w:r>
      <w:proofErr w:type="spellEnd"/>
      <w:r w:rsidRPr="00AD23AB">
        <w:rPr>
          <w:sz w:val="14"/>
          <w:szCs w:val="14"/>
        </w:rPr>
        <w:t xml:space="preserve">, Press statement, 28 June 2020, </w:t>
      </w:r>
      <w:hyperlink r:id="rId1" w:history="1">
        <w:r w:rsidRPr="00AD23AB">
          <w:rPr>
            <w:rStyle w:val="Hyperlink"/>
            <w:sz w:val="14"/>
            <w:szCs w:val="14"/>
          </w:rPr>
          <w:t>https://uim.dk/nyheder/regeringen-saetter-gang-i-genvurdering-af-syriske-flygtninges-behov-for-beskyttelse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6685" w14:textId="56C5B296" w:rsidR="00F7195D" w:rsidRPr="004B4367" w:rsidRDefault="00F7195D" w:rsidP="00AD23AB">
    <w:pPr>
      <w:tabs>
        <w:tab w:val="left" w:pos="6060"/>
        <w:tab w:val="right" w:pos="10203"/>
      </w:tabs>
      <w:spacing w:after="0"/>
      <w:rPr>
        <w:sz w:val="16"/>
        <w:szCs w:val="16"/>
      </w:rPr>
    </w:pPr>
    <w:r w:rsidRPr="004B4367">
      <w:rPr>
        <w:sz w:val="16"/>
        <w:szCs w:val="16"/>
      </w:rPr>
      <w:t>First UA: 45/21 Index: EUR 18/4010/2021 Denm</w:t>
    </w:r>
    <w:r>
      <w:rPr>
        <w:sz w:val="16"/>
        <w:szCs w:val="16"/>
      </w:rPr>
      <w:t>ark</w:t>
    </w:r>
    <w:r w:rsidRPr="004B4367">
      <w:rPr>
        <w:sz w:val="16"/>
        <w:szCs w:val="16"/>
      </w:rPr>
      <w:tab/>
    </w:r>
    <w:r w:rsidRPr="004B4367">
      <w:rPr>
        <w:sz w:val="16"/>
        <w:szCs w:val="16"/>
      </w:rPr>
      <w:tab/>
      <w:t xml:space="preserve">Date: </w:t>
    </w:r>
    <w:r>
      <w:rPr>
        <w:sz w:val="16"/>
        <w:szCs w:val="16"/>
      </w:rPr>
      <w:t xml:space="preserve">April </w:t>
    </w:r>
    <w:r w:rsidR="00F8516C">
      <w:rPr>
        <w:sz w:val="16"/>
        <w:szCs w:val="16"/>
      </w:rPr>
      <w:t xml:space="preserve">27, </w:t>
    </w:r>
    <w:r>
      <w:rPr>
        <w:sz w:val="16"/>
        <w:szCs w:val="16"/>
      </w:rPr>
      <w:t>2021</w:t>
    </w:r>
  </w:p>
  <w:p w14:paraId="790997FB" w14:textId="77777777" w:rsidR="00F7195D" w:rsidRPr="00980425" w:rsidRDefault="00F7195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3C00" w14:textId="5BF93DD4" w:rsidR="00F7195D" w:rsidRDefault="00F7195D" w:rsidP="00F7195D">
    <w:pPr>
      <w:tabs>
        <w:tab w:val="left" w:pos="6060"/>
        <w:tab w:val="right" w:pos="10203"/>
      </w:tabs>
      <w:spacing w:after="0"/>
      <w:rPr>
        <w:sz w:val="16"/>
        <w:szCs w:val="16"/>
      </w:rPr>
    </w:pPr>
    <w:r w:rsidRPr="004B4367">
      <w:rPr>
        <w:sz w:val="16"/>
        <w:szCs w:val="16"/>
      </w:rPr>
      <w:t>First UA: 45/21 Index: EUR 18/4010/2021 Denm</w:t>
    </w:r>
    <w:r>
      <w:rPr>
        <w:sz w:val="16"/>
        <w:szCs w:val="16"/>
      </w:rPr>
      <w:t>ark</w:t>
    </w:r>
    <w:r w:rsidRPr="004B4367">
      <w:rPr>
        <w:sz w:val="16"/>
        <w:szCs w:val="16"/>
      </w:rPr>
      <w:tab/>
    </w:r>
    <w:r w:rsidRPr="004B4367">
      <w:rPr>
        <w:sz w:val="16"/>
        <w:szCs w:val="16"/>
      </w:rPr>
      <w:tab/>
      <w:t xml:space="preserve">Date: </w:t>
    </w:r>
    <w:r>
      <w:rPr>
        <w:sz w:val="16"/>
        <w:szCs w:val="16"/>
      </w:rPr>
      <w:t xml:space="preserve">April </w:t>
    </w:r>
    <w:r w:rsidR="00F8516C">
      <w:rPr>
        <w:sz w:val="16"/>
        <w:szCs w:val="16"/>
      </w:rPr>
      <w:t xml:space="preserve">27, </w:t>
    </w:r>
    <w:r>
      <w:rPr>
        <w:sz w:val="16"/>
        <w:szCs w:val="16"/>
      </w:rPr>
      <w:t>2021</w:t>
    </w:r>
  </w:p>
  <w:p w14:paraId="1365A40D" w14:textId="77777777" w:rsidR="00F7195D" w:rsidRPr="00F7195D" w:rsidRDefault="00F7195D" w:rsidP="00F7195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14D778C"/>
    <w:multiLevelType w:val="multilevel"/>
    <w:tmpl w:val="FB22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EF6490"/>
    <w:multiLevelType w:val="multilevel"/>
    <w:tmpl w:val="71B80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AB"/>
    <w:rsid w:val="00001383"/>
    <w:rsid w:val="00004D79"/>
    <w:rsid w:val="000058B2"/>
    <w:rsid w:val="00006629"/>
    <w:rsid w:val="0002386F"/>
    <w:rsid w:val="00057A7E"/>
    <w:rsid w:val="000657EC"/>
    <w:rsid w:val="00076037"/>
    <w:rsid w:val="00083462"/>
    <w:rsid w:val="00087E2B"/>
    <w:rsid w:val="0009130D"/>
    <w:rsid w:val="00092DFA"/>
    <w:rsid w:val="000957C5"/>
    <w:rsid w:val="000977B7"/>
    <w:rsid w:val="000A1F14"/>
    <w:rsid w:val="000B02B4"/>
    <w:rsid w:val="000B4A38"/>
    <w:rsid w:val="000C2A0D"/>
    <w:rsid w:val="000C6196"/>
    <w:rsid w:val="000D0ABB"/>
    <w:rsid w:val="000D70C1"/>
    <w:rsid w:val="000E0D61"/>
    <w:rsid w:val="000E57D4"/>
    <w:rsid w:val="000F3012"/>
    <w:rsid w:val="00100FE4"/>
    <w:rsid w:val="0010425E"/>
    <w:rsid w:val="0010455D"/>
    <w:rsid w:val="00105162"/>
    <w:rsid w:val="00106837"/>
    <w:rsid w:val="00106D61"/>
    <w:rsid w:val="00114556"/>
    <w:rsid w:val="0012544D"/>
    <w:rsid w:val="001300C3"/>
    <w:rsid w:val="00130B8A"/>
    <w:rsid w:val="0014617E"/>
    <w:rsid w:val="001526C3"/>
    <w:rsid w:val="001561F4"/>
    <w:rsid w:val="0015685D"/>
    <w:rsid w:val="0016118D"/>
    <w:rsid w:val="001648DB"/>
    <w:rsid w:val="00174398"/>
    <w:rsid w:val="00176678"/>
    <w:rsid w:val="001773D1"/>
    <w:rsid w:val="00177779"/>
    <w:rsid w:val="0019118D"/>
    <w:rsid w:val="00194CD5"/>
    <w:rsid w:val="001A635D"/>
    <w:rsid w:val="001A6AC9"/>
    <w:rsid w:val="001A74AA"/>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718"/>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71AC"/>
    <w:rsid w:val="003B294A"/>
    <w:rsid w:val="003B5483"/>
    <w:rsid w:val="003C3210"/>
    <w:rsid w:val="003C5EEA"/>
    <w:rsid w:val="003C7CB6"/>
    <w:rsid w:val="003F3D5D"/>
    <w:rsid w:val="0042210F"/>
    <w:rsid w:val="00425AA9"/>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6FA4"/>
    <w:rsid w:val="00606108"/>
    <w:rsid w:val="006201FC"/>
    <w:rsid w:val="00620ADD"/>
    <w:rsid w:val="00640EF2"/>
    <w:rsid w:val="0064718C"/>
    <w:rsid w:val="0065049B"/>
    <w:rsid w:val="00650D73"/>
    <w:rsid w:val="006558EE"/>
    <w:rsid w:val="00657231"/>
    <w:rsid w:val="00660285"/>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18EC"/>
    <w:rsid w:val="00864035"/>
    <w:rsid w:val="00866873"/>
    <w:rsid w:val="008763F4"/>
    <w:rsid w:val="008849EA"/>
    <w:rsid w:val="00891FE8"/>
    <w:rsid w:val="008D16ED"/>
    <w:rsid w:val="008D2A6B"/>
    <w:rsid w:val="008D49A5"/>
    <w:rsid w:val="008E0B66"/>
    <w:rsid w:val="008E172D"/>
    <w:rsid w:val="008E40C2"/>
    <w:rsid w:val="00902730"/>
    <w:rsid w:val="00906C9F"/>
    <w:rsid w:val="00921577"/>
    <w:rsid w:val="009259E1"/>
    <w:rsid w:val="00925D38"/>
    <w:rsid w:val="0095188F"/>
    <w:rsid w:val="009550A0"/>
    <w:rsid w:val="00960C64"/>
    <w:rsid w:val="00963D4F"/>
    <w:rsid w:val="0097218E"/>
    <w:rsid w:val="009725B3"/>
    <w:rsid w:val="00980425"/>
    <w:rsid w:val="00991C69"/>
    <w:rsid w:val="009920B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D23AB"/>
    <w:rsid w:val="00AE4214"/>
    <w:rsid w:val="00AF0FCD"/>
    <w:rsid w:val="00AF1C6C"/>
    <w:rsid w:val="00AF5FF0"/>
    <w:rsid w:val="00B206A8"/>
    <w:rsid w:val="00B25EDD"/>
    <w:rsid w:val="00B27341"/>
    <w:rsid w:val="00B408D4"/>
    <w:rsid w:val="00B52B01"/>
    <w:rsid w:val="00B56876"/>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2F26"/>
    <w:rsid w:val="00C460DB"/>
    <w:rsid w:val="00C50CEC"/>
    <w:rsid w:val="00C538D1"/>
    <w:rsid w:val="00C5602E"/>
    <w:rsid w:val="00C607FB"/>
    <w:rsid w:val="00C76EE0"/>
    <w:rsid w:val="00C8330C"/>
    <w:rsid w:val="00C85BFA"/>
    <w:rsid w:val="00C85EFE"/>
    <w:rsid w:val="00C934DE"/>
    <w:rsid w:val="00C93CB2"/>
    <w:rsid w:val="00CA13A3"/>
    <w:rsid w:val="00CA51AF"/>
    <w:rsid w:val="00CA5CB1"/>
    <w:rsid w:val="00CD2995"/>
    <w:rsid w:val="00CD6C2D"/>
    <w:rsid w:val="00CE32B1"/>
    <w:rsid w:val="00CF7805"/>
    <w:rsid w:val="00D007F8"/>
    <w:rsid w:val="00D030C9"/>
    <w:rsid w:val="00D05A52"/>
    <w:rsid w:val="00D114C6"/>
    <w:rsid w:val="00D142D0"/>
    <w:rsid w:val="00D20148"/>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3858"/>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445"/>
    <w:rsid w:val="00E76516"/>
    <w:rsid w:val="00E778FE"/>
    <w:rsid w:val="00E93302"/>
    <w:rsid w:val="00E955A0"/>
    <w:rsid w:val="00EA1562"/>
    <w:rsid w:val="00EA68CE"/>
    <w:rsid w:val="00EB1C45"/>
    <w:rsid w:val="00EB51EB"/>
    <w:rsid w:val="00EB75FD"/>
    <w:rsid w:val="00EC677A"/>
    <w:rsid w:val="00EF284E"/>
    <w:rsid w:val="00F25445"/>
    <w:rsid w:val="00F322A8"/>
    <w:rsid w:val="00F3436F"/>
    <w:rsid w:val="00F45927"/>
    <w:rsid w:val="00F65D4B"/>
    <w:rsid w:val="00F7195D"/>
    <w:rsid w:val="00F7577A"/>
    <w:rsid w:val="00F771BD"/>
    <w:rsid w:val="00F83EDB"/>
    <w:rsid w:val="00F8516C"/>
    <w:rsid w:val="00F911A5"/>
    <w:rsid w:val="00F91619"/>
    <w:rsid w:val="00F93094"/>
    <w:rsid w:val="00F9400E"/>
    <w:rsid w:val="00FA1C07"/>
    <w:rsid w:val="00FA48E3"/>
    <w:rsid w:val="00FA4E88"/>
    <w:rsid w:val="00FA7368"/>
    <w:rsid w:val="00FB2CBD"/>
    <w:rsid w:val="00FB54DD"/>
    <w:rsid w:val="00FB6A97"/>
    <w:rsid w:val="00FC01A6"/>
    <w:rsid w:val="00FD626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060E60"/>
  <w15:docId w15:val="{A8A92E05-54AD-437A-AC58-79B182E6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semiHidden/>
    <w:locked/>
    <w:rsid w:val="00AD23AB"/>
    <w:rPr>
      <w:rFonts w:ascii="Amnesty Trade Gothic" w:hAnsi="Amnesty Trade Gothic"/>
      <w:color w:val="000000"/>
      <w:sz w:val="12"/>
      <w:szCs w:val="24"/>
      <w:lang w:eastAsia="ar-SA"/>
    </w:rPr>
  </w:style>
  <w:style w:type="paragraph" w:customStyle="1" w:styleId="paragraph">
    <w:name w:val="paragraph"/>
    <w:basedOn w:val="Normal"/>
    <w:rsid w:val="00F7195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7195D"/>
  </w:style>
  <w:style w:type="character" w:customStyle="1" w:styleId="eop">
    <w:name w:val="eop"/>
    <w:basedOn w:val="DefaultParagraphFont"/>
    <w:rsid w:val="00F7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8436">
      <w:bodyDiv w:val="1"/>
      <w:marLeft w:val="0"/>
      <w:marRight w:val="0"/>
      <w:marTop w:val="0"/>
      <w:marBottom w:val="0"/>
      <w:divBdr>
        <w:top w:val="none" w:sz="0" w:space="0" w:color="auto"/>
        <w:left w:val="none" w:sz="0" w:space="0" w:color="auto"/>
        <w:bottom w:val="none" w:sz="0" w:space="0" w:color="auto"/>
        <w:right w:val="none" w:sz="0" w:space="0" w:color="auto"/>
      </w:divBdr>
    </w:div>
    <w:div w:id="1633250113">
      <w:bodyDiv w:val="1"/>
      <w:marLeft w:val="0"/>
      <w:marRight w:val="0"/>
      <w:marTop w:val="0"/>
      <w:marBottom w:val="0"/>
      <w:divBdr>
        <w:top w:val="none" w:sz="0" w:space="0" w:color="auto"/>
        <w:left w:val="none" w:sz="0" w:space="0" w:color="auto"/>
        <w:bottom w:val="none" w:sz="0" w:space="0" w:color="auto"/>
        <w:right w:val="none" w:sz="0" w:space="0" w:color="auto"/>
      </w:divBdr>
      <w:divsChild>
        <w:div w:id="849560823">
          <w:marLeft w:val="0"/>
          <w:marRight w:val="0"/>
          <w:marTop w:val="0"/>
          <w:marBottom w:val="0"/>
          <w:divBdr>
            <w:top w:val="none" w:sz="0" w:space="0" w:color="auto"/>
            <w:left w:val="none" w:sz="0" w:space="0" w:color="auto"/>
            <w:bottom w:val="none" w:sz="0" w:space="0" w:color="auto"/>
            <w:right w:val="none" w:sz="0" w:space="0" w:color="auto"/>
          </w:divBdr>
        </w:div>
        <w:div w:id="162608158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amb@um.dk"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uim@ui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im.dk/nyheder/regeringen-saetter-gang-i-genvurdering-af-syriske-flygtninges-behov-for-beskyttel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2019-01-25T20:51:00Z</cp:lastPrinted>
  <dcterms:created xsi:type="dcterms:W3CDTF">2021-04-27T21:00:00Z</dcterms:created>
  <dcterms:modified xsi:type="dcterms:W3CDTF">2021-04-27T21:00:00Z</dcterms:modified>
</cp:coreProperties>
</file>