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7B7282" w14:textId="77777777" w:rsidR="00A75017" w:rsidRPr="00AA6144" w:rsidRDefault="00A75017">
      <w:pPr>
        <w:rPr>
          <w:color w:val="auto"/>
          <w:lang w:val="en-CA"/>
        </w:rPr>
      </w:pPr>
    </w:p>
    <w:p w14:paraId="0DE493FC" w14:textId="77777777" w:rsidR="00A75017" w:rsidRPr="00AA6144" w:rsidRDefault="00A75017" w:rsidP="00AA189C">
      <w:pPr>
        <w:rPr>
          <w:color w:val="auto"/>
          <w:lang w:val="en-CA"/>
        </w:rPr>
      </w:pPr>
    </w:p>
    <w:p w14:paraId="150DEB37" w14:textId="77777777" w:rsidR="00A75017" w:rsidRPr="00AA6144" w:rsidRDefault="00A75017" w:rsidP="00AA189C">
      <w:pPr>
        <w:rPr>
          <w:color w:val="auto"/>
          <w:lang w:val="en-CA"/>
        </w:rPr>
      </w:pPr>
    </w:p>
    <w:p w14:paraId="52054717" w14:textId="77777777" w:rsidR="00A75017" w:rsidRPr="00AA6144" w:rsidRDefault="00813F07">
      <w:pPr>
        <w:rPr>
          <w:color w:val="auto"/>
          <w:lang w:val="en-CA"/>
        </w:rPr>
      </w:pPr>
      <w:r w:rsidRPr="00AA6144">
        <w:rPr>
          <w:noProof/>
          <w:color w:val="auto"/>
          <w:lang w:val="en-CA" w:eastAsia="en-US"/>
        </w:rPr>
        <mc:AlternateContent>
          <mc:Choice Requires="wpg">
            <w:drawing>
              <wp:anchor distT="0" distB="0" distL="0" distR="0" simplePos="0" relativeHeight="251657728" behindDoc="0" locked="0" layoutInCell="1" allowOverlap="1" wp14:anchorId="2BE139E8" wp14:editId="7A774854">
                <wp:simplePos x="0" y="0"/>
                <wp:positionH relativeFrom="column">
                  <wp:posOffset>1616075</wp:posOffset>
                </wp:positionH>
                <wp:positionV relativeFrom="paragraph">
                  <wp:posOffset>1466215</wp:posOffset>
                </wp:positionV>
                <wp:extent cx="3990975" cy="5397500"/>
                <wp:effectExtent l="0" t="0" r="0" b="12700"/>
                <wp:wrapTopAndBottom/>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5397500"/>
                          <a:chOff x="3192" y="2063"/>
                          <a:chExt cx="5664" cy="8499"/>
                        </a:xfrm>
                      </wpg:grpSpPr>
                      <wps:wsp>
                        <wps:cNvPr id="12" name="Text Box 10"/>
                        <wps:cNvSpPr txBox="1">
                          <a:spLocks noChangeArrowheads="1"/>
                        </wps:cNvSpPr>
                        <wps:spPr bwMode="auto">
                          <a:xfrm>
                            <a:off x="3192" y="2063"/>
                            <a:ext cx="5664" cy="8499"/>
                          </a:xfrm>
                          <a:prstGeom prst="rect">
                            <a:avLst/>
                          </a:prstGeom>
                          <a:solidFill>
                            <a:srgbClr val="FFFF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662176B9" w14:textId="77777777" w:rsidR="00356280" w:rsidRDefault="00356280" w:rsidP="00A06B14">
                              <w:pPr>
                                <w:pStyle w:val="AITITLE"/>
                              </w:pPr>
                              <w:r>
                                <w:t>Canada</w:t>
                              </w:r>
                            </w:p>
                            <w:p w14:paraId="2CD4917E" w14:textId="77777777" w:rsidR="00356280" w:rsidRDefault="00356280" w:rsidP="008F5931">
                              <w:pPr>
                                <w:pStyle w:val="AISUBTITLE"/>
                              </w:pPr>
                              <w:r>
                                <w:t xml:space="preserve">end impunity through universal jurisdiction </w:t>
                              </w:r>
                            </w:p>
                            <w:p w14:paraId="792445F3" w14:textId="7127A259" w:rsidR="00356280" w:rsidRDefault="00356280" w:rsidP="008F5931">
                              <w:pPr>
                                <w:pStyle w:val="AISUBTITLE"/>
                              </w:pPr>
                              <w:r>
                                <w:t xml:space="preserve">                                         </w:t>
                              </w:r>
                            </w:p>
                            <w:p w14:paraId="7F9C78C7" w14:textId="77777777" w:rsidR="00356280" w:rsidRDefault="00356280">
                              <w:pPr>
                                <w:spacing w:line="246" w:lineRule="exact"/>
                                <w:jc w:val="center"/>
                              </w:pPr>
                            </w:p>
                          </w:txbxContent>
                        </wps:txbx>
                        <wps:bodyPr rot="0" vert="horz" wrap="square" lIns="360000" tIns="360000" rIns="360000" bIns="360000" anchor="ctr" anchorCtr="0">
                          <a:noAutofit/>
                        </wps:bodyPr>
                      </wps:wsp>
                      <pic:pic xmlns:pic="http://schemas.openxmlformats.org/drawingml/2006/picture">
                        <pic:nvPicPr>
                          <pic:cNvPr id="13"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556" y="9085"/>
                            <a:ext cx="5125" cy="125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blipFill dpi="0" rotWithShape="0">
                                  <a:blip/>
                                  <a:srcRect/>
                                  <a:stretch>
                                    <a:fillRect/>
                                  </a:stretch>
                                </a:blip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BE139E8" id="Group 9" o:spid="_x0000_s1026" style="position:absolute;margin-left:127.25pt;margin-top:115.45pt;width:314.25pt;height:425pt;z-index:251657728;mso-wrap-distance-left:0;mso-wrap-distance-right:0" coordorigin="3192,2063" coordsize="5664,8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">
                <v:shapetype id="_x0000_t202" coordsize="21600,21600" o:spt="202" path="m,l,21600r21600,l21600,xe">
                  <v:stroke joinstyle="miter"/>
                  <v:path gradientshapeok="t" o:connecttype="rect"/>
                </v:shapetype>
                <v:shape id="Text Box 10" o:spid="_x0000_s1027" type="#_x0000_t202" style="position:absolute;left:3192;top:2063;width:5664;height:8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" fillcolor="yellow" stroked="f">
                  <v:textbox inset="10mm,10mm,10mm,10mm">
                    <w:txbxContent>
                      <w:p w14:paraId="662176B9" w14:textId="77777777" w:rsidR="00356280" w:rsidRDefault="00356280" w:rsidP="00A06B14">
                        <w:pPr>
                          <w:pStyle w:val="AITITLE"/>
                        </w:pPr>
                        <w:r>
                          <w:t>Canada</w:t>
                        </w:r>
                      </w:p>
                      <w:p w14:paraId="2CD4917E" w14:textId="77777777" w:rsidR="00356280" w:rsidRDefault="00356280" w:rsidP="008F5931">
                        <w:pPr>
                          <w:pStyle w:val="AISUBTITLE"/>
                        </w:pPr>
                        <w:r>
                          <w:t xml:space="preserve">end impunity through universal jurisdiction </w:t>
                        </w:r>
                      </w:p>
                      <w:p w14:paraId="792445F3" w14:textId="7127A259" w:rsidR="00356280" w:rsidRDefault="00356280" w:rsidP="008F5931">
                        <w:pPr>
                          <w:pStyle w:val="AISUBTITLE"/>
                        </w:pPr>
                        <w:r>
                          <w:t xml:space="preserve">                                         </w:t>
                        </w:r>
                      </w:p>
                      <w:p w14:paraId="7F9C78C7" w14:textId="77777777" w:rsidR="00356280" w:rsidRDefault="00356280">
                        <w:pPr>
                          <w:spacing w:line="246" w:lineRule="exact"/>
                          <w:jc w:val="center"/>
                        </w:pPr>
                      </w:p>
                    </w:txbxContent>
                  </v:textbox>
                </v:shape>
                <v:shape id="Picture 11" o:spid="_x0000_s1028" type="#_x0000_t75" style="position:absolute;left:3556;top:9085;width:5125;height:1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">
                  <v:imagedata r:id="rId9" o:title=""/>
                </v:shape>
                <w10:wrap type="topAndBottom"/>
              </v:group>
            </w:pict>
          </mc:Fallback>
        </mc:AlternateContent>
      </w:r>
    </w:p>
    <w:p w14:paraId="2F851A58" w14:textId="77777777" w:rsidR="00A75017" w:rsidRPr="00AA6144" w:rsidRDefault="00813F07">
      <w:pPr>
        <w:pageBreakBefore/>
        <w:rPr>
          <w:color w:val="auto"/>
          <w:lang w:val="en-CA"/>
        </w:rPr>
      </w:pPr>
      <w:r w:rsidRPr="00AA6144">
        <w:rPr>
          <w:noProof/>
          <w:color w:val="auto"/>
          <w:lang w:val="en-CA" w:eastAsia="en-US"/>
        </w:rPr>
        <w:lastRenderedPageBreak/>
        <mc:AlternateContent>
          <mc:Choice Requires="wpg">
            <w:drawing>
              <wp:anchor distT="0" distB="0" distL="114300" distR="114300" simplePos="0" relativeHeight="251658752" behindDoc="0" locked="1" layoutInCell="1" allowOverlap="1" wp14:anchorId="4D1EB08E" wp14:editId="2D68231C">
                <wp:simplePos x="0" y="0"/>
                <wp:positionH relativeFrom="column">
                  <wp:posOffset>-264160</wp:posOffset>
                </wp:positionH>
                <wp:positionV relativeFrom="paragraph">
                  <wp:posOffset>614680</wp:posOffset>
                </wp:positionV>
                <wp:extent cx="4553585" cy="7709535"/>
                <wp:effectExtent l="0" t="0" r="18415" b="12065"/>
                <wp:wrapTopAndBottom/>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3585" cy="7709535"/>
                          <a:chOff x="2416" y="2669"/>
                          <a:chExt cx="7171" cy="12141"/>
                        </a:xfrm>
                      </wpg:grpSpPr>
                      <wpg:grpSp>
                        <wpg:cNvPr id="7" name="Group 3"/>
                        <wpg:cNvGrpSpPr>
                          <a:grpSpLocks/>
                        </wpg:cNvGrpSpPr>
                        <wpg:grpSpPr bwMode="auto">
                          <a:xfrm>
                            <a:off x="2763" y="9145"/>
                            <a:ext cx="5665" cy="5665"/>
                            <a:chOff x="-72" y="675"/>
                            <a:chExt cx="5664" cy="5664"/>
                          </a:xfrm>
                        </wpg:grpSpPr>
                        <wps:wsp>
                          <wps:cNvPr id="8" name="Text Box 4"/>
                          <wps:cNvSpPr txBox="1">
                            <a:spLocks noChangeArrowheads="1"/>
                          </wps:cNvSpPr>
                          <wps:spPr bwMode="auto">
                            <a:xfrm>
                              <a:off x="-72" y="675"/>
                              <a:ext cx="5664" cy="5664"/>
                            </a:xfrm>
                            <a:prstGeom prst="rect">
                              <a:avLst/>
                            </a:prstGeom>
                            <a:solidFill>
                              <a:srgbClr val="FFFF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14BC4B55" w14:textId="196509B6" w:rsidR="00356280" w:rsidRDefault="00356280" w:rsidP="00535B1B">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 xml:space="preserve">Amnesty International is a global movement of 8 million people in more than 150 countries and territories, who campaign on human rights. Our vision is for every person to enjoy all the rights enshrined in the Universal Declaration of Human Rights and other international human rights instruments. We research, campaign, advocate and mobilize to end abuses of human rights. Amnesty International is independent of any government, political ideology, economic </w:t>
                                </w:r>
                                <w:proofErr w:type="gramStart"/>
                                <w:r>
                                  <w:rPr>
                                    <w:rFonts w:ascii="Amnesty Trade Gothic Cn" w:hAnsi="Amnesty Trade Gothic Cn"/>
                                    <w:b/>
                                    <w:kern w:val="1"/>
                                    <w:sz w:val="20"/>
                                    <w:szCs w:val="32"/>
                                  </w:rPr>
                                  <w:t>interest</w:t>
                                </w:r>
                                <w:proofErr w:type="gramEnd"/>
                                <w:r>
                                  <w:rPr>
                                    <w:rFonts w:ascii="Amnesty Trade Gothic Cn" w:hAnsi="Amnesty Trade Gothic Cn"/>
                                    <w:b/>
                                    <w:kern w:val="1"/>
                                    <w:sz w:val="20"/>
                                    <w:szCs w:val="32"/>
                                  </w:rPr>
                                  <w:t xml:space="preserve"> or religion. Our work is largely financed by contributions from our membership and donations</w:t>
                                </w:r>
                              </w:p>
                              <w:p w14:paraId="16A2BF78" w14:textId="77777777" w:rsidR="00356280" w:rsidRDefault="00356280">
                                <w:pPr>
                                  <w:spacing w:line="246" w:lineRule="exact"/>
                                  <w:jc w:val="right"/>
                                </w:pPr>
                              </w:p>
                            </w:txbxContent>
                          </wps:txbx>
                          <wps:bodyPr rot="0" vert="horz" wrap="square" lIns="360000" tIns="360000" rIns="360000" bIns="360000" anchor="ctr" anchorCtr="0">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0" y="4922"/>
                              <a:ext cx="5125" cy="125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blipFill dpi="0" rotWithShape="0">
                                    <a:blip/>
                                    <a:srcRect/>
                                    <a:stretch>
                                      <a:fillRect/>
                                    </a:stretch>
                                  </a:blip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14:hiddenEffects>
                              </a:ext>
                            </a:extLst>
                          </pic:spPr>
                        </pic:pic>
                      </wpg:grpSp>
                      <wps:wsp>
                        <wps:cNvPr id="10" name="Text Box 13"/>
                        <wps:cNvSpPr txBox="1">
                          <a:spLocks noChangeArrowheads="1"/>
                        </wps:cNvSpPr>
                        <wps:spPr bwMode="auto">
                          <a:xfrm>
                            <a:off x="2416" y="2669"/>
                            <a:ext cx="7171" cy="5284"/>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D9D9D9"/>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14:hiddenEffects>
                            </a:ext>
                          </a:extLst>
                        </wps:spPr>
                        <wps:txbx>
                          <w:txbxContent>
                            <w:p w14:paraId="700E58D0" w14:textId="77777777" w:rsidR="00356280" w:rsidRDefault="00356280" w:rsidP="00013F07">
                              <w:pPr>
                                <w:pStyle w:val="AIFlyleafText"/>
                              </w:pPr>
                              <w:r>
                                <w:t>Amnesty International Publications</w:t>
                              </w:r>
                            </w:p>
                            <w:p w14:paraId="71721BF8" w14:textId="77777777" w:rsidR="00356280" w:rsidRDefault="00356280" w:rsidP="00013F07">
                              <w:pPr>
                                <w:pStyle w:val="AIFlyleafText"/>
                              </w:pPr>
                            </w:p>
                            <w:p w14:paraId="41A7F566" w14:textId="5E47E488" w:rsidR="00356280" w:rsidRDefault="00356280" w:rsidP="00013F07">
                              <w:pPr>
                                <w:pStyle w:val="AIFlyleafText"/>
                              </w:pPr>
                              <w:r>
                                <w:t xml:space="preserve">First published in June </w:t>
                              </w:r>
                              <w:r w:rsidRPr="000C2340">
                                <w:t>2020</w:t>
                              </w:r>
                              <w:r>
                                <w:t xml:space="preserve"> by</w:t>
                              </w:r>
                            </w:p>
                            <w:p w14:paraId="637E3114" w14:textId="77777777" w:rsidR="00356280" w:rsidRDefault="00356280" w:rsidP="00013F07">
                              <w:pPr>
                                <w:pStyle w:val="AIFlyleafText"/>
                              </w:pPr>
                              <w:r>
                                <w:t>Amnesty International Publications</w:t>
                              </w:r>
                            </w:p>
                            <w:p w14:paraId="7B2DC319" w14:textId="77777777" w:rsidR="00356280" w:rsidRDefault="00356280" w:rsidP="00013F07">
                              <w:pPr>
                                <w:pStyle w:val="AIFlyleafText"/>
                              </w:pPr>
                              <w:r>
                                <w:t>International Secretariat</w:t>
                              </w:r>
                            </w:p>
                            <w:p w14:paraId="25A2996F" w14:textId="77777777" w:rsidR="00356280" w:rsidRDefault="00356280" w:rsidP="00013F07">
                              <w:pPr>
                                <w:pStyle w:val="AIFlyleafText"/>
                              </w:pPr>
                              <w:r>
                                <w:t xml:space="preserve">Peter </w:t>
                              </w:r>
                              <w:proofErr w:type="spellStart"/>
                              <w:r>
                                <w:t>Benenson</w:t>
                              </w:r>
                              <w:proofErr w:type="spellEnd"/>
                              <w:r>
                                <w:t xml:space="preserve"> House</w:t>
                              </w:r>
                            </w:p>
                            <w:p w14:paraId="69E4FAD5" w14:textId="77777777" w:rsidR="00356280" w:rsidRDefault="00356280" w:rsidP="00013F07">
                              <w:pPr>
                                <w:pStyle w:val="AIFlyleafText"/>
                              </w:pPr>
                              <w:r>
                                <w:t>1 Easton Street</w:t>
                              </w:r>
                            </w:p>
                            <w:p w14:paraId="1077B079" w14:textId="77777777" w:rsidR="00356280" w:rsidRDefault="00356280" w:rsidP="00013F07">
                              <w:pPr>
                                <w:pStyle w:val="AIFlyleafText"/>
                              </w:pPr>
                              <w:r>
                                <w:t>London WC1X 0DW</w:t>
                              </w:r>
                            </w:p>
                            <w:p w14:paraId="5AB9C56E" w14:textId="77777777" w:rsidR="00356280" w:rsidRDefault="00356280" w:rsidP="00013F07">
                              <w:pPr>
                                <w:pStyle w:val="AIFlyleafText"/>
                              </w:pPr>
                              <w:r>
                                <w:t>United Kingdom</w:t>
                              </w:r>
                            </w:p>
                            <w:p w14:paraId="23D80500" w14:textId="77777777" w:rsidR="00356280" w:rsidRDefault="00356280" w:rsidP="00013F07">
                              <w:pPr>
                                <w:pStyle w:val="AIFlyleafText"/>
                              </w:pPr>
                              <w:r>
                                <w:t>www.amnesty.org</w:t>
                              </w:r>
                            </w:p>
                            <w:p w14:paraId="31448407" w14:textId="77777777" w:rsidR="00356280" w:rsidRDefault="00356280" w:rsidP="00013F07">
                              <w:pPr>
                                <w:pStyle w:val="AIFlyleafText"/>
                              </w:pPr>
                            </w:p>
                            <w:p w14:paraId="2C89CEC5" w14:textId="7F743635" w:rsidR="00356280" w:rsidRDefault="00356280" w:rsidP="00013F07">
                              <w:pPr>
                                <w:pStyle w:val="AIFlyleafText"/>
                              </w:pPr>
                              <w:r>
                                <w:rPr>
                                  <w:rFonts w:ascii="Symbol" w:hAnsi="Symbol"/>
                                </w:rPr>
                                <w:t></w:t>
                              </w:r>
                              <w:r>
                                <w:t xml:space="preserve"> Copyright Amnesty International Publications 2020</w:t>
                              </w:r>
                            </w:p>
                            <w:p w14:paraId="3DCE2752" w14:textId="77777777" w:rsidR="00356280" w:rsidRDefault="00356280" w:rsidP="00013F07">
                              <w:pPr>
                                <w:pStyle w:val="AIFlyleafText"/>
                              </w:pPr>
                            </w:p>
                            <w:p w14:paraId="28C740C5" w14:textId="58AF31FA" w:rsidR="00356280" w:rsidRDefault="00356280" w:rsidP="00013F07">
                              <w:pPr>
                                <w:pStyle w:val="AIFlyleafText"/>
                              </w:pPr>
                              <w:r>
                                <w:t xml:space="preserve">Index: </w:t>
                              </w:r>
                              <w:r w:rsidRPr="000C2340">
                                <w:t>AMR 20/2287/2020</w:t>
                              </w:r>
                            </w:p>
                            <w:p w14:paraId="7F0C8015" w14:textId="77777777" w:rsidR="00356280" w:rsidRDefault="00356280" w:rsidP="00013F07">
                              <w:pPr>
                                <w:pStyle w:val="AIFlyleafText"/>
                              </w:pPr>
                              <w:r>
                                <w:t>Original Language: English</w:t>
                              </w:r>
                            </w:p>
                            <w:p w14:paraId="1D9AA084" w14:textId="77777777" w:rsidR="00356280" w:rsidRDefault="00356280" w:rsidP="00013F07">
                              <w:pPr>
                                <w:pStyle w:val="AIFlyleafText"/>
                              </w:pPr>
                              <w:r>
                                <w:t>Printed by Amnesty International, International Secretariat, United Kingdom</w:t>
                              </w:r>
                            </w:p>
                            <w:p w14:paraId="500C973B" w14:textId="77777777" w:rsidR="00356280" w:rsidRDefault="00356280" w:rsidP="00013F07">
                              <w:pPr>
                                <w:pStyle w:val="AIFlyleafText"/>
                              </w:pPr>
                            </w:p>
                            <w:p w14:paraId="0E12A3E1" w14:textId="77777777" w:rsidR="00356280" w:rsidRDefault="00356280" w:rsidP="006B1EBF">
                              <w:pPr>
                                <w:pStyle w:val="AIFlyleafText"/>
                              </w:pPr>
                              <w:r>
                                <w:t>All rights reserved. No part of this publication may be reproduced, stored in a retrieval system, or transmitted, in any form</w:t>
                              </w:r>
                              <w:r>
                                <w:br/>
                                <w:t>or by any means, electronic, mechanical, photocopying, recording or otherwise without the prior permission of the publishers.</w:t>
                              </w:r>
                            </w:p>
                            <w:p w14:paraId="7C25A25C" w14:textId="77777777" w:rsidR="00356280" w:rsidRDefault="00356280" w:rsidP="00013F07">
                              <w:pPr>
                                <w:pStyle w:val="AIFlyleafText"/>
                              </w:pPr>
                            </w:p>
                            <w:p w14:paraId="0EB958D8" w14:textId="77777777" w:rsidR="00356280" w:rsidRDefault="00356280" w:rsidP="006B1EBF">
                              <w:pPr>
                                <w:pStyle w:val="AIFlyleafText"/>
                              </w:pPr>
                            </w:p>
                            <w:p w14:paraId="7791FF14" w14:textId="77777777" w:rsidR="00356280" w:rsidRDefault="00356280" w:rsidP="006B1EBF">
                              <w:pPr>
                                <w:pStyle w:val="AIFlyleafText"/>
                              </w:pPr>
                            </w:p>
                            <w:p w14:paraId="36F38D57" w14:textId="77777777" w:rsidR="00356280" w:rsidRDefault="00356280" w:rsidP="006B1EBF">
                              <w:pPr>
                                <w:pStyle w:val="AIFlyleafTex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EB08E" id="Group 15" o:spid="_x0000_s1029" style="position:absolute;margin-left:-20.8pt;margin-top:48.4pt;width:358.55pt;height:607.05pt;z-index:251658752" coordorigin="2416,2669" coordsize="7171,12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">
                <v:group id="Group 3" o:spid="_x0000_s1030" style="position:absolute;left:2763;top:9145;width:5665;height:5665" coordorigin="-72,675" coordsize="5664,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4" o:spid="_x0000_s1031" type="#_x0000_t202" style="position:absolute;left:-72;top:675;width:5664;height:5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" fillcolor="yellow" stroked="f">
                    <v:textbox inset="10mm,10mm,10mm,10mm">
                      <w:txbxContent>
                        <w:p w14:paraId="14BC4B55" w14:textId="196509B6" w:rsidR="00356280" w:rsidRDefault="00356280" w:rsidP="00535B1B">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 xml:space="preserve">Amnesty International is a global movement of 8 million people in more than 150 countries and territories, who campaign on human rights. Our vision is for every person to enjoy all the rights enshrined in the Universal Declaration of Human Rights and other international human rights instruments. We research, campaign, advocate and mobilize to end abuses of human rights. Amnesty International is independent of any government, political ideology, economic </w:t>
                          </w:r>
                          <w:proofErr w:type="gramStart"/>
                          <w:r>
                            <w:rPr>
                              <w:rFonts w:ascii="Amnesty Trade Gothic Cn" w:hAnsi="Amnesty Trade Gothic Cn"/>
                              <w:b/>
                              <w:kern w:val="1"/>
                              <w:sz w:val="20"/>
                              <w:szCs w:val="32"/>
                            </w:rPr>
                            <w:t>interest</w:t>
                          </w:r>
                          <w:proofErr w:type="gramEnd"/>
                          <w:r>
                            <w:rPr>
                              <w:rFonts w:ascii="Amnesty Trade Gothic Cn" w:hAnsi="Amnesty Trade Gothic Cn"/>
                              <w:b/>
                              <w:kern w:val="1"/>
                              <w:sz w:val="20"/>
                              <w:szCs w:val="32"/>
                            </w:rPr>
                            <w:t xml:space="preserve"> or religion. Our work is largely financed by contributions from our membership and donations</w:t>
                          </w:r>
                        </w:p>
                        <w:p w14:paraId="16A2BF78" w14:textId="77777777" w:rsidR="00356280" w:rsidRDefault="00356280">
                          <w:pPr>
                            <w:spacing w:line="246" w:lineRule="exact"/>
                            <w:jc w:val="right"/>
                          </w:pPr>
                        </w:p>
                      </w:txbxContent>
                    </v:textbox>
                  </v:shape>
                  <v:shape id="Picture 5" o:spid="_x0000_s1032" type="#_x0000_t75" style="position:absolute;left:310;top:4922;width:5125;height:1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">
                    <v:imagedata r:id="rId9" o:title=""/>
                  </v:shape>
                </v:group>
                <v:shape id="Text Box 13" o:spid="_x0000_s1033" type="#_x0000_t202" style="position:absolute;left:2416;top:2669;width:7171;height:5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00E58D0" w14:textId="77777777" w:rsidR="00356280" w:rsidRDefault="00356280" w:rsidP="00013F07">
                        <w:pPr>
                          <w:pStyle w:val="AIFlyleafText"/>
                        </w:pPr>
                        <w:r>
                          <w:t>Amnesty International Publications</w:t>
                        </w:r>
                      </w:p>
                      <w:p w14:paraId="71721BF8" w14:textId="77777777" w:rsidR="00356280" w:rsidRDefault="00356280" w:rsidP="00013F07">
                        <w:pPr>
                          <w:pStyle w:val="AIFlyleafText"/>
                        </w:pPr>
                      </w:p>
                      <w:p w14:paraId="41A7F566" w14:textId="5E47E488" w:rsidR="00356280" w:rsidRDefault="00356280" w:rsidP="00013F07">
                        <w:pPr>
                          <w:pStyle w:val="AIFlyleafText"/>
                        </w:pPr>
                        <w:r>
                          <w:t xml:space="preserve">First published in June </w:t>
                        </w:r>
                        <w:r w:rsidRPr="000C2340">
                          <w:t>2020</w:t>
                        </w:r>
                        <w:r>
                          <w:t xml:space="preserve"> by</w:t>
                        </w:r>
                      </w:p>
                      <w:p w14:paraId="637E3114" w14:textId="77777777" w:rsidR="00356280" w:rsidRDefault="00356280" w:rsidP="00013F07">
                        <w:pPr>
                          <w:pStyle w:val="AIFlyleafText"/>
                        </w:pPr>
                        <w:r>
                          <w:t>Amnesty International Publications</w:t>
                        </w:r>
                      </w:p>
                      <w:p w14:paraId="7B2DC319" w14:textId="77777777" w:rsidR="00356280" w:rsidRDefault="00356280" w:rsidP="00013F07">
                        <w:pPr>
                          <w:pStyle w:val="AIFlyleafText"/>
                        </w:pPr>
                        <w:r>
                          <w:t>International Secretariat</w:t>
                        </w:r>
                      </w:p>
                      <w:p w14:paraId="25A2996F" w14:textId="77777777" w:rsidR="00356280" w:rsidRDefault="00356280" w:rsidP="00013F07">
                        <w:pPr>
                          <w:pStyle w:val="AIFlyleafText"/>
                        </w:pPr>
                        <w:r>
                          <w:t xml:space="preserve">Peter </w:t>
                        </w:r>
                        <w:proofErr w:type="spellStart"/>
                        <w:r>
                          <w:t>Benenson</w:t>
                        </w:r>
                        <w:proofErr w:type="spellEnd"/>
                        <w:r>
                          <w:t xml:space="preserve"> House</w:t>
                        </w:r>
                      </w:p>
                      <w:p w14:paraId="69E4FAD5" w14:textId="77777777" w:rsidR="00356280" w:rsidRDefault="00356280" w:rsidP="00013F07">
                        <w:pPr>
                          <w:pStyle w:val="AIFlyleafText"/>
                        </w:pPr>
                        <w:r>
                          <w:t>1 Easton Street</w:t>
                        </w:r>
                      </w:p>
                      <w:p w14:paraId="1077B079" w14:textId="77777777" w:rsidR="00356280" w:rsidRDefault="00356280" w:rsidP="00013F07">
                        <w:pPr>
                          <w:pStyle w:val="AIFlyleafText"/>
                        </w:pPr>
                        <w:r>
                          <w:t>London WC1X 0DW</w:t>
                        </w:r>
                      </w:p>
                      <w:p w14:paraId="5AB9C56E" w14:textId="77777777" w:rsidR="00356280" w:rsidRDefault="00356280" w:rsidP="00013F07">
                        <w:pPr>
                          <w:pStyle w:val="AIFlyleafText"/>
                        </w:pPr>
                        <w:r>
                          <w:t>United Kingdom</w:t>
                        </w:r>
                      </w:p>
                      <w:p w14:paraId="23D80500" w14:textId="77777777" w:rsidR="00356280" w:rsidRDefault="00356280" w:rsidP="00013F07">
                        <w:pPr>
                          <w:pStyle w:val="AIFlyleafText"/>
                        </w:pPr>
                        <w:r>
                          <w:t>www.amnesty.org</w:t>
                        </w:r>
                      </w:p>
                      <w:p w14:paraId="31448407" w14:textId="77777777" w:rsidR="00356280" w:rsidRDefault="00356280" w:rsidP="00013F07">
                        <w:pPr>
                          <w:pStyle w:val="AIFlyleafText"/>
                        </w:pPr>
                      </w:p>
                      <w:p w14:paraId="2C89CEC5" w14:textId="7F743635" w:rsidR="00356280" w:rsidRDefault="00356280" w:rsidP="00013F07">
                        <w:pPr>
                          <w:pStyle w:val="AIFlyleafText"/>
                        </w:pPr>
                        <w:r>
                          <w:rPr>
                            <w:rFonts w:ascii="Symbol" w:hAnsi="Symbol"/>
                          </w:rPr>
                          <w:t></w:t>
                        </w:r>
                        <w:r>
                          <w:t xml:space="preserve"> Copyright Amnesty International Publications 2020</w:t>
                        </w:r>
                      </w:p>
                      <w:p w14:paraId="3DCE2752" w14:textId="77777777" w:rsidR="00356280" w:rsidRDefault="00356280" w:rsidP="00013F07">
                        <w:pPr>
                          <w:pStyle w:val="AIFlyleafText"/>
                        </w:pPr>
                      </w:p>
                      <w:p w14:paraId="28C740C5" w14:textId="58AF31FA" w:rsidR="00356280" w:rsidRDefault="00356280" w:rsidP="00013F07">
                        <w:pPr>
                          <w:pStyle w:val="AIFlyleafText"/>
                        </w:pPr>
                        <w:r>
                          <w:t xml:space="preserve">Index: </w:t>
                        </w:r>
                        <w:r w:rsidRPr="000C2340">
                          <w:t>AMR 20/2287/2020</w:t>
                        </w:r>
                      </w:p>
                      <w:p w14:paraId="7F0C8015" w14:textId="77777777" w:rsidR="00356280" w:rsidRDefault="00356280" w:rsidP="00013F07">
                        <w:pPr>
                          <w:pStyle w:val="AIFlyleafText"/>
                        </w:pPr>
                        <w:r>
                          <w:t>Original Language: English</w:t>
                        </w:r>
                      </w:p>
                      <w:p w14:paraId="1D9AA084" w14:textId="77777777" w:rsidR="00356280" w:rsidRDefault="00356280" w:rsidP="00013F07">
                        <w:pPr>
                          <w:pStyle w:val="AIFlyleafText"/>
                        </w:pPr>
                        <w:r>
                          <w:t>Printed by Amnesty International, International Secretariat, United Kingdom</w:t>
                        </w:r>
                      </w:p>
                      <w:p w14:paraId="500C973B" w14:textId="77777777" w:rsidR="00356280" w:rsidRDefault="00356280" w:rsidP="00013F07">
                        <w:pPr>
                          <w:pStyle w:val="AIFlyleafText"/>
                        </w:pPr>
                      </w:p>
                      <w:p w14:paraId="0E12A3E1" w14:textId="77777777" w:rsidR="00356280" w:rsidRDefault="00356280" w:rsidP="006B1EBF">
                        <w:pPr>
                          <w:pStyle w:val="AIFlyleafText"/>
                        </w:pPr>
                        <w:r>
                          <w:t>All rights reserved. No part of this publication may be reproduced, stored in a retrieval system, or transmitted, in any form</w:t>
                        </w:r>
                        <w:r>
                          <w:br/>
                          <w:t>or by any means, electronic, mechanical, photocopying, recording or otherwise without the prior permission of the publishers.</w:t>
                        </w:r>
                      </w:p>
                      <w:p w14:paraId="7C25A25C" w14:textId="77777777" w:rsidR="00356280" w:rsidRDefault="00356280" w:rsidP="00013F07">
                        <w:pPr>
                          <w:pStyle w:val="AIFlyleafText"/>
                        </w:pPr>
                      </w:p>
                      <w:p w14:paraId="0EB958D8" w14:textId="77777777" w:rsidR="00356280" w:rsidRDefault="00356280" w:rsidP="006B1EBF">
                        <w:pPr>
                          <w:pStyle w:val="AIFlyleafText"/>
                        </w:pPr>
                      </w:p>
                      <w:p w14:paraId="7791FF14" w14:textId="77777777" w:rsidR="00356280" w:rsidRDefault="00356280" w:rsidP="006B1EBF">
                        <w:pPr>
                          <w:pStyle w:val="AIFlyleafText"/>
                        </w:pPr>
                      </w:p>
                      <w:p w14:paraId="36F38D57" w14:textId="77777777" w:rsidR="00356280" w:rsidRDefault="00356280" w:rsidP="006B1EBF">
                        <w:pPr>
                          <w:pStyle w:val="AIFlyleafText"/>
                        </w:pPr>
                      </w:p>
                    </w:txbxContent>
                  </v:textbox>
                </v:shape>
                <w10:wrap type="topAndBottom"/>
                <w10:anchorlock/>
              </v:group>
            </w:pict>
          </mc:Fallback>
        </mc:AlternateContent>
      </w:r>
    </w:p>
    <w:p w14:paraId="20506568" w14:textId="77777777" w:rsidR="00A75017" w:rsidRPr="00AA6144" w:rsidRDefault="00A75017">
      <w:pPr>
        <w:rPr>
          <w:color w:val="auto"/>
          <w:lang w:val="en-CA"/>
        </w:rPr>
      </w:pPr>
    </w:p>
    <w:p w14:paraId="474F0C8A" w14:textId="77777777" w:rsidR="00A75017" w:rsidRPr="00AA6144" w:rsidRDefault="00A75017">
      <w:pPr>
        <w:rPr>
          <w:color w:val="auto"/>
          <w:lang w:val="en-CA"/>
        </w:rPr>
        <w:sectPr w:rsidR="00A75017" w:rsidRPr="00AA6144">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0" w:h="16837"/>
          <w:pgMar w:top="1701" w:right="2835" w:bottom="3402" w:left="1701" w:header="720" w:footer="720" w:gutter="0"/>
          <w:cols w:space="720"/>
          <w:docGrid w:linePitch="360"/>
        </w:sectPr>
      </w:pPr>
    </w:p>
    <w:p w14:paraId="3EA0E818" w14:textId="77777777" w:rsidR="00723001" w:rsidRPr="00AA6144" w:rsidRDefault="00723001" w:rsidP="001B6144">
      <w:pPr>
        <w:rPr>
          <w:color w:val="auto"/>
          <w:lang w:val="en-CA"/>
        </w:rPr>
      </w:pPr>
    </w:p>
    <w:p w14:paraId="3DF4B204" w14:textId="77777777" w:rsidR="00A75017" w:rsidRPr="00AA6144" w:rsidRDefault="00A75017" w:rsidP="00A06B14">
      <w:pPr>
        <w:pStyle w:val="AIContentsHeading"/>
        <w:rPr>
          <w:color w:val="auto"/>
          <w:lang w:val="en-CA"/>
        </w:rPr>
        <w:sectPr w:rsidR="00A75017" w:rsidRPr="00AA6144">
          <w:footnotePr>
            <w:pos w:val="beneathText"/>
          </w:footnotePr>
          <w:endnotePr>
            <w:numFmt w:val="decimal"/>
          </w:endnotePr>
          <w:type w:val="continuous"/>
          <w:pgSz w:w="11900" w:h="16837"/>
          <w:pgMar w:top="1701" w:right="2835" w:bottom="3402" w:left="1701" w:header="720" w:footer="720" w:gutter="0"/>
          <w:cols w:space="720"/>
          <w:docGrid w:linePitch="360"/>
        </w:sectPr>
      </w:pPr>
      <w:r w:rsidRPr="00AA6144">
        <w:rPr>
          <w:color w:val="auto"/>
          <w:lang w:val="en-CA"/>
        </w:rPr>
        <w:t>Contents</w:t>
      </w:r>
    </w:p>
    <w:p w14:paraId="47306EF7" w14:textId="4CDE1FFF" w:rsidR="00BE6D3A" w:rsidRDefault="00202724">
      <w:pPr>
        <w:pStyle w:val="TOC1"/>
        <w:tabs>
          <w:tab w:val="right" w:leader="dot" w:pos="7354"/>
        </w:tabs>
        <w:rPr>
          <w:rFonts w:asciiTheme="minorHAnsi" w:eastAsiaTheme="minorEastAsia" w:hAnsiTheme="minorHAnsi" w:cstheme="minorBidi"/>
          <w:noProof/>
          <w:color w:val="auto"/>
          <w:sz w:val="24"/>
          <w:lang w:val="en-CA" w:eastAsia="en-US"/>
        </w:rPr>
      </w:pPr>
      <w:r w:rsidRPr="00AA6144">
        <w:rPr>
          <w:color w:val="auto"/>
          <w:lang w:val="en-CA"/>
        </w:rPr>
        <w:fldChar w:fldCharType="begin"/>
      </w:r>
      <w:r w:rsidR="00AF2110" w:rsidRPr="00AA6144">
        <w:rPr>
          <w:color w:val="auto"/>
          <w:lang w:val="en-CA"/>
        </w:rPr>
        <w:instrText xml:space="preserve"> TOC \o "1-4" \h \z \u </w:instrText>
      </w:r>
      <w:r w:rsidRPr="00AA6144">
        <w:rPr>
          <w:color w:val="auto"/>
          <w:lang w:val="en-CA"/>
        </w:rPr>
        <w:fldChar w:fldCharType="separate"/>
      </w:r>
      <w:hyperlink w:anchor="_Toc43382706" w:history="1">
        <w:r w:rsidR="00BE6D3A" w:rsidRPr="002843AC">
          <w:rPr>
            <w:rStyle w:val="Hyperlink"/>
            <w:noProof/>
            <w:lang w:val="en-CA"/>
          </w:rPr>
          <w:t>1. INTRODUCTION</w:t>
        </w:r>
        <w:r w:rsidR="00BE6D3A">
          <w:rPr>
            <w:noProof/>
            <w:webHidden/>
          </w:rPr>
          <w:tab/>
        </w:r>
        <w:r w:rsidR="00BE6D3A">
          <w:rPr>
            <w:noProof/>
            <w:webHidden/>
          </w:rPr>
          <w:fldChar w:fldCharType="begin"/>
        </w:r>
        <w:r w:rsidR="00BE6D3A">
          <w:rPr>
            <w:noProof/>
            <w:webHidden/>
          </w:rPr>
          <w:instrText xml:space="preserve"> PAGEREF _Toc43382706 \h </w:instrText>
        </w:r>
        <w:r w:rsidR="00BE6D3A">
          <w:rPr>
            <w:noProof/>
            <w:webHidden/>
          </w:rPr>
        </w:r>
        <w:r w:rsidR="00BE6D3A">
          <w:rPr>
            <w:noProof/>
            <w:webHidden/>
          </w:rPr>
          <w:fldChar w:fldCharType="separate"/>
        </w:r>
        <w:r w:rsidR="00E045AC">
          <w:rPr>
            <w:noProof/>
            <w:webHidden/>
          </w:rPr>
          <w:t>1</w:t>
        </w:r>
        <w:r w:rsidR="00BE6D3A">
          <w:rPr>
            <w:noProof/>
            <w:webHidden/>
          </w:rPr>
          <w:fldChar w:fldCharType="end"/>
        </w:r>
      </w:hyperlink>
    </w:p>
    <w:p w14:paraId="281DD97E" w14:textId="1BF98756"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707" w:history="1">
        <w:r w:rsidR="00BE6D3A" w:rsidRPr="002843AC">
          <w:rPr>
            <w:rStyle w:val="Hyperlink"/>
            <w:noProof/>
            <w:kern w:val="56"/>
            <w:lang w:val="en-CA"/>
          </w:rPr>
          <w:t>2. The Legal Framework</w:t>
        </w:r>
        <w:r w:rsidR="00BE6D3A">
          <w:rPr>
            <w:noProof/>
            <w:webHidden/>
          </w:rPr>
          <w:tab/>
        </w:r>
        <w:r w:rsidR="00BE6D3A">
          <w:rPr>
            <w:noProof/>
            <w:webHidden/>
          </w:rPr>
          <w:fldChar w:fldCharType="begin"/>
        </w:r>
        <w:r w:rsidR="00BE6D3A">
          <w:rPr>
            <w:noProof/>
            <w:webHidden/>
          </w:rPr>
          <w:instrText xml:space="preserve"> PAGEREF _Toc43382707 \h </w:instrText>
        </w:r>
        <w:r w:rsidR="00BE6D3A">
          <w:rPr>
            <w:noProof/>
            <w:webHidden/>
          </w:rPr>
        </w:r>
        <w:r w:rsidR="00BE6D3A">
          <w:rPr>
            <w:noProof/>
            <w:webHidden/>
          </w:rPr>
          <w:fldChar w:fldCharType="separate"/>
        </w:r>
        <w:r w:rsidR="00E045AC">
          <w:rPr>
            <w:noProof/>
            <w:webHidden/>
          </w:rPr>
          <w:t>4</w:t>
        </w:r>
        <w:r w:rsidR="00BE6D3A">
          <w:rPr>
            <w:noProof/>
            <w:webHidden/>
          </w:rPr>
          <w:fldChar w:fldCharType="end"/>
        </w:r>
      </w:hyperlink>
    </w:p>
    <w:p w14:paraId="1C2D6F7F" w14:textId="2A1CACB2"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08" w:history="1">
        <w:r w:rsidR="00BE6D3A" w:rsidRPr="002843AC">
          <w:rPr>
            <w:rStyle w:val="Hyperlink"/>
            <w:noProof/>
            <w:lang w:val="en-CA"/>
          </w:rPr>
          <w:t>2.1 Type of legal system</w:t>
        </w:r>
        <w:r w:rsidR="00BE6D3A">
          <w:rPr>
            <w:noProof/>
            <w:webHidden/>
          </w:rPr>
          <w:tab/>
        </w:r>
        <w:r w:rsidR="00BE6D3A">
          <w:rPr>
            <w:noProof/>
            <w:webHidden/>
          </w:rPr>
          <w:fldChar w:fldCharType="begin"/>
        </w:r>
        <w:r w:rsidR="00BE6D3A">
          <w:rPr>
            <w:noProof/>
            <w:webHidden/>
          </w:rPr>
          <w:instrText xml:space="preserve"> PAGEREF _Toc43382708 \h </w:instrText>
        </w:r>
        <w:r w:rsidR="00BE6D3A">
          <w:rPr>
            <w:noProof/>
            <w:webHidden/>
          </w:rPr>
        </w:r>
        <w:r w:rsidR="00BE6D3A">
          <w:rPr>
            <w:noProof/>
            <w:webHidden/>
          </w:rPr>
          <w:fldChar w:fldCharType="separate"/>
        </w:r>
        <w:r w:rsidR="00E045AC">
          <w:rPr>
            <w:noProof/>
            <w:webHidden/>
          </w:rPr>
          <w:t>4</w:t>
        </w:r>
        <w:r w:rsidR="00BE6D3A">
          <w:rPr>
            <w:noProof/>
            <w:webHidden/>
          </w:rPr>
          <w:fldChar w:fldCharType="end"/>
        </w:r>
      </w:hyperlink>
    </w:p>
    <w:p w14:paraId="161B21DF" w14:textId="641B94D6"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09" w:history="1">
        <w:r w:rsidR="00BE6D3A" w:rsidRPr="002843AC">
          <w:rPr>
            <w:rStyle w:val="Hyperlink"/>
            <w:noProof/>
            <w:lang w:val="en-CA"/>
          </w:rPr>
          <w:t>2.2 Status of international law</w:t>
        </w:r>
        <w:r w:rsidR="00BE6D3A">
          <w:rPr>
            <w:noProof/>
            <w:webHidden/>
          </w:rPr>
          <w:tab/>
        </w:r>
        <w:r w:rsidR="00BE6D3A">
          <w:rPr>
            <w:noProof/>
            <w:webHidden/>
          </w:rPr>
          <w:fldChar w:fldCharType="begin"/>
        </w:r>
        <w:r w:rsidR="00BE6D3A">
          <w:rPr>
            <w:noProof/>
            <w:webHidden/>
          </w:rPr>
          <w:instrText xml:space="preserve"> PAGEREF _Toc43382709 \h </w:instrText>
        </w:r>
        <w:r w:rsidR="00BE6D3A">
          <w:rPr>
            <w:noProof/>
            <w:webHidden/>
          </w:rPr>
        </w:r>
        <w:r w:rsidR="00BE6D3A">
          <w:rPr>
            <w:noProof/>
            <w:webHidden/>
          </w:rPr>
          <w:fldChar w:fldCharType="separate"/>
        </w:r>
        <w:r w:rsidR="00E045AC">
          <w:rPr>
            <w:noProof/>
            <w:webHidden/>
          </w:rPr>
          <w:t>4</w:t>
        </w:r>
        <w:r w:rsidR="00BE6D3A">
          <w:rPr>
            <w:noProof/>
            <w:webHidden/>
          </w:rPr>
          <w:fldChar w:fldCharType="end"/>
        </w:r>
      </w:hyperlink>
    </w:p>
    <w:p w14:paraId="29EF2D79" w14:textId="0C29E04A"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10" w:history="1">
        <w:r w:rsidR="00BE6D3A" w:rsidRPr="002843AC">
          <w:rPr>
            <w:rStyle w:val="Hyperlink"/>
            <w:noProof/>
            <w:lang w:val="en-CA"/>
          </w:rPr>
          <w:t>2.3 Court system</w:t>
        </w:r>
        <w:r w:rsidR="00BE6D3A">
          <w:rPr>
            <w:noProof/>
            <w:webHidden/>
          </w:rPr>
          <w:tab/>
        </w:r>
        <w:r w:rsidR="00BE6D3A">
          <w:rPr>
            <w:noProof/>
            <w:webHidden/>
          </w:rPr>
          <w:fldChar w:fldCharType="begin"/>
        </w:r>
        <w:r w:rsidR="00BE6D3A">
          <w:rPr>
            <w:noProof/>
            <w:webHidden/>
          </w:rPr>
          <w:instrText xml:space="preserve"> PAGEREF _Toc43382710 \h </w:instrText>
        </w:r>
        <w:r w:rsidR="00BE6D3A">
          <w:rPr>
            <w:noProof/>
            <w:webHidden/>
          </w:rPr>
        </w:r>
        <w:r w:rsidR="00BE6D3A">
          <w:rPr>
            <w:noProof/>
            <w:webHidden/>
          </w:rPr>
          <w:fldChar w:fldCharType="separate"/>
        </w:r>
        <w:r w:rsidR="00E045AC">
          <w:rPr>
            <w:noProof/>
            <w:webHidden/>
          </w:rPr>
          <w:t>6</w:t>
        </w:r>
        <w:r w:rsidR="00BE6D3A">
          <w:rPr>
            <w:noProof/>
            <w:webHidden/>
          </w:rPr>
          <w:fldChar w:fldCharType="end"/>
        </w:r>
      </w:hyperlink>
    </w:p>
    <w:p w14:paraId="57B03D0B" w14:textId="123DFA1F"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11" w:history="1">
        <w:r w:rsidR="00BE6D3A" w:rsidRPr="002843AC">
          <w:rPr>
            <w:rStyle w:val="Hyperlink"/>
            <w:noProof/>
            <w:lang w:val="en-CA"/>
          </w:rPr>
          <w:t>2.3.1. Structure of the civilian court system</w:t>
        </w:r>
        <w:r w:rsidR="00BE6D3A">
          <w:rPr>
            <w:noProof/>
            <w:webHidden/>
          </w:rPr>
          <w:tab/>
        </w:r>
        <w:r w:rsidR="00BE6D3A">
          <w:rPr>
            <w:noProof/>
            <w:webHidden/>
          </w:rPr>
          <w:fldChar w:fldCharType="begin"/>
        </w:r>
        <w:r w:rsidR="00BE6D3A">
          <w:rPr>
            <w:noProof/>
            <w:webHidden/>
          </w:rPr>
          <w:instrText xml:space="preserve"> PAGEREF _Toc43382711 \h </w:instrText>
        </w:r>
        <w:r w:rsidR="00BE6D3A">
          <w:rPr>
            <w:noProof/>
            <w:webHidden/>
          </w:rPr>
        </w:r>
        <w:r w:rsidR="00BE6D3A">
          <w:rPr>
            <w:noProof/>
            <w:webHidden/>
          </w:rPr>
          <w:fldChar w:fldCharType="separate"/>
        </w:r>
        <w:r w:rsidR="00E045AC">
          <w:rPr>
            <w:noProof/>
            <w:webHidden/>
          </w:rPr>
          <w:t>6</w:t>
        </w:r>
        <w:r w:rsidR="00BE6D3A">
          <w:rPr>
            <w:noProof/>
            <w:webHidden/>
          </w:rPr>
          <w:fldChar w:fldCharType="end"/>
        </w:r>
      </w:hyperlink>
    </w:p>
    <w:p w14:paraId="1F22B0C8" w14:textId="20BB2410"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12" w:history="1">
        <w:r w:rsidR="00BE6D3A" w:rsidRPr="002843AC">
          <w:rPr>
            <w:rStyle w:val="Hyperlink"/>
            <w:noProof/>
            <w:lang w:val="en-CA"/>
          </w:rPr>
          <w:t>2.3.2. Structure of the military court system</w:t>
        </w:r>
        <w:r w:rsidR="00BE6D3A">
          <w:rPr>
            <w:noProof/>
            <w:webHidden/>
          </w:rPr>
          <w:tab/>
        </w:r>
        <w:r w:rsidR="00BE6D3A">
          <w:rPr>
            <w:noProof/>
            <w:webHidden/>
          </w:rPr>
          <w:fldChar w:fldCharType="begin"/>
        </w:r>
        <w:r w:rsidR="00BE6D3A">
          <w:rPr>
            <w:noProof/>
            <w:webHidden/>
          </w:rPr>
          <w:instrText xml:space="preserve"> PAGEREF _Toc43382712 \h </w:instrText>
        </w:r>
        <w:r w:rsidR="00BE6D3A">
          <w:rPr>
            <w:noProof/>
            <w:webHidden/>
          </w:rPr>
        </w:r>
        <w:r w:rsidR="00BE6D3A">
          <w:rPr>
            <w:noProof/>
            <w:webHidden/>
          </w:rPr>
          <w:fldChar w:fldCharType="separate"/>
        </w:r>
        <w:r w:rsidR="00E045AC">
          <w:rPr>
            <w:noProof/>
            <w:webHidden/>
          </w:rPr>
          <w:t>7</w:t>
        </w:r>
        <w:r w:rsidR="00BE6D3A">
          <w:rPr>
            <w:noProof/>
            <w:webHidden/>
          </w:rPr>
          <w:fldChar w:fldCharType="end"/>
        </w:r>
      </w:hyperlink>
    </w:p>
    <w:p w14:paraId="10E49DB5" w14:textId="68CF9EE5"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13" w:history="1">
        <w:r w:rsidR="00BE6D3A" w:rsidRPr="002843AC">
          <w:rPr>
            <w:rStyle w:val="Hyperlink"/>
            <w:noProof/>
            <w:lang w:val="en-CA"/>
          </w:rPr>
          <w:t>2.4 Other components of the judicial system</w:t>
        </w:r>
        <w:r w:rsidR="00BE6D3A">
          <w:rPr>
            <w:noProof/>
            <w:webHidden/>
          </w:rPr>
          <w:tab/>
        </w:r>
        <w:r w:rsidR="00BE6D3A">
          <w:rPr>
            <w:noProof/>
            <w:webHidden/>
          </w:rPr>
          <w:fldChar w:fldCharType="begin"/>
        </w:r>
        <w:r w:rsidR="00BE6D3A">
          <w:rPr>
            <w:noProof/>
            <w:webHidden/>
          </w:rPr>
          <w:instrText xml:space="preserve"> PAGEREF _Toc43382713 \h </w:instrText>
        </w:r>
        <w:r w:rsidR="00BE6D3A">
          <w:rPr>
            <w:noProof/>
            <w:webHidden/>
          </w:rPr>
        </w:r>
        <w:r w:rsidR="00BE6D3A">
          <w:rPr>
            <w:noProof/>
            <w:webHidden/>
          </w:rPr>
          <w:fldChar w:fldCharType="separate"/>
        </w:r>
        <w:r w:rsidR="00E045AC">
          <w:rPr>
            <w:noProof/>
            <w:webHidden/>
          </w:rPr>
          <w:t>8</w:t>
        </w:r>
        <w:r w:rsidR="00BE6D3A">
          <w:rPr>
            <w:noProof/>
            <w:webHidden/>
          </w:rPr>
          <w:fldChar w:fldCharType="end"/>
        </w:r>
      </w:hyperlink>
    </w:p>
    <w:p w14:paraId="2D82F34F" w14:textId="7160E462"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14" w:history="1">
        <w:r w:rsidR="00BE6D3A" w:rsidRPr="002843AC">
          <w:rPr>
            <w:rStyle w:val="Hyperlink"/>
            <w:noProof/>
            <w:lang w:val="en-CA"/>
          </w:rPr>
          <w:t>2.5 Role of victims and organizations acting in the public interest in criminal proceedings</w:t>
        </w:r>
        <w:r w:rsidR="00BE6D3A">
          <w:rPr>
            <w:noProof/>
            <w:webHidden/>
          </w:rPr>
          <w:tab/>
        </w:r>
        <w:r w:rsidR="00BE6D3A">
          <w:rPr>
            <w:noProof/>
            <w:webHidden/>
          </w:rPr>
          <w:fldChar w:fldCharType="begin"/>
        </w:r>
        <w:r w:rsidR="00BE6D3A">
          <w:rPr>
            <w:noProof/>
            <w:webHidden/>
          </w:rPr>
          <w:instrText xml:space="preserve"> PAGEREF _Toc43382714 \h </w:instrText>
        </w:r>
        <w:r w:rsidR="00BE6D3A">
          <w:rPr>
            <w:noProof/>
            <w:webHidden/>
          </w:rPr>
        </w:r>
        <w:r w:rsidR="00BE6D3A">
          <w:rPr>
            <w:noProof/>
            <w:webHidden/>
          </w:rPr>
          <w:fldChar w:fldCharType="separate"/>
        </w:r>
        <w:r w:rsidR="00E045AC">
          <w:rPr>
            <w:noProof/>
            <w:webHidden/>
          </w:rPr>
          <w:t>9</w:t>
        </w:r>
        <w:r w:rsidR="00BE6D3A">
          <w:rPr>
            <w:noProof/>
            <w:webHidden/>
          </w:rPr>
          <w:fldChar w:fldCharType="end"/>
        </w:r>
      </w:hyperlink>
    </w:p>
    <w:p w14:paraId="13BCED47" w14:textId="39C95327"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15" w:history="1">
        <w:r w:rsidR="00BE6D3A" w:rsidRPr="002843AC">
          <w:rPr>
            <w:rStyle w:val="Hyperlink"/>
            <w:noProof/>
            <w:lang w:val="en-CA"/>
          </w:rPr>
          <w:t>2.5.1 civil claims in criminal proceedings</w:t>
        </w:r>
        <w:r w:rsidR="00BE6D3A">
          <w:rPr>
            <w:noProof/>
            <w:webHidden/>
          </w:rPr>
          <w:tab/>
        </w:r>
        <w:r w:rsidR="00BE6D3A">
          <w:rPr>
            <w:noProof/>
            <w:webHidden/>
          </w:rPr>
          <w:fldChar w:fldCharType="begin"/>
        </w:r>
        <w:r w:rsidR="00BE6D3A">
          <w:rPr>
            <w:noProof/>
            <w:webHidden/>
          </w:rPr>
          <w:instrText xml:space="preserve"> PAGEREF _Toc43382715 \h </w:instrText>
        </w:r>
        <w:r w:rsidR="00BE6D3A">
          <w:rPr>
            <w:noProof/>
            <w:webHidden/>
          </w:rPr>
        </w:r>
        <w:r w:rsidR="00BE6D3A">
          <w:rPr>
            <w:noProof/>
            <w:webHidden/>
          </w:rPr>
          <w:fldChar w:fldCharType="separate"/>
        </w:r>
        <w:r w:rsidR="00E045AC">
          <w:rPr>
            <w:noProof/>
            <w:webHidden/>
          </w:rPr>
          <w:t>9</w:t>
        </w:r>
        <w:r w:rsidR="00BE6D3A">
          <w:rPr>
            <w:noProof/>
            <w:webHidden/>
          </w:rPr>
          <w:fldChar w:fldCharType="end"/>
        </w:r>
      </w:hyperlink>
    </w:p>
    <w:p w14:paraId="51E76C86" w14:textId="22CB73DC"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16" w:history="1">
        <w:r w:rsidR="00BE6D3A" w:rsidRPr="002843AC">
          <w:rPr>
            <w:rStyle w:val="Hyperlink"/>
            <w:rFonts w:eastAsia="Times-Roman"/>
            <w:noProof/>
            <w:lang w:val="en-CA"/>
          </w:rPr>
          <w:t>2.5.2 Criminal proceedings initiated by victims or On their behalf</w:t>
        </w:r>
        <w:r w:rsidR="00BE6D3A">
          <w:rPr>
            <w:noProof/>
            <w:webHidden/>
          </w:rPr>
          <w:tab/>
        </w:r>
        <w:r w:rsidR="00BE6D3A">
          <w:rPr>
            <w:noProof/>
            <w:webHidden/>
          </w:rPr>
          <w:fldChar w:fldCharType="begin"/>
        </w:r>
        <w:r w:rsidR="00BE6D3A">
          <w:rPr>
            <w:noProof/>
            <w:webHidden/>
          </w:rPr>
          <w:instrText xml:space="preserve"> PAGEREF _Toc43382716 \h </w:instrText>
        </w:r>
        <w:r w:rsidR="00BE6D3A">
          <w:rPr>
            <w:noProof/>
            <w:webHidden/>
          </w:rPr>
        </w:r>
        <w:r w:rsidR="00BE6D3A">
          <w:rPr>
            <w:noProof/>
            <w:webHidden/>
          </w:rPr>
          <w:fldChar w:fldCharType="separate"/>
        </w:r>
        <w:r w:rsidR="00E045AC">
          <w:rPr>
            <w:noProof/>
            <w:webHidden/>
          </w:rPr>
          <w:t>9</w:t>
        </w:r>
        <w:r w:rsidR="00BE6D3A">
          <w:rPr>
            <w:noProof/>
            <w:webHidden/>
          </w:rPr>
          <w:fldChar w:fldCharType="end"/>
        </w:r>
      </w:hyperlink>
    </w:p>
    <w:p w14:paraId="363B1F35" w14:textId="1A34459E"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17" w:history="1">
        <w:r w:rsidR="00BE6D3A" w:rsidRPr="002843AC">
          <w:rPr>
            <w:rStyle w:val="Hyperlink"/>
            <w:rFonts w:eastAsia="Times-Roman"/>
            <w:noProof/>
            <w:lang w:val="en-CA"/>
          </w:rPr>
          <w:t>2.5.2.1. Criminal proceedings initiated by victims</w:t>
        </w:r>
        <w:r w:rsidR="00BE6D3A">
          <w:rPr>
            <w:noProof/>
            <w:webHidden/>
          </w:rPr>
          <w:tab/>
        </w:r>
        <w:r w:rsidR="00BE6D3A">
          <w:rPr>
            <w:noProof/>
            <w:webHidden/>
          </w:rPr>
          <w:fldChar w:fldCharType="begin"/>
        </w:r>
        <w:r w:rsidR="00BE6D3A">
          <w:rPr>
            <w:noProof/>
            <w:webHidden/>
          </w:rPr>
          <w:instrText xml:space="preserve"> PAGEREF _Toc43382717 \h </w:instrText>
        </w:r>
        <w:r w:rsidR="00BE6D3A">
          <w:rPr>
            <w:noProof/>
            <w:webHidden/>
          </w:rPr>
        </w:r>
        <w:r w:rsidR="00BE6D3A">
          <w:rPr>
            <w:noProof/>
            <w:webHidden/>
          </w:rPr>
          <w:fldChar w:fldCharType="separate"/>
        </w:r>
        <w:r w:rsidR="00E045AC">
          <w:rPr>
            <w:noProof/>
            <w:webHidden/>
          </w:rPr>
          <w:t>9</w:t>
        </w:r>
        <w:r w:rsidR="00BE6D3A">
          <w:rPr>
            <w:noProof/>
            <w:webHidden/>
          </w:rPr>
          <w:fldChar w:fldCharType="end"/>
        </w:r>
      </w:hyperlink>
    </w:p>
    <w:p w14:paraId="1528F585" w14:textId="05E7CA4A"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18" w:history="1">
        <w:r w:rsidR="00BE6D3A" w:rsidRPr="002843AC">
          <w:rPr>
            <w:rStyle w:val="Hyperlink"/>
            <w:noProof/>
            <w:lang w:val="en-CA"/>
          </w:rPr>
          <w:t xml:space="preserve">2.5.2.2. </w:t>
        </w:r>
        <w:r w:rsidR="00BE6D3A" w:rsidRPr="002843AC">
          <w:rPr>
            <w:rStyle w:val="Hyperlink"/>
            <w:rFonts w:eastAsia="Times-Roman"/>
            <w:noProof/>
            <w:lang w:val="en-CA"/>
          </w:rPr>
          <w:t>Criminal proceedings initiated on behalf of the victims or the public interest</w:t>
        </w:r>
        <w:r w:rsidR="00BE6D3A">
          <w:rPr>
            <w:noProof/>
            <w:webHidden/>
          </w:rPr>
          <w:tab/>
        </w:r>
        <w:r w:rsidR="00BE6D3A">
          <w:rPr>
            <w:noProof/>
            <w:webHidden/>
          </w:rPr>
          <w:fldChar w:fldCharType="begin"/>
        </w:r>
        <w:r w:rsidR="00BE6D3A">
          <w:rPr>
            <w:noProof/>
            <w:webHidden/>
          </w:rPr>
          <w:instrText xml:space="preserve"> PAGEREF _Toc43382718 \h </w:instrText>
        </w:r>
        <w:r w:rsidR="00BE6D3A">
          <w:rPr>
            <w:noProof/>
            <w:webHidden/>
          </w:rPr>
        </w:r>
        <w:r w:rsidR="00BE6D3A">
          <w:rPr>
            <w:noProof/>
            <w:webHidden/>
          </w:rPr>
          <w:fldChar w:fldCharType="separate"/>
        </w:r>
        <w:r w:rsidR="00E045AC">
          <w:rPr>
            <w:noProof/>
            <w:webHidden/>
          </w:rPr>
          <w:t>10</w:t>
        </w:r>
        <w:r w:rsidR="00BE6D3A">
          <w:rPr>
            <w:noProof/>
            <w:webHidden/>
          </w:rPr>
          <w:fldChar w:fldCharType="end"/>
        </w:r>
      </w:hyperlink>
    </w:p>
    <w:p w14:paraId="5F5FAACF" w14:textId="71ACF02E"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19" w:history="1">
        <w:r w:rsidR="00BE6D3A" w:rsidRPr="002843AC">
          <w:rPr>
            <w:rStyle w:val="Hyperlink"/>
            <w:rFonts w:eastAsia="Times-Roman"/>
            <w:noProof/>
            <w:lang w:val="en-CA"/>
          </w:rPr>
          <w:t>2.5.3 Rights of victims in criminal proceedings</w:t>
        </w:r>
        <w:r w:rsidR="00BE6D3A">
          <w:rPr>
            <w:noProof/>
            <w:webHidden/>
          </w:rPr>
          <w:tab/>
        </w:r>
        <w:r w:rsidR="00BE6D3A">
          <w:rPr>
            <w:noProof/>
            <w:webHidden/>
          </w:rPr>
          <w:fldChar w:fldCharType="begin"/>
        </w:r>
        <w:r w:rsidR="00BE6D3A">
          <w:rPr>
            <w:noProof/>
            <w:webHidden/>
          </w:rPr>
          <w:instrText xml:space="preserve"> PAGEREF _Toc43382719 \h </w:instrText>
        </w:r>
        <w:r w:rsidR="00BE6D3A">
          <w:rPr>
            <w:noProof/>
            <w:webHidden/>
          </w:rPr>
        </w:r>
        <w:r w:rsidR="00BE6D3A">
          <w:rPr>
            <w:noProof/>
            <w:webHidden/>
          </w:rPr>
          <w:fldChar w:fldCharType="separate"/>
        </w:r>
        <w:r w:rsidR="00E045AC">
          <w:rPr>
            <w:noProof/>
            <w:webHidden/>
          </w:rPr>
          <w:t>10</w:t>
        </w:r>
        <w:r w:rsidR="00BE6D3A">
          <w:rPr>
            <w:noProof/>
            <w:webHidden/>
          </w:rPr>
          <w:fldChar w:fldCharType="end"/>
        </w:r>
      </w:hyperlink>
    </w:p>
    <w:p w14:paraId="7428A994" w14:textId="623D3222"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20" w:history="1">
        <w:r w:rsidR="00BE6D3A" w:rsidRPr="002843AC">
          <w:rPr>
            <w:rStyle w:val="Hyperlink"/>
            <w:rFonts w:eastAsia="Times-Roman"/>
            <w:noProof/>
            <w:lang w:val="en-CA"/>
          </w:rPr>
          <w:t>2.5.3.1. Notice of the rights of victims</w:t>
        </w:r>
        <w:r w:rsidR="00BE6D3A">
          <w:rPr>
            <w:noProof/>
            <w:webHidden/>
          </w:rPr>
          <w:tab/>
        </w:r>
        <w:r w:rsidR="00BE6D3A">
          <w:rPr>
            <w:noProof/>
            <w:webHidden/>
          </w:rPr>
          <w:fldChar w:fldCharType="begin"/>
        </w:r>
        <w:r w:rsidR="00BE6D3A">
          <w:rPr>
            <w:noProof/>
            <w:webHidden/>
          </w:rPr>
          <w:instrText xml:space="preserve"> PAGEREF _Toc43382720 \h </w:instrText>
        </w:r>
        <w:r w:rsidR="00BE6D3A">
          <w:rPr>
            <w:noProof/>
            <w:webHidden/>
          </w:rPr>
        </w:r>
        <w:r w:rsidR="00BE6D3A">
          <w:rPr>
            <w:noProof/>
            <w:webHidden/>
          </w:rPr>
          <w:fldChar w:fldCharType="separate"/>
        </w:r>
        <w:r w:rsidR="00E045AC">
          <w:rPr>
            <w:noProof/>
            <w:webHidden/>
          </w:rPr>
          <w:t>11</w:t>
        </w:r>
        <w:r w:rsidR="00BE6D3A">
          <w:rPr>
            <w:noProof/>
            <w:webHidden/>
          </w:rPr>
          <w:fldChar w:fldCharType="end"/>
        </w:r>
      </w:hyperlink>
    </w:p>
    <w:p w14:paraId="56FE7F8F" w14:textId="3C104C38"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21" w:history="1">
        <w:r w:rsidR="00BE6D3A" w:rsidRPr="002843AC">
          <w:rPr>
            <w:rStyle w:val="Hyperlink"/>
            <w:rFonts w:eastAsia="Times-Roman"/>
            <w:noProof/>
            <w:lang w:val="en-CA"/>
          </w:rPr>
          <w:t>2.5.3.2. Protection</w:t>
        </w:r>
        <w:r w:rsidR="00BE6D3A">
          <w:rPr>
            <w:noProof/>
            <w:webHidden/>
          </w:rPr>
          <w:tab/>
        </w:r>
        <w:r w:rsidR="00BE6D3A">
          <w:rPr>
            <w:noProof/>
            <w:webHidden/>
          </w:rPr>
          <w:fldChar w:fldCharType="begin"/>
        </w:r>
        <w:r w:rsidR="00BE6D3A">
          <w:rPr>
            <w:noProof/>
            <w:webHidden/>
          </w:rPr>
          <w:instrText xml:space="preserve"> PAGEREF _Toc43382721 \h </w:instrText>
        </w:r>
        <w:r w:rsidR="00BE6D3A">
          <w:rPr>
            <w:noProof/>
            <w:webHidden/>
          </w:rPr>
        </w:r>
        <w:r w:rsidR="00BE6D3A">
          <w:rPr>
            <w:noProof/>
            <w:webHidden/>
          </w:rPr>
          <w:fldChar w:fldCharType="separate"/>
        </w:r>
        <w:r w:rsidR="00E045AC">
          <w:rPr>
            <w:noProof/>
            <w:webHidden/>
          </w:rPr>
          <w:t>11</w:t>
        </w:r>
        <w:r w:rsidR="00BE6D3A">
          <w:rPr>
            <w:noProof/>
            <w:webHidden/>
          </w:rPr>
          <w:fldChar w:fldCharType="end"/>
        </w:r>
      </w:hyperlink>
    </w:p>
    <w:p w14:paraId="7C708742" w14:textId="7C4C013C"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22" w:history="1">
        <w:r w:rsidR="00BE6D3A" w:rsidRPr="002843AC">
          <w:rPr>
            <w:rStyle w:val="Hyperlink"/>
            <w:rFonts w:eastAsia="Times-Roman"/>
            <w:noProof/>
            <w:lang w:val="en-CA"/>
          </w:rPr>
          <w:t>2.5.3.3. Support</w:t>
        </w:r>
        <w:r w:rsidR="00BE6D3A">
          <w:rPr>
            <w:noProof/>
            <w:webHidden/>
          </w:rPr>
          <w:tab/>
        </w:r>
        <w:r w:rsidR="00BE6D3A">
          <w:rPr>
            <w:noProof/>
            <w:webHidden/>
          </w:rPr>
          <w:fldChar w:fldCharType="begin"/>
        </w:r>
        <w:r w:rsidR="00BE6D3A">
          <w:rPr>
            <w:noProof/>
            <w:webHidden/>
          </w:rPr>
          <w:instrText xml:space="preserve"> PAGEREF _Toc43382722 \h </w:instrText>
        </w:r>
        <w:r w:rsidR="00BE6D3A">
          <w:rPr>
            <w:noProof/>
            <w:webHidden/>
          </w:rPr>
        </w:r>
        <w:r w:rsidR="00BE6D3A">
          <w:rPr>
            <w:noProof/>
            <w:webHidden/>
          </w:rPr>
          <w:fldChar w:fldCharType="separate"/>
        </w:r>
        <w:r w:rsidR="00E045AC">
          <w:rPr>
            <w:noProof/>
            <w:webHidden/>
          </w:rPr>
          <w:t>11</w:t>
        </w:r>
        <w:r w:rsidR="00BE6D3A">
          <w:rPr>
            <w:noProof/>
            <w:webHidden/>
          </w:rPr>
          <w:fldChar w:fldCharType="end"/>
        </w:r>
      </w:hyperlink>
    </w:p>
    <w:p w14:paraId="0401E7EA" w14:textId="2B2A69AD"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23" w:history="1">
        <w:r w:rsidR="00BE6D3A" w:rsidRPr="002843AC">
          <w:rPr>
            <w:rStyle w:val="Hyperlink"/>
            <w:rFonts w:eastAsia="Times-Roman"/>
            <w:noProof/>
            <w:lang w:val="en-CA"/>
          </w:rPr>
          <w:t>2.5.3.4. Notice</w:t>
        </w:r>
        <w:r w:rsidR="00BE6D3A">
          <w:rPr>
            <w:noProof/>
            <w:webHidden/>
          </w:rPr>
          <w:tab/>
        </w:r>
        <w:r w:rsidR="00BE6D3A">
          <w:rPr>
            <w:noProof/>
            <w:webHidden/>
          </w:rPr>
          <w:fldChar w:fldCharType="begin"/>
        </w:r>
        <w:r w:rsidR="00BE6D3A">
          <w:rPr>
            <w:noProof/>
            <w:webHidden/>
          </w:rPr>
          <w:instrText xml:space="preserve"> PAGEREF _Toc43382723 \h </w:instrText>
        </w:r>
        <w:r w:rsidR="00BE6D3A">
          <w:rPr>
            <w:noProof/>
            <w:webHidden/>
          </w:rPr>
        </w:r>
        <w:r w:rsidR="00BE6D3A">
          <w:rPr>
            <w:noProof/>
            <w:webHidden/>
          </w:rPr>
          <w:fldChar w:fldCharType="separate"/>
        </w:r>
        <w:r w:rsidR="00E045AC">
          <w:rPr>
            <w:noProof/>
            <w:webHidden/>
          </w:rPr>
          <w:t>12</w:t>
        </w:r>
        <w:r w:rsidR="00BE6D3A">
          <w:rPr>
            <w:noProof/>
            <w:webHidden/>
          </w:rPr>
          <w:fldChar w:fldCharType="end"/>
        </w:r>
      </w:hyperlink>
    </w:p>
    <w:p w14:paraId="582AB613" w14:textId="3F67EAAD"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24" w:history="1">
        <w:r w:rsidR="00BE6D3A" w:rsidRPr="002843AC">
          <w:rPr>
            <w:rStyle w:val="Hyperlink"/>
            <w:rFonts w:eastAsia="Times-Roman"/>
            <w:caps/>
            <w:noProof/>
            <w:lang w:val="en-CA"/>
          </w:rPr>
          <w:t xml:space="preserve">2.5.3.5. </w:t>
        </w:r>
        <w:r w:rsidR="00BE6D3A" w:rsidRPr="002843AC">
          <w:rPr>
            <w:rStyle w:val="Hyperlink"/>
            <w:rFonts w:eastAsia="Times-Roman"/>
            <w:noProof/>
            <w:lang w:val="en-CA"/>
          </w:rPr>
          <w:t>Participation</w:t>
        </w:r>
        <w:r w:rsidR="00BE6D3A">
          <w:rPr>
            <w:noProof/>
            <w:webHidden/>
          </w:rPr>
          <w:tab/>
        </w:r>
        <w:r w:rsidR="00BE6D3A">
          <w:rPr>
            <w:noProof/>
            <w:webHidden/>
          </w:rPr>
          <w:fldChar w:fldCharType="begin"/>
        </w:r>
        <w:r w:rsidR="00BE6D3A">
          <w:rPr>
            <w:noProof/>
            <w:webHidden/>
          </w:rPr>
          <w:instrText xml:space="preserve"> PAGEREF _Toc43382724 \h </w:instrText>
        </w:r>
        <w:r w:rsidR="00BE6D3A">
          <w:rPr>
            <w:noProof/>
            <w:webHidden/>
          </w:rPr>
        </w:r>
        <w:r w:rsidR="00BE6D3A">
          <w:rPr>
            <w:noProof/>
            <w:webHidden/>
          </w:rPr>
          <w:fldChar w:fldCharType="separate"/>
        </w:r>
        <w:r w:rsidR="00E045AC">
          <w:rPr>
            <w:noProof/>
            <w:webHidden/>
          </w:rPr>
          <w:t>12</w:t>
        </w:r>
        <w:r w:rsidR="00BE6D3A">
          <w:rPr>
            <w:noProof/>
            <w:webHidden/>
          </w:rPr>
          <w:fldChar w:fldCharType="end"/>
        </w:r>
      </w:hyperlink>
    </w:p>
    <w:p w14:paraId="7997EE56" w14:textId="513EAAFF"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25" w:history="1">
        <w:r w:rsidR="00BE6D3A" w:rsidRPr="002843AC">
          <w:rPr>
            <w:rStyle w:val="Hyperlink"/>
            <w:rFonts w:eastAsia="Times-Roman"/>
            <w:noProof/>
            <w:lang w:val="en-CA"/>
          </w:rPr>
          <w:t>2.5.3.6. Representation</w:t>
        </w:r>
        <w:r w:rsidR="00BE6D3A">
          <w:rPr>
            <w:noProof/>
            <w:webHidden/>
          </w:rPr>
          <w:tab/>
        </w:r>
        <w:r w:rsidR="00BE6D3A">
          <w:rPr>
            <w:noProof/>
            <w:webHidden/>
          </w:rPr>
          <w:fldChar w:fldCharType="begin"/>
        </w:r>
        <w:r w:rsidR="00BE6D3A">
          <w:rPr>
            <w:noProof/>
            <w:webHidden/>
          </w:rPr>
          <w:instrText xml:space="preserve"> PAGEREF _Toc43382725 \h </w:instrText>
        </w:r>
        <w:r w:rsidR="00BE6D3A">
          <w:rPr>
            <w:noProof/>
            <w:webHidden/>
          </w:rPr>
        </w:r>
        <w:r w:rsidR="00BE6D3A">
          <w:rPr>
            <w:noProof/>
            <w:webHidden/>
          </w:rPr>
          <w:fldChar w:fldCharType="separate"/>
        </w:r>
        <w:r w:rsidR="00E045AC">
          <w:rPr>
            <w:noProof/>
            <w:webHidden/>
          </w:rPr>
          <w:t>13</w:t>
        </w:r>
        <w:r w:rsidR="00BE6D3A">
          <w:rPr>
            <w:noProof/>
            <w:webHidden/>
          </w:rPr>
          <w:fldChar w:fldCharType="end"/>
        </w:r>
      </w:hyperlink>
    </w:p>
    <w:p w14:paraId="549F479C" w14:textId="73E40DF3"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726" w:history="1">
        <w:r w:rsidR="00BE6D3A" w:rsidRPr="002843AC">
          <w:rPr>
            <w:rStyle w:val="Hyperlink"/>
            <w:noProof/>
            <w:lang w:val="en-CA"/>
          </w:rPr>
          <w:t>3. GEOGRAPHIC JURISDICTION OTHER THAN UNIVERSAL JURISDICTION</w:t>
        </w:r>
        <w:r w:rsidR="00BE6D3A">
          <w:rPr>
            <w:noProof/>
            <w:webHidden/>
          </w:rPr>
          <w:tab/>
        </w:r>
        <w:r w:rsidR="00BE6D3A">
          <w:rPr>
            <w:noProof/>
            <w:webHidden/>
          </w:rPr>
          <w:fldChar w:fldCharType="begin"/>
        </w:r>
        <w:r w:rsidR="00BE6D3A">
          <w:rPr>
            <w:noProof/>
            <w:webHidden/>
          </w:rPr>
          <w:instrText xml:space="preserve"> PAGEREF _Toc43382726 \h </w:instrText>
        </w:r>
        <w:r w:rsidR="00BE6D3A">
          <w:rPr>
            <w:noProof/>
            <w:webHidden/>
          </w:rPr>
        </w:r>
        <w:r w:rsidR="00BE6D3A">
          <w:rPr>
            <w:noProof/>
            <w:webHidden/>
          </w:rPr>
          <w:fldChar w:fldCharType="separate"/>
        </w:r>
        <w:r w:rsidR="00E045AC">
          <w:rPr>
            <w:noProof/>
            <w:webHidden/>
          </w:rPr>
          <w:t>13</w:t>
        </w:r>
        <w:r w:rsidR="00BE6D3A">
          <w:rPr>
            <w:noProof/>
            <w:webHidden/>
          </w:rPr>
          <w:fldChar w:fldCharType="end"/>
        </w:r>
      </w:hyperlink>
    </w:p>
    <w:p w14:paraId="7D8B1AF0" w14:textId="5C376850"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727" w:history="1">
        <w:r w:rsidR="00BE6D3A" w:rsidRPr="002843AC">
          <w:rPr>
            <w:rStyle w:val="Hyperlink"/>
            <w:noProof/>
            <w:kern w:val="56"/>
            <w:lang w:val="en-CA"/>
          </w:rPr>
          <w:t>4. LEGISLATION PROVIDING FOR UNIVERSAL CRIMINAL JURISDICTION</w:t>
        </w:r>
        <w:r w:rsidR="00BE6D3A">
          <w:rPr>
            <w:noProof/>
            <w:webHidden/>
          </w:rPr>
          <w:tab/>
        </w:r>
        <w:r w:rsidR="00BE6D3A">
          <w:rPr>
            <w:noProof/>
            <w:webHidden/>
          </w:rPr>
          <w:fldChar w:fldCharType="begin"/>
        </w:r>
        <w:r w:rsidR="00BE6D3A">
          <w:rPr>
            <w:noProof/>
            <w:webHidden/>
          </w:rPr>
          <w:instrText xml:space="preserve"> PAGEREF _Toc43382727 \h </w:instrText>
        </w:r>
        <w:r w:rsidR="00BE6D3A">
          <w:rPr>
            <w:noProof/>
            <w:webHidden/>
          </w:rPr>
        </w:r>
        <w:r w:rsidR="00BE6D3A">
          <w:rPr>
            <w:noProof/>
            <w:webHidden/>
          </w:rPr>
          <w:fldChar w:fldCharType="separate"/>
        </w:r>
        <w:r w:rsidR="00E045AC">
          <w:rPr>
            <w:noProof/>
            <w:webHidden/>
          </w:rPr>
          <w:t>15</w:t>
        </w:r>
        <w:r w:rsidR="00BE6D3A">
          <w:rPr>
            <w:noProof/>
            <w:webHidden/>
          </w:rPr>
          <w:fldChar w:fldCharType="end"/>
        </w:r>
      </w:hyperlink>
    </w:p>
    <w:p w14:paraId="5C955F46" w14:textId="0EB70240"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28" w:history="1">
        <w:r w:rsidR="00BE6D3A" w:rsidRPr="002843AC">
          <w:rPr>
            <w:rStyle w:val="Hyperlink"/>
            <w:noProof/>
            <w:lang w:val="en-CA"/>
          </w:rPr>
          <w:t>4.1. Ordinary crimes</w:t>
        </w:r>
        <w:r w:rsidR="00BE6D3A">
          <w:rPr>
            <w:noProof/>
            <w:webHidden/>
          </w:rPr>
          <w:tab/>
        </w:r>
        <w:r w:rsidR="00BE6D3A">
          <w:rPr>
            <w:noProof/>
            <w:webHidden/>
          </w:rPr>
          <w:fldChar w:fldCharType="begin"/>
        </w:r>
        <w:r w:rsidR="00BE6D3A">
          <w:rPr>
            <w:noProof/>
            <w:webHidden/>
          </w:rPr>
          <w:instrText xml:space="preserve"> PAGEREF _Toc43382728 \h </w:instrText>
        </w:r>
        <w:r w:rsidR="00BE6D3A">
          <w:rPr>
            <w:noProof/>
            <w:webHidden/>
          </w:rPr>
        </w:r>
        <w:r w:rsidR="00BE6D3A">
          <w:rPr>
            <w:noProof/>
            <w:webHidden/>
          </w:rPr>
          <w:fldChar w:fldCharType="separate"/>
        </w:r>
        <w:r w:rsidR="00E045AC">
          <w:rPr>
            <w:noProof/>
            <w:webHidden/>
          </w:rPr>
          <w:t>16</w:t>
        </w:r>
        <w:r w:rsidR="00BE6D3A">
          <w:rPr>
            <w:noProof/>
            <w:webHidden/>
          </w:rPr>
          <w:fldChar w:fldCharType="end"/>
        </w:r>
      </w:hyperlink>
    </w:p>
    <w:p w14:paraId="6974E475" w14:textId="6B5F2E9C"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29" w:history="1">
        <w:r w:rsidR="00BE6D3A" w:rsidRPr="002843AC">
          <w:rPr>
            <w:rStyle w:val="Hyperlink"/>
            <w:noProof/>
            <w:lang w:val="en-CA"/>
          </w:rPr>
          <w:t>4.2. Crimes under national law of international concern</w:t>
        </w:r>
        <w:r w:rsidR="00BE6D3A">
          <w:rPr>
            <w:noProof/>
            <w:webHidden/>
          </w:rPr>
          <w:tab/>
        </w:r>
        <w:r w:rsidR="00BE6D3A">
          <w:rPr>
            <w:noProof/>
            <w:webHidden/>
          </w:rPr>
          <w:fldChar w:fldCharType="begin"/>
        </w:r>
        <w:r w:rsidR="00BE6D3A">
          <w:rPr>
            <w:noProof/>
            <w:webHidden/>
          </w:rPr>
          <w:instrText xml:space="preserve"> PAGEREF _Toc43382729 \h </w:instrText>
        </w:r>
        <w:r w:rsidR="00BE6D3A">
          <w:rPr>
            <w:noProof/>
            <w:webHidden/>
          </w:rPr>
        </w:r>
        <w:r w:rsidR="00BE6D3A">
          <w:rPr>
            <w:noProof/>
            <w:webHidden/>
          </w:rPr>
          <w:fldChar w:fldCharType="separate"/>
        </w:r>
        <w:r w:rsidR="00E045AC">
          <w:rPr>
            <w:noProof/>
            <w:webHidden/>
          </w:rPr>
          <w:t>16</w:t>
        </w:r>
        <w:r w:rsidR="00BE6D3A">
          <w:rPr>
            <w:noProof/>
            <w:webHidden/>
          </w:rPr>
          <w:fldChar w:fldCharType="end"/>
        </w:r>
      </w:hyperlink>
    </w:p>
    <w:p w14:paraId="446D4926" w14:textId="3DAD76B8"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30" w:history="1">
        <w:r w:rsidR="00BE6D3A" w:rsidRPr="002843AC">
          <w:rPr>
            <w:rStyle w:val="Hyperlink"/>
            <w:noProof/>
            <w:lang w:val="en-CA"/>
          </w:rPr>
          <w:t>4.3. Crimes under international law</w:t>
        </w:r>
        <w:r w:rsidR="00BE6D3A">
          <w:rPr>
            <w:noProof/>
            <w:webHidden/>
          </w:rPr>
          <w:tab/>
        </w:r>
        <w:r w:rsidR="00BE6D3A">
          <w:rPr>
            <w:noProof/>
            <w:webHidden/>
          </w:rPr>
          <w:fldChar w:fldCharType="begin"/>
        </w:r>
        <w:r w:rsidR="00BE6D3A">
          <w:rPr>
            <w:noProof/>
            <w:webHidden/>
          </w:rPr>
          <w:instrText xml:space="preserve"> PAGEREF _Toc43382730 \h </w:instrText>
        </w:r>
        <w:r w:rsidR="00BE6D3A">
          <w:rPr>
            <w:noProof/>
            <w:webHidden/>
          </w:rPr>
        </w:r>
        <w:r w:rsidR="00BE6D3A">
          <w:rPr>
            <w:noProof/>
            <w:webHidden/>
          </w:rPr>
          <w:fldChar w:fldCharType="separate"/>
        </w:r>
        <w:r w:rsidR="00E045AC">
          <w:rPr>
            <w:noProof/>
            <w:webHidden/>
          </w:rPr>
          <w:t>20</w:t>
        </w:r>
        <w:r w:rsidR="00BE6D3A">
          <w:rPr>
            <w:noProof/>
            <w:webHidden/>
          </w:rPr>
          <w:fldChar w:fldCharType="end"/>
        </w:r>
      </w:hyperlink>
    </w:p>
    <w:p w14:paraId="2F9C1F2E" w14:textId="7DB2A9D3"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31" w:history="1">
        <w:r w:rsidR="00BE6D3A" w:rsidRPr="002843AC">
          <w:rPr>
            <w:rStyle w:val="Hyperlink"/>
            <w:noProof/>
            <w:lang w:val="en-CA"/>
          </w:rPr>
          <w:t>4.3.1. War crimes</w:t>
        </w:r>
        <w:r w:rsidR="00BE6D3A">
          <w:rPr>
            <w:noProof/>
            <w:webHidden/>
          </w:rPr>
          <w:tab/>
        </w:r>
        <w:r w:rsidR="00BE6D3A">
          <w:rPr>
            <w:noProof/>
            <w:webHidden/>
          </w:rPr>
          <w:fldChar w:fldCharType="begin"/>
        </w:r>
        <w:r w:rsidR="00BE6D3A">
          <w:rPr>
            <w:noProof/>
            <w:webHidden/>
          </w:rPr>
          <w:instrText xml:space="preserve"> PAGEREF _Toc43382731 \h </w:instrText>
        </w:r>
        <w:r w:rsidR="00BE6D3A">
          <w:rPr>
            <w:noProof/>
            <w:webHidden/>
          </w:rPr>
        </w:r>
        <w:r w:rsidR="00BE6D3A">
          <w:rPr>
            <w:noProof/>
            <w:webHidden/>
          </w:rPr>
          <w:fldChar w:fldCharType="separate"/>
        </w:r>
        <w:r w:rsidR="00E045AC">
          <w:rPr>
            <w:noProof/>
            <w:webHidden/>
          </w:rPr>
          <w:t>20</w:t>
        </w:r>
        <w:r w:rsidR="00BE6D3A">
          <w:rPr>
            <w:noProof/>
            <w:webHidden/>
          </w:rPr>
          <w:fldChar w:fldCharType="end"/>
        </w:r>
      </w:hyperlink>
    </w:p>
    <w:p w14:paraId="13650287" w14:textId="47532C35"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32" w:history="1">
        <w:r w:rsidR="00BE6D3A" w:rsidRPr="002843AC">
          <w:rPr>
            <w:rStyle w:val="Hyperlink"/>
            <w:noProof/>
            <w:lang w:val="en-CA"/>
          </w:rPr>
          <w:t>4.3.1.1. War crimes in international armed conflict: Grave breaches of the 1949 Geneva Conventions</w:t>
        </w:r>
        <w:r w:rsidR="00BE6D3A">
          <w:rPr>
            <w:noProof/>
            <w:webHidden/>
          </w:rPr>
          <w:tab/>
        </w:r>
        <w:r w:rsidR="00BE6D3A">
          <w:rPr>
            <w:noProof/>
            <w:webHidden/>
          </w:rPr>
          <w:fldChar w:fldCharType="begin"/>
        </w:r>
        <w:r w:rsidR="00BE6D3A">
          <w:rPr>
            <w:noProof/>
            <w:webHidden/>
          </w:rPr>
          <w:instrText xml:space="preserve"> PAGEREF _Toc43382732 \h </w:instrText>
        </w:r>
        <w:r w:rsidR="00BE6D3A">
          <w:rPr>
            <w:noProof/>
            <w:webHidden/>
          </w:rPr>
        </w:r>
        <w:r w:rsidR="00BE6D3A">
          <w:rPr>
            <w:noProof/>
            <w:webHidden/>
          </w:rPr>
          <w:fldChar w:fldCharType="separate"/>
        </w:r>
        <w:r w:rsidR="00E045AC">
          <w:rPr>
            <w:noProof/>
            <w:webHidden/>
          </w:rPr>
          <w:t>22</w:t>
        </w:r>
        <w:r w:rsidR="00BE6D3A">
          <w:rPr>
            <w:noProof/>
            <w:webHidden/>
          </w:rPr>
          <w:fldChar w:fldCharType="end"/>
        </w:r>
      </w:hyperlink>
    </w:p>
    <w:p w14:paraId="251EAE37" w14:textId="4313DAB1"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33" w:history="1">
        <w:r w:rsidR="00BE6D3A" w:rsidRPr="002843AC">
          <w:rPr>
            <w:rStyle w:val="Hyperlink"/>
            <w:noProof/>
            <w:lang w:val="en-CA"/>
          </w:rPr>
          <w:t>4.3.1.2. War crimes in international armed conflict: Grave breaches of Additional Protocol I</w:t>
        </w:r>
        <w:r w:rsidR="00BE6D3A">
          <w:rPr>
            <w:noProof/>
            <w:webHidden/>
          </w:rPr>
          <w:tab/>
        </w:r>
        <w:r w:rsidR="00BE6D3A">
          <w:rPr>
            <w:noProof/>
            <w:webHidden/>
          </w:rPr>
          <w:fldChar w:fldCharType="begin"/>
        </w:r>
        <w:r w:rsidR="00BE6D3A">
          <w:rPr>
            <w:noProof/>
            <w:webHidden/>
          </w:rPr>
          <w:instrText xml:space="preserve"> PAGEREF _Toc43382733 \h </w:instrText>
        </w:r>
        <w:r w:rsidR="00BE6D3A">
          <w:rPr>
            <w:noProof/>
            <w:webHidden/>
          </w:rPr>
        </w:r>
        <w:r w:rsidR="00BE6D3A">
          <w:rPr>
            <w:noProof/>
            <w:webHidden/>
          </w:rPr>
          <w:fldChar w:fldCharType="separate"/>
        </w:r>
        <w:r w:rsidR="00E045AC">
          <w:rPr>
            <w:noProof/>
            <w:webHidden/>
          </w:rPr>
          <w:t>22</w:t>
        </w:r>
        <w:r w:rsidR="00BE6D3A">
          <w:rPr>
            <w:noProof/>
            <w:webHidden/>
          </w:rPr>
          <w:fldChar w:fldCharType="end"/>
        </w:r>
      </w:hyperlink>
    </w:p>
    <w:p w14:paraId="250E3E29" w14:textId="4B6A06C1"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34" w:history="1">
        <w:r w:rsidR="00BE6D3A" w:rsidRPr="002843AC">
          <w:rPr>
            <w:rStyle w:val="Hyperlink"/>
            <w:noProof/>
            <w:lang w:val="en-CA"/>
          </w:rPr>
          <w:t>4.3.1.3. War crimes in international armed conflict: Rome Statute, other treaties, and customary international law</w:t>
        </w:r>
        <w:r w:rsidR="00BE6D3A">
          <w:rPr>
            <w:noProof/>
            <w:webHidden/>
          </w:rPr>
          <w:tab/>
        </w:r>
        <w:r w:rsidR="00BE6D3A">
          <w:rPr>
            <w:noProof/>
            <w:webHidden/>
          </w:rPr>
          <w:fldChar w:fldCharType="begin"/>
        </w:r>
        <w:r w:rsidR="00BE6D3A">
          <w:rPr>
            <w:noProof/>
            <w:webHidden/>
          </w:rPr>
          <w:instrText xml:space="preserve"> PAGEREF _Toc43382734 \h </w:instrText>
        </w:r>
        <w:r w:rsidR="00BE6D3A">
          <w:rPr>
            <w:noProof/>
            <w:webHidden/>
          </w:rPr>
        </w:r>
        <w:r w:rsidR="00BE6D3A">
          <w:rPr>
            <w:noProof/>
            <w:webHidden/>
          </w:rPr>
          <w:fldChar w:fldCharType="separate"/>
        </w:r>
        <w:r w:rsidR="00E045AC">
          <w:rPr>
            <w:noProof/>
            <w:webHidden/>
          </w:rPr>
          <w:t>23</w:t>
        </w:r>
        <w:r w:rsidR="00BE6D3A">
          <w:rPr>
            <w:noProof/>
            <w:webHidden/>
          </w:rPr>
          <w:fldChar w:fldCharType="end"/>
        </w:r>
      </w:hyperlink>
    </w:p>
    <w:p w14:paraId="2E737DFE" w14:textId="25930EEF"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35" w:history="1">
        <w:r w:rsidR="00BE6D3A" w:rsidRPr="002843AC">
          <w:rPr>
            <w:rStyle w:val="Hyperlink"/>
            <w:noProof/>
            <w:lang w:val="en-CA"/>
          </w:rPr>
          <w:t>4.3.1.4. War crimes in non-international armed conflict: Common Article 3 of the Geneva Conventions, Additional Protocol II, Rome Statute, other conventional international law and customary international law</w:t>
        </w:r>
        <w:r w:rsidR="00BE6D3A">
          <w:rPr>
            <w:noProof/>
            <w:webHidden/>
          </w:rPr>
          <w:tab/>
        </w:r>
        <w:r w:rsidR="00BE6D3A">
          <w:rPr>
            <w:noProof/>
            <w:webHidden/>
          </w:rPr>
          <w:fldChar w:fldCharType="begin"/>
        </w:r>
        <w:r w:rsidR="00BE6D3A">
          <w:rPr>
            <w:noProof/>
            <w:webHidden/>
          </w:rPr>
          <w:instrText xml:space="preserve"> PAGEREF _Toc43382735 \h </w:instrText>
        </w:r>
        <w:r w:rsidR="00BE6D3A">
          <w:rPr>
            <w:noProof/>
            <w:webHidden/>
          </w:rPr>
        </w:r>
        <w:r w:rsidR="00BE6D3A">
          <w:rPr>
            <w:noProof/>
            <w:webHidden/>
          </w:rPr>
          <w:fldChar w:fldCharType="separate"/>
        </w:r>
        <w:r w:rsidR="00E045AC">
          <w:rPr>
            <w:noProof/>
            <w:webHidden/>
          </w:rPr>
          <w:t>33</w:t>
        </w:r>
        <w:r w:rsidR="00BE6D3A">
          <w:rPr>
            <w:noProof/>
            <w:webHidden/>
          </w:rPr>
          <w:fldChar w:fldCharType="end"/>
        </w:r>
      </w:hyperlink>
    </w:p>
    <w:p w14:paraId="1FB53D9C" w14:textId="338988BB"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36" w:history="1">
        <w:r w:rsidR="00BE6D3A" w:rsidRPr="002843AC">
          <w:rPr>
            <w:rStyle w:val="Hyperlink"/>
            <w:noProof/>
            <w:lang w:val="en-CA"/>
          </w:rPr>
          <w:t>4.3.2. Crimes against humanity</w:t>
        </w:r>
        <w:r w:rsidR="00BE6D3A">
          <w:rPr>
            <w:noProof/>
            <w:webHidden/>
          </w:rPr>
          <w:tab/>
        </w:r>
        <w:r w:rsidR="00BE6D3A">
          <w:rPr>
            <w:noProof/>
            <w:webHidden/>
          </w:rPr>
          <w:fldChar w:fldCharType="begin"/>
        </w:r>
        <w:r w:rsidR="00BE6D3A">
          <w:rPr>
            <w:noProof/>
            <w:webHidden/>
          </w:rPr>
          <w:instrText xml:space="preserve"> PAGEREF _Toc43382736 \h </w:instrText>
        </w:r>
        <w:r w:rsidR="00BE6D3A">
          <w:rPr>
            <w:noProof/>
            <w:webHidden/>
          </w:rPr>
        </w:r>
        <w:r w:rsidR="00BE6D3A">
          <w:rPr>
            <w:noProof/>
            <w:webHidden/>
          </w:rPr>
          <w:fldChar w:fldCharType="separate"/>
        </w:r>
        <w:r w:rsidR="00E045AC">
          <w:rPr>
            <w:noProof/>
            <w:webHidden/>
          </w:rPr>
          <w:t>41</w:t>
        </w:r>
        <w:r w:rsidR="00BE6D3A">
          <w:rPr>
            <w:noProof/>
            <w:webHidden/>
          </w:rPr>
          <w:fldChar w:fldCharType="end"/>
        </w:r>
      </w:hyperlink>
    </w:p>
    <w:p w14:paraId="07095654" w14:textId="01F74ED0"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37" w:history="1">
        <w:r w:rsidR="00BE6D3A" w:rsidRPr="002843AC">
          <w:rPr>
            <w:rStyle w:val="Hyperlink"/>
            <w:noProof/>
            <w:lang w:val="en-CA"/>
          </w:rPr>
          <w:t>4.3.3. Genocide</w:t>
        </w:r>
        <w:r w:rsidR="00BE6D3A">
          <w:rPr>
            <w:noProof/>
            <w:webHidden/>
          </w:rPr>
          <w:tab/>
        </w:r>
        <w:r w:rsidR="00BE6D3A">
          <w:rPr>
            <w:noProof/>
            <w:webHidden/>
          </w:rPr>
          <w:fldChar w:fldCharType="begin"/>
        </w:r>
        <w:r w:rsidR="00BE6D3A">
          <w:rPr>
            <w:noProof/>
            <w:webHidden/>
          </w:rPr>
          <w:instrText xml:space="preserve"> PAGEREF _Toc43382737 \h </w:instrText>
        </w:r>
        <w:r w:rsidR="00BE6D3A">
          <w:rPr>
            <w:noProof/>
            <w:webHidden/>
          </w:rPr>
        </w:r>
        <w:r w:rsidR="00BE6D3A">
          <w:rPr>
            <w:noProof/>
            <w:webHidden/>
          </w:rPr>
          <w:fldChar w:fldCharType="separate"/>
        </w:r>
        <w:r w:rsidR="00E045AC">
          <w:rPr>
            <w:noProof/>
            <w:webHidden/>
          </w:rPr>
          <w:t>45</w:t>
        </w:r>
        <w:r w:rsidR="00BE6D3A">
          <w:rPr>
            <w:noProof/>
            <w:webHidden/>
          </w:rPr>
          <w:fldChar w:fldCharType="end"/>
        </w:r>
      </w:hyperlink>
    </w:p>
    <w:p w14:paraId="0C418107" w14:textId="4FAF48BC"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38" w:history="1">
        <w:r w:rsidR="00BE6D3A" w:rsidRPr="002843AC">
          <w:rPr>
            <w:rStyle w:val="Hyperlink"/>
            <w:noProof/>
            <w:lang w:val="en-CA"/>
          </w:rPr>
          <w:t>4.3.4. Torture</w:t>
        </w:r>
        <w:r w:rsidR="00BE6D3A">
          <w:rPr>
            <w:noProof/>
            <w:webHidden/>
          </w:rPr>
          <w:tab/>
        </w:r>
        <w:r w:rsidR="00BE6D3A">
          <w:rPr>
            <w:noProof/>
            <w:webHidden/>
          </w:rPr>
          <w:fldChar w:fldCharType="begin"/>
        </w:r>
        <w:r w:rsidR="00BE6D3A">
          <w:rPr>
            <w:noProof/>
            <w:webHidden/>
          </w:rPr>
          <w:instrText xml:space="preserve"> PAGEREF _Toc43382738 \h </w:instrText>
        </w:r>
        <w:r w:rsidR="00BE6D3A">
          <w:rPr>
            <w:noProof/>
            <w:webHidden/>
          </w:rPr>
        </w:r>
        <w:r w:rsidR="00BE6D3A">
          <w:rPr>
            <w:noProof/>
            <w:webHidden/>
          </w:rPr>
          <w:fldChar w:fldCharType="separate"/>
        </w:r>
        <w:r w:rsidR="00E045AC">
          <w:rPr>
            <w:noProof/>
            <w:webHidden/>
          </w:rPr>
          <w:t>47</w:t>
        </w:r>
        <w:r w:rsidR="00BE6D3A">
          <w:rPr>
            <w:noProof/>
            <w:webHidden/>
          </w:rPr>
          <w:fldChar w:fldCharType="end"/>
        </w:r>
      </w:hyperlink>
    </w:p>
    <w:p w14:paraId="47FF98F9" w14:textId="44506016"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39" w:history="1">
        <w:r w:rsidR="00BE6D3A" w:rsidRPr="002843AC">
          <w:rPr>
            <w:rStyle w:val="Hyperlink"/>
            <w:noProof/>
            <w:lang w:val="en-CA"/>
          </w:rPr>
          <w:t>4.3.5. Extrajudicial executions</w:t>
        </w:r>
        <w:r w:rsidR="00BE6D3A">
          <w:rPr>
            <w:noProof/>
            <w:webHidden/>
          </w:rPr>
          <w:tab/>
        </w:r>
        <w:r w:rsidR="00BE6D3A">
          <w:rPr>
            <w:noProof/>
            <w:webHidden/>
          </w:rPr>
          <w:fldChar w:fldCharType="begin"/>
        </w:r>
        <w:r w:rsidR="00BE6D3A">
          <w:rPr>
            <w:noProof/>
            <w:webHidden/>
          </w:rPr>
          <w:instrText xml:space="preserve"> PAGEREF _Toc43382739 \h </w:instrText>
        </w:r>
        <w:r w:rsidR="00BE6D3A">
          <w:rPr>
            <w:noProof/>
            <w:webHidden/>
          </w:rPr>
        </w:r>
        <w:r w:rsidR="00BE6D3A">
          <w:rPr>
            <w:noProof/>
            <w:webHidden/>
          </w:rPr>
          <w:fldChar w:fldCharType="separate"/>
        </w:r>
        <w:r w:rsidR="00E045AC">
          <w:rPr>
            <w:noProof/>
            <w:webHidden/>
          </w:rPr>
          <w:t>48</w:t>
        </w:r>
        <w:r w:rsidR="00BE6D3A">
          <w:rPr>
            <w:noProof/>
            <w:webHidden/>
          </w:rPr>
          <w:fldChar w:fldCharType="end"/>
        </w:r>
      </w:hyperlink>
    </w:p>
    <w:p w14:paraId="339C6179" w14:textId="6E66FADA"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40" w:history="1">
        <w:r w:rsidR="00BE6D3A" w:rsidRPr="002843AC">
          <w:rPr>
            <w:rStyle w:val="Hyperlink"/>
            <w:noProof/>
            <w:lang w:val="en-CA"/>
          </w:rPr>
          <w:t>4.3.6. Enforced disappearance</w:t>
        </w:r>
        <w:r w:rsidR="00BE6D3A">
          <w:rPr>
            <w:noProof/>
            <w:webHidden/>
          </w:rPr>
          <w:tab/>
        </w:r>
        <w:r w:rsidR="00BE6D3A">
          <w:rPr>
            <w:noProof/>
            <w:webHidden/>
          </w:rPr>
          <w:fldChar w:fldCharType="begin"/>
        </w:r>
        <w:r w:rsidR="00BE6D3A">
          <w:rPr>
            <w:noProof/>
            <w:webHidden/>
          </w:rPr>
          <w:instrText xml:space="preserve"> PAGEREF _Toc43382740 \h </w:instrText>
        </w:r>
        <w:r w:rsidR="00BE6D3A">
          <w:rPr>
            <w:noProof/>
            <w:webHidden/>
          </w:rPr>
        </w:r>
        <w:r w:rsidR="00BE6D3A">
          <w:rPr>
            <w:noProof/>
            <w:webHidden/>
          </w:rPr>
          <w:fldChar w:fldCharType="separate"/>
        </w:r>
        <w:r w:rsidR="00E045AC">
          <w:rPr>
            <w:noProof/>
            <w:webHidden/>
          </w:rPr>
          <w:t>49</w:t>
        </w:r>
        <w:r w:rsidR="00BE6D3A">
          <w:rPr>
            <w:noProof/>
            <w:webHidden/>
          </w:rPr>
          <w:fldChar w:fldCharType="end"/>
        </w:r>
      </w:hyperlink>
    </w:p>
    <w:p w14:paraId="115430B5" w14:textId="7B56BCD5"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41" w:history="1">
        <w:r w:rsidR="00BE6D3A" w:rsidRPr="002843AC">
          <w:rPr>
            <w:rStyle w:val="Hyperlink"/>
            <w:noProof/>
            <w:lang w:val="en-CA"/>
          </w:rPr>
          <w:t>4.3.7. Aggression</w:t>
        </w:r>
        <w:r w:rsidR="00BE6D3A">
          <w:rPr>
            <w:noProof/>
            <w:webHidden/>
          </w:rPr>
          <w:tab/>
        </w:r>
        <w:r w:rsidR="00BE6D3A">
          <w:rPr>
            <w:noProof/>
            <w:webHidden/>
          </w:rPr>
          <w:fldChar w:fldCharType="begin"/>
        </w:r>
        <w:r w:rsidR="00BE6D3A">
          <w:rPr>
            <w:noProof/>
            <w:webHidden/>
          </w:rPr>
          <w:instrText xml:space="preserve"> PAGEREF _Toc43382741 \h </w:instrText>
        </w:r>
        <w:r w:rsidR="00BE6D3A">
          <w:rPr>
            <w:noProof/>
            <w:webHidden/>
          </w:rPr>
        </w:r>
        <w:r w:rsidR="00BE6D3A">
          <w:rPr>
            <w:noProof/>
            <w:webHidden/>
          </w:rPr>
          <w:fldChar w:fldCharType="separate"/>
        </w:r>
        <w:r w:rsidR="00E045AC">
          <w:rPr>
            <w:noProof/>
            <w:webHidden/>
          </w:rPr>
          <w:t>50</w:t>
        </w:r>
        <w:r w:rsidR="00BE6D3A">
          <w:rPr>
            <w:noProof/>
            <w:webHidden/>
          </w:rPr>
          <w:fldChar w:fldCharType="end"/>
        </w:r>
      </w:hyperlink>
    </w:p>
    <w:p w14:paraId="65DD49BF" w14:textId="49BA9B2F"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742" w:history="1">
        <w:r w:rsidR="00BE6D3A" w:rsidRPr="002843AC">
          <w:rPr>
            <w:rStyle w:val="Hyperlink"/>
            <w:noProof/>
            <w:lang w:val="en-CA"/>
          </w:rPr>
          <w:t>5. JURISDICTION OVER CIVIL CLAIMS FOR REPARATIONS</w:t>
        </w:r>
        <w:r w:rsidR="00BE6D3A">
          <w:rPr>
            <w:noProof/>
            <w:webHidden/>
          </w:rPr>
          <w:tab/>
        </w:r>
        <w:r w:rsidR="00BE6D3A">
          <w:rPr>
            <w:noProof/>
            <w:webHidden/>
          </w:rPr>
          <w:fldChar w:fldCharType="begin"/>
        </w:r>
        <w:r w:rsidR="00BE6D3A">
          <w:rPr>
            <w:noProof/>
            <w:webHidden/>
          </w:rPr>
          <w:instrText xml:space="preserve"> PAGEREF _Toc43382742 \h </w:instrText>
        </w:r>
        <w:r w:rsidR="00BE6D3A">
          <w:rPr>
            <w:noProof/>
            <w:webHidden/>
          </w:rPr>
        </w:r>
        <w:r w:rsidR="00BE6D3A">
          <w:rPr>
            <w:noProof/>
            <w:webHidden/>
          </w:rPr>
          <w:fldChar w:fldCharType="separate"/>
        </w:r>
        <w:r w:rsidR="00E045AC">
          <w:rPr>
            <w:noProof/>
            <w:webHidden/>
          </w:rPr>
          <w:t>51</w:t>
        </w:r>
        <w:r w:rsidR="00BE6D3A">
          <w:rPr>
            <w:noProof/>
            <w:webHidden/>
          </w:rPr>
          <w:fldChar w:fldCharType="end"/>
        </w:r>
      </w:hyperlink>
    </w:p>
    <w:p w14:paraId="756314DA" w14:textId="34C0EC53"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43" w:history="1">
        <w:r w:rsidR="00BE6D3A" w:rsidRPr="002843AC">
          <w:rPr>
            <w:rStyle w:val="Hyperlink"/>
            <w:noProof/>
            <w:lang w:val="en-CA"/>
          </w:rPr>
          <w:t>5.1. Universal jurisdiction over civil claims in civil cases</w:t>
        </w:r>
        <w:r w:rsidR="00BE6D3A">
          <w:rPr>
            <w:noProof/>
            <w:webHidden/>
          </w:rPr>
          <w:tab/>
        </w:r>
        <w:r w:rsidR="00BE6D3A">
          <w:rPr>
            <w:noProof/>
            <w:webHidden/>
          </w:rPr>
          <w:fldChar w:fldCharType="begin"/>
        </w:r>
        <w:r w:rsidR="00BE6D3A">
          <w:rPr>
            <w:noProof/>
            <w:webHidden/>
          </w:rPr>
          <w:instrText xml:space="preserve"> PAGEREF _Toc43382743 \h </w:instrText>
        </w:r>
        <w:r w:rsidR="00BE6D3A">
          <w:rPr>
            <w:noProof/>
            <w:webHidden/>
          </w:rPr>
        </w:r>
        <w:r w:rsidR="00BE6D3A">
          <w:rPr>
            <w:noProof/>
            <w:webHidden/>
          </w:rPr>
          <w:fldChar w:fldCharType="separate"/>
        </w:r>
        <w:r w:rsidR="00E045AC">
          <w:rPr>
            <w:noProof/>
            <w:webHidden/>
          </w:rPr>
          <w:t>51</w:t>
        </w:r>
        <w:r w:rsidR="00BE6D3A">
          <w:rPr>
            <w:noProof/>
            <w:webHidden/>
          </w:rPr>
          <w:fldChar w:fldCharType="end"/>
        </w:r>
      </w:hyperlink>
    </w:p>
    <w:p w14:paraId="7523E1AF" w14:textId="1FA62D33"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44" w:history="1">
        <w:r w:rsidR="00BE6D3A" w:rsidRPr="002843AC">
          <w:rPr>
            <w:rStyle w:val="Hyperlink"/>
            <w:noProof/>
            <w:lang w:val="en-CA"/>
          </w:rPr>
          <w:t>5.2. Civil claims in criminal proceedings</w:t>
        </w:r>
        <w:r w:rsidR="00BE6D3A">
          <w:rPr>
            <w:noProof/>
            <w:webHidden/>
          </w:rPr>
          <w:tab/>
        </w:r>
        <w:r w:rsidR="00BE6D3A">
          <w:rPr>
            <w:noProof/>
            <w:webHidden/>
          </w:rPr>
          <w:fldChar w:fldCharType="begin"/>
        </w:r>
        <w:r w:rsidR="00BE6D3A">
          <w:rPr>
            <w:noProof/>
            <w:webHidden/>
          </w:rPr>
          <w:instrText xml:space="preserve"> PAGEREF _Toc43382744 \h </w:instrText>
        </w:r>
        <w:r w:rsidR="00BE6D3A">
          <w:rPr>
            <w:noProof/>
            <w:webHidden/>
          </w:rPr>
        </w:r>
        <w:r w:rsidR="00BE6D3A">
          <w:rPr>
            <w:noProof/>
            <w:webHidden/>
          </w:rPr>
          <w:fldChar w:fldCharType="separate"/>
        </w:r>
        <w:r w:rsidR="00E045AC">
          <w:rPr>
            <w:noProof/>
            <w:webHidden/>
          </w:rPr>
          <w:t>52</w:t>
        </w:r>
        <w:r w:rsidR="00BE6D3A">
          <w:rPr>
            <w:noProof/>
            <w:webHidden/>
          </w:rPr>
          <w:fldChar w:fldCharType="end"/>
        </w:r>
      </w:hyperlink>
    </w:p>
    <w:p w14:paraId="7C95E564" w14:textId="16C53067"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45" w:history="1">
        <w:r w:rsidR="00BE6D3A" w:rsidRPr="002843AC">
          <w:rPr>
            <w:rStyle w:val="Hyperlink"/>
            <w:noProof/>
            <w:lang w:val="en-CA"/>
          </w:rPr>
          <w:t>5.3. The right to reparation of victims in civil proceedings</w:t>
        </w:r>
        <w:r w:rsidR="00BE6D3A">
          <w:rPr>
            <w:noProof/>
            <w:webHidden/>
          </w:rPr>
          <w:tab/>
        </w:r>
        <w:r w:rsidR="00BE6D3A">
          <w:rPr>
            <w:noProof/>
            <w:webHidden/>
          </w:rPr>
          <w:fldChar w:fldCharType="begin"/>
        </w:r>
        <w:r w:rsidR="00BE6D3A">
          <w:rPr>
            <w:noProof/>
            <w:webHidden/>
          </w:rPr>
          <w:instrText xml:space="preserve"> PAGEREF _Toc43382745 \h </w:instrText>
        </w:r>
        <w:r w:rsidR="00BE6D3A">
          <w:rPr>
            <w:noProof/>
            <w:webHidden/>
          </w:rPr>
        </w:r>
        <w:r w:rsidR="00BE6D3A">
          <w:rPr>
            <w:noProof/>
            <w:webHidden/>
          </w:rPr>
          <w:fldChar w:fldCharType="separate"/>
        </w:r>
        <w:r w:rsidR="00E045AC">
          <w:rPr>
            <w:noProof/>
            <w:webHidden/>
          </w:rPr>
          <w:t>52</w:t>
        </w:r>
        <w:r w:rsidR="00BE6D3A">
          <w:rPr>
            <w:noProof/>
            <w:webHidden/>
          </w:rPr>
          <w:fldChar w:fldCharType="end"/>
        </w:r>
      </w:hyperlink>
    </w:p>
    <w:p w14:paraId="1D8E200C" w14:textId="683FFB25"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746" w:history="1">
        <w:r w:rsidR="00BE6D3A" w:rsidRPr="002843AC">
          <w:rPr>
            <w:rStyle w:val="Hyperlink"/>
            <w:noProof/>
          </w:rPr>
          <w:t>6. OBSTACLES TO THE EXERCISE OF CRIMINAL OR CIVIL JURISDICTION</w:t>
        </w:r>
        <w:r w:rsidR="00BE6D3A">
          <w:rPr>
            <w:noProof/>
            <w:webHidden/>
          </w:rPr>
          <w:tab/>
        </w:r>
        <w:r w:rsidR="00BE6D3A">
          <w:rPr>
            <w:noProof/>
            <w:webHidden/>
          </w:rPr>
          <w:fldChar w:fldCharType="begin"/>
        </w:r>
        <w:r w:rsidR="00BE6D3A">
          <w:rPr>
            <w:noProof/>
            <w:webHidden/>
          </w:rPr>
          <w:instrText xml:space="preserve"> PAGEREF _Toc43382746 \h </w:instrText>
        </w:r>
        <w:r w:rsidR="00BE6D3A">
          <w:rPr>
            <w:noProof/>
            <w:webHidden/>
          </w:rPr>
        </w:r>
        <w:r w:rsidR="00BE6D3A">
          <w:rPr>
            <w:noProof/>
            <w:webHidden/>
          </w:rPr>
          <w:fldChar w:fldCharType="separate"/>
        </w:r>
        <w:r w:rsidR="00E045AC">
          <w:rPr>
            <w:noProof/>
            <w:webHidden/>
          </w:rPr>
          <w:t>55</w:t>
        </w:r>
        <w:r w:rsidR="00BE6D3A">
          <w:rPr>
            <w:noProof/>
            <w:webHidden/>
          </w:rPr>
          <w:fldChar w:fldCharType="end"/>
        </w:r>
      </w:hyperlink>
    </w:p>
    <w:p w14:paraId="7070236E" w14:textId="08DEEDDB"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47" w:history="1">
        <w:r w:rsidR="00BE6D3A" w:rsidRPr="002843AC">
          <w:rPr>
            <w:rStyle w:val="Hyperlink"/>
            <w:rFonts w:eastAsia="Times-Roman"/>
            <w:noProof/>
            <w:lang w:val="en-CA"/>
          </w:rPr>
          <w:t xml:space="preserve">6.1. Flawed or missing definitions of crimes under international law, principles of criminal </w:t>
        </w:r>
        <w:r w:rsidR="00BE6D3A" w:rsidRPr="002843AC">
          <w:rPr>
            <w:rStyle w:val="Hyperlink"/>
            <w:rFonts w:eastAsia="Times-Roman"/>
            <w:noProof/>
            <w:lang w:val="en-CA"/>
          </w:rPr>
          <w:lastRenderedPageBreak/>
          <w:t>responsibility or defences</w:t>
        </w:r>
        <w:r w:rsidR="00BE6D3A">
          <w:rPr>
            <w:noProof/>
            <w:webHidden/>
          </w:rPr>
          <w:tab/>
        </w:r>
        <w:r w:rsidR="00BE6D3A">
          <w:rPr>
            <w:noProof/>
            <w:webHidden/>
          </w:rPr>
          <w:fldChar w:fldCharType="begin"/>
        </w:r>
        <w:r w:rsidR="00BE6D3A">
          <w:rPr>
            <w:noProof/>
            <w:webHidden/>
          </w:rPr>
          <w:instrText xml:space="preserve"> PAGEREF _Toc43382747 \h </w:instrText>
        </w:r>
        <w:r w:rsidR="00BE6D3A">
          <w:rPr>
            <w:noProof/>
            <w:webHidden/>
          </w:rPr>
        </w:r>
        <w:r w:rsidR="00BE6D3A">
          <w:rPr>
            <w:noProof/>
            <w:webHidden/>
          </w:rPr>
          <w:fldChar w:fldCharType="separate"/>
        </w:r>
        <w:r w:rsidR="00E045AC">
          <w:rPr>
            <w:noProof/>
            <w:webHidden/>
          </w:rPr>
          <w:t>55</w:t>
        </w:r>
        <w:r w:rsidR="00BE6D3A">
          <w:rPr>
            <w:noProof/>
            <w:webHidden/>
          </w:rPr>
          <w:fldChar w:fldCharType="end"/>
        </w:r>
      </w:hyperlink>
    </w:p>
    <w:p w14:paraId="190C2036" w14:textId="1BACCD10"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48" w:history="1">
        <w:r w:rsidR="00BE6D3A" w:rsidRPr="002843AC">
          <w:rPr>
            <w:rStyle w:val="Hyperlink"/>
            <w:noProof/>
            <w:lang w:val="en-CA"/>
          </w:rPr>
          <w:t>6.1.1 Definitions of crimes</w:t>
        </w:r>
        <w:r w:rsidR="00BE6D3A">
          <w:rPr>
            <w:noProof/>
            <w:webHidden/>
          </w:rPr>
          <w:tab/>
        </w:r>
        <w:r w:rsidR="00BE6D3A">
          <w:rPr>
            <w:noProof/>
            <w:webHidden/>
          </w:rPr>
          <w:fldChar w:fldCharType="begin"/>
        </w:r>
        <w:r w:rsidR="00BE6D3A">
          <w:rPr>
            <w:noProof/>
            <w:webHidden/>
          </w:rPr>
          <w:instrText xml:space="preserve"> PAGEREF _Toc43382748 \h </w:instrText>
        </w:r>
        <w:r w:rsidR="00BE6D3A">
          <w:rPr>
            <w:noProof/>
            <w:webHidden/>
          </w:rPr>
        </w:r>
        <w:r w:rsidR="00BE6D3A">
          <w:rPr>
            <w:noProof/>
            <w:webHidden/>
          </w:rPr>
          <w:fldChar w:fldCharType="separate"/>
        </w:r>
        <w:r w:rsidR="00E045AC">
          <w:rPr>
            <w:noProof/>
            <w:webHidden/>
          </w:rPr>
          <w:t>55</w:t>
        </w:r>
        <w:r w:rsidR="00BE6D3A">
          <w:rPr>
            <w:noProof/>
            <w:webHidden/>
          </w:rPr>
          <w:fldChar w:fldCharType="end"/>
        </w:r>
      </w:hyperlink>
    </w:p>
    <w:p w14:paraId="013C64CE" w14:textId="72B6BFDB"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49" w:history="1">
        <w:r w:rsidR="00BE6D3A" w:rsidRPr="002843AC">
          <w:rPr>
            <w:rStyle w:val="Hyperlink"/>
            <w:noProof/>
            <w:lang w:val="en-CA"/>
          </w:rPr>
          <w:t>6.1.2. Principles of criminal responsibility</w:t>
        </w:r>
        <w:r w:rsidR="00BE6D3A">
          <w:rPr>
            <w:noProof/>
            <w:webHidden/>
          </w:rPr>
          <w:tab/>
        </w:r>
        <w:r w:rsidR="00BE6D3A">
          <w:rPr>
            <w:noProof/>
            <w:webHidden/>
          </w:rPr>
          <w:fldChar w:fldCharType="begin"/>
        </w:r>
        <w:r w:rsidR="00BE6D3A">
          <w:rPr>
            <w:noProof/>
            <w:webHidden/>
          </w:rPr>
          <w:instrText xml:space="preserve"> PAGEREF _Toc43382749 \h </w:instrText>
        </w:r>
        <w:r w:rsidR="00BE6D3A">
          <w:rPr>
            <w:noProof/>
            <w:webHidden/>
          </w:rPr>
        </w:r>
        <w:r w:rsidR="00BE6D3A">
          <w:rPr>
            <w:noProof/>
            <w:webHidden/>
          </w:rPr>
          <w:fldChar w:fldCharType="separate"/>
        </w:r>
        <w:r w:rsidR="00E045AC">
          <w:rPr>
            <w:noProof/>
            <w:webHidden/>
          </w:rPr>
          <w:t>56</w:t>
        </w:r>
        <w:r w:rsidR="00BE6D3A">
          <w:rPr>
            <w:noProof/>
            <w:webHidden/>
          </w:rPr>
          <w:fldChar w:fldCharType="end"/>
        </w:r>
      </w:hyperlink>
    </w:p>
    <w:p w14:paraId="04F3D442" w14:textId="44A1B69B"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50" w:history="1">
        <w:r w:rsidR="00BE6D3A" w:rsidRPr="002843AC">
          <w:rPr>
            <w:rStyle w:val="Hyperlink"/>
            <w:noProof/>
            <w:lang w:val="en-CA"/>
          </w:rPr>
          <w:t>6.1.3. Defences</w:t>
        </w:r>
        <w:r w:rsidR="00BE6D3A">
          <w:rPr>
            <w:noProof/>
            <w:webHidden/>
          </w:rPr>
          <w:tab/>
        </w:r>
        <w:r w:rsidR="00BE6D3A">
          <w:rPr>
            <w:noProof/>
            <w:webHidden/>
          </w:rPr>
          <w:fldChar w:fldCharType="begin"/>
        </w:r>
        <w:r w:rsidR="00BE6D3A">
          <w:rPr>
            <w:noProof/>
            <w:webHidden/>
          </w:rPr>
          <w:instrText xml:space="preserve"> PAGEREF _Toc43382750 \h </w:instrText>
        </w:r>
        <w:r w:rsidR="00BE6D3A">
          <w:rPr>
            <w:noProof/>
            <w:webHidden/>
          </w:rPr>
        </w:r>
        <w:r w:rsidR="00BE6D3A">
          <w:rPr>
            <w:noProof/>
            <w:webHidden/>
          </w:rPr>
          <w:fldChar w:fldCharType="separate"/>
        </w:r>
        <w:r w:rsidR="00E045AC">
          <w:rPr>
            <w:noProof/>
            <w:webHidden/>
          </w:rPr>
          <w:t>57</w:t>
        </w:r>
        <w:r w:rsidR="00BE6D3A">
          <w:rPr>
            <w:noProof/>
            <w:webHidden/>
          </w:rPr>
          <w:fldChar w:fldCharType="end"/>
        </w:r>
      </w:hyperlink>
    </w:p>
    <w:p w14:paraId="19229BE8" w14:textId="618198BA"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51" w:history="1">
        <w:r w:rsidR="00BE6D3A" w:rsidRPr="002843AC">
          <w:rPr>
            <w:rStyle w:val="Hyperlink"/>
            <w:rFonts w:eastAsia="Times-Roman"/>
            <w:noProof/>
            <w:lang w:val="en-CA"/>
          </w:rPr>
          <w:t>6.2. Presence requirements in order to open an investigation or request extradition</w:t>
        </w:r>
        <w:r w:rsidR="00BE6D3A">
          <w:rPr>
            <w:noProof/>
            <w:webHidden/>
          </w:rPr>
          <w:tab/>
        </w:r>
        <w:r w:rsidR="00BE6D3A">
          <w:rPr>
            <w:noProof/>
            <w:webHidden/>
          </w:rPr>
          <w:fldChar w:fldCharType="begin"/>
        </w:r>
        <w:r w:rsidR="00BE6D3A">
          <w:rPr>
            <w:noProof/>
            <w:webHidden/>
          </w:rPr>
          <w:instrText xml:space="preserve"> PAGEREF _Toc43382751 \h </w:instrText>
        </w:r>
        <w:r w:rsidR="00BE6D3A">
          <w:rPr>
            <w:noProof/>
            <w:webHidden/>
          </w:rPr>
        </w:r>
        <w:r w:rsidR="00BE6D3A">
          <w:rPr>
            <w:noProof/>
            <w:webHidden/>
          </w:rPr>
          <w:fldChar w:fldCharType="separate"/>
        </w:r>
        <w:r w:rsidR="00E045AC">
          <w:rPr>
            <w:noProof/>
            <w:webHidden/>
          </w:rPr>
          <w:t>67</w:t>
        </w:r>
        <w:r w:rsidR="00BE6D3A">
          <w:rPr>
            <w:noProof/>
            <w:webHidden/>
          </w:rPr>
          <w:fldChar w:fldCharType="end"/>
        </w:r>
      </w:hyperlink>
    </w:p>
    <w:p w14:paraId="5FC3CD88" w14:textId="2A41A4B4"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52" w:history="1">
        <w:r w:rsidR="00BE6D3A" w:rsidRPr="002843AC">
          <w:rPr>
            <w:rStyle w:val="Hyperlink"/>
            <w:noProof/>
            <w:lang w:val="en-CA"/>
          </w:rPr>
          <w:t>6.3. Statutes of limitations applicable to crimes under international law</w:t>
        </w:r>
        <w:r w:rsidR="00BE6D3A">
          <w:rPr>
            <w:noProof/>
            <w:webHidden/>
          </w:rPr>
          <w:tab/>
        </w:r>
        <w:r w:rsidR="00BE6D3A">
          <w:rPr>
            <w:noProof/>
            <w:webHidden/>
          </w:rPr>
          <w:fldChar w:fldCharType="begin"/>
        </w:r>
        <w:r w:rsidR="00BE6D3A">
          <w:rPr>
            <w:noProof/>
            <w:webHidden/>
          </w:rPr>
          <w:instrText xml:space="preserve"> PAGEREF _Toc43382752 \h </w:instrText>
        </w:r>
        <w:r w:rsidR="00BE6D3A">
          <w:rPr>
            <w:noProof/>
            <w:webHidden/>
          </w:rPr>
        </w:r>
        <w:r w:rsidR="00BE6D3A">
          <w:rPr>
            <w:noProof/>
            <w:webHidden/>
          </w:rPr>
          <w:fldChar w:fldCharType="separate"/>
        </w:r>
        <w:r w:rsidR="00E045AC">
          <w:rPr>
            <w:noProof/>
            <w:webHidden/>
          </w:rPr>
          <w:t>68</w:t>
        </w:r>
        <w:r w:rsidR="00BE6D3A">
          <w:rPr>
            <w:noProof/>
            <w:webHidden/>
          </w:rPr>
          <w:fldChar w:fldCharType="end"/>
        </w:r>
      </w:hyperlink>
    </w:p>
    <w:p w14:paraId="75B0C874" w14:textId="5F4C8D53"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53" w:history="1">
        <w:r w:rsidR="00BE6D3A" w:rsidRPr="002843AC">
          <w:rPr>
            <w:rStyle w:val="Hyperlink"/>
            <w:noProof/>
            <w:lang w:val="en-CA"/>
          </w:rPr>
          <w:t>6.4. Double criminality</w:t>
        </w:r>
        <w:r w:rsidR="00BE6D3A">
          <w:rPr>
            <w:noProof/>
            <w:webHidden/>
          </w:rPr>
          <w:tab/>
        </w:r>
        <w:r w:rsidR="00BE6D3A">
          <w:rPr>
            <w:noProof/>
            <w:webHidden/>
          </w:rPr>
          <w:fldChar w:fldCharType="begin"/>
        </w:r>
        <w:r w:rsidR="00BE6D3A">
          <w:rPr>
            <w:noProof/>
            <w:webHidden/>
          </w:rPr>
          <w:instrText xml:space="preserve"> PAGEREF _Toc43382753 \h </w:instrText>
        </w:r>
        <w:r w:rsidR="00BE6D3A">
          <w:rPr>
            <w:noProof/>
            <w:webHidden/>
          </w:rPr>
        </w:r>
        <w:r w:rsidR="00BE6D3A">
          <w:rPr>
            <w:noProof/>
            <w:webHidden/>
          </w:rPr>
          <w:fldChar w:fldCharType="separate"/>
        </w:r>
        <w:r w:rsidR="00E045AC">
          <w:rPr>
            <w:noProof/>
            <w:webHidden/>
          </w:rPr>
          <w:t>70</w:t>
        </w:r>
        <w:r w:rsidR="00BE6D3A">
          <w:rPr>
            <w:noProof/>
            <w:webHidden/>
          </w:rPr>
          <w:fldChar w:fldCharType="end"/>
        </w:r>
      </w:hyperlink>
    </w:p>
    <w:p w14:paraId="1A070BB2" w14:textId="3E0D4037"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54" w:history="1">
        <w:r w:rsidR="00BE6D3A" w:rsidRPr="002843AC">
          <w:rPr>
            <w:rStyle w:val="Hyperlink"/>
            <w:noProof/>
            <w:lang w:val="en-CA"/>
          </w:rPr>
          <w:t>6.5. Immunities</w:t>
        </w:r>
        <w:r w:rsidR="00BE6D3A">
          <w:rPr>
            <w:noProof/>
            <w:webHidden/>
          </w:rPr>
          <w:tab/>
        </w:r>
        <w:r w:rsidR="00BE6D3A">
          <w:rPr>
            <w:noProof/>
            <w:webHidden/>
          </w:rPr>
          <w:fldChar w:fldCharType="begin"/>
        </w:r>
        <w:r w:rsidR="00BE6D3A">
          <w:rPr>
            <w:noProof/>
            <w:webHidden/>
          </w:rPr>
          <w:instrText xml:space="preserve"> PAGEREF _Toc43382754 \h </w:instrText>
        </w:r>
        <w:r w:rsidR="00BE6D3A">
          <w:rPr>
            <w:noProof/>
            <w:webHidden/>
          </w:rPr>
        </w:r>
        <w:r w:rsidR="00BE6D3A">
          <w:rPr>
            <w:noProof/>
            <w:webHidden/>
          </w:rPr>
          <w:fldChar w:fldCharType="separate"/>
        </w:r>
        <w:r w:rsidR="00E045AC">
          <w:rPr>
            <w:noProof/>
            <w:webHidden/>
          </w:rPr>
          <w:t>70</w:t>
        </w:r>
        <w:r w:rsidR="00BE6D3A">
          <w:rPr>
            <w:noProof/>
            <w:webHidden/>
          </w:rPr>
          <w:fldChar w:fldCharType="end"/>
        </w:r>
      </w:hyperlink>
    </w:p>
    <w:p w14:paraId="1B586164" w14:textId="5137E3DE"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55" w:history="1">
        <w:r w:rsidR="00BE6D3A" w:rsidRPr="002843AC">
          <w:rPr>
            <w:rStyle w:val="Hyperlink"/>
            <w:noProof/>
            <w:lang w:val="en-CA"/>
          </w:rPr>
          <w:t>6.6. Bars on retroactive application of international criminal law in national law or other temporal restrictions</w:t>
        </w:r>
        <w:r w:rsidR="00BE6D3A">
          <w:rPr>
            <w:noProof/>
            <w:webHidden/>
          </w:rPr>
          <w:tab/>
        </w:r>
        <w:r w:rsidR="00BE6D3A">
          <w:rPr>
            <w:noProof/>
            <w:webHidden/>
          </w:rPr>
          <w:fldChar w:fldCharType="begin"/>
        </w:r>
        <w:r w:rsidR="00BE6D3A">
          <w:rPr>
            <w:noProof/>
            <w:webHidden/>
          </w:rPr>
          <w:instrText xml:space="preserve"> PAGEREF _Toc43382755 \h </w:instrText>
        </w:r>
        <w:r w:rsidR="00BE6D3A">
          <w:rPr>
            <w:noProof/>
            <w:webHidden/>
          </w:rPr>
        </w:r>
        <w:r w:rsidR="00BE6D3A">
          <w:rPr>
            <w:noProof/>
            <w:webHidden/>
          </w:rPr>
          <w:fldChar w:fldCharType="separate"/>
        </w:r>
        <w:r w:rsidR="00E045AC">
          <w:rPr>
            <w:noProof/>
            <w:webHidden/>
          </w:rPr>
          <w:t>72</w:t>
        </w:r>
        <w:r w:rsidR="00BE6D3A">
          <w:rPr>
            <w:noProof/>
            <w:webHidden/>
          </w:rPr>
          <w:fldChar w:fldCharType="end"/>
        </w:r>
      </w:hyperlink>
    </w:p>
    <w:p w14:paraId="289CF5DF" w14:textId="3B9B223E"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56" w:history="1">
        <w:r w:rsidR="00BE6D3A" w:rsidRPr="002843AC">
          <w:rPr>
            <w:rStyle w:val="Hyperlink"/>
            <w:noProof/>
            <w:lang w:val="en-CA"/>
          </w:rPr>
          <w:t xml:space="preserve">6.7. </w:t>
        </w:r>
        <w:r w:rsidR="00BE6D3A" w:rsidRPr="002843AC">
          <w:rPr>
            <w:rStyle w:val="Hyperlink"/>
            <w:i/>
            <w:noProof/>
            <w:lang w:val="en-CA"/>
          </w:rPr>
          <w:t>Ne bis in idem</w:t>
        </w:r>
        <w:r w:rsidR="00BE6D3A">
          <w:rPr>
            <w:noProof/>
            <w:webHidden/>
          </w:rPr>
          <w:tab/>
        </w:r>
        <w:r w:rsidR="00BE6D3A">
          <w:rPr>
            <w:noProof/>
            <w:webHidden/>
          </w:rPr>
          <w:fldChar w:fldCharType="begin"/>
        </w:r>
        <w:r w:rsidR="00BE6D3A">
          <w:rPr>
            <w:noProof/>
            <w:webHidden/>
          </w:rPr>
          <w:instrText xml:space="preserve"> PAGEREF _Toc43382756 \h </w:instrText>
        </w:r>
        <w:r w:rsidR="00BE6D3A">
          <w:rPr>
            <w:noProof/>
            <w:webHidden/>
          </w:rPr>
        </w:r>
        <w:r w:rsidR="00BE6D3A">
          <w:rPr>
            <w:noProof/>
            <w:webHidden/>
          </w:rPr>
          <w:fldChar w:fldCharType="separate"/>
        </w:r>
        <w:r w:rsidR="00E045AC">
          <w:rPr>
            <w:noProof/>
            <w:webHidden/>
          </w:rPr>
          <w:t>74</w:t>
        </w:r>
        <w:r w:rsidR="00BE6D3A">
          <w:rPr>
            <w:noProof/>
            <w:webHidden/>
          </w:rPr>
          <w:fldChar w:fldCharType="end"/>
        </w:r>
      </w:hyperlink>
    </w:p>
    <w:p w14:paraId="28913CDC" w14:textId="6BF003C7"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57" w:history="1">
        <w:r w:rsidR="00BE6D3A" w:rsidRPr="002843AC">
          <w:rPr>
            <w:rStyle w:val="Hyperlink"/>
            <w:noProof/>
            <w:lang w:val="en-CA"/>
          </w:rPr>
          <w:t>6.8. Political control over decisions to investigate and prosecute</w:t>
        </w:r>
        <w:r w:rsidR="00BE6D3A">
          <w:rPr>
            <w:noProof/>
            <w:webHidden/>
          </w:rPr>
          <w:tab/>
        </w:r>
        <w:r w:rsidR="00BE6D3A">
          <w:rPr>
            <w:noProof/>
            <w:webHidden/>
          </w:rPr>
          <w:fldChar w:fldCharType="begin"/>
        </w:r>
        <w:r w:rsidR="00BE6D3A">
          <w:rPr>
            <w:noProof/>
            <w:webHidden/>
          </w:rPr>
          <w:instrText xml:space="preserve"> PAGEREF _Toc43382757 \h </w:instrText>
        </w:r>
        <w:r w:rsidR="00BE6D3A">
          <w:rPr>
            <w:noProof/>
            <w:webHidden/>
          </w:rPr>
        </w:r>
        <w:r w:rsidR="00BE6D3A">
          <w:rPr>
            <w:noProof/>
            <w:webHidden/>
          </w:rPr>
          <w:fldChar w:fldCharType="separate"/>
        </w:r>
        <w:r w:rsidR="00E045AC">
          <w:rPr>
            <w:noProof/>
            <w:webHidden/>
          </w:rPr>
          <w:t>76</w:t>
        </w:r>
        <w:r w:rsidR="00BE6D3A">
          <w:rPr>
            <w:noProof/>
            <w:webHidden/>
          </w:rPr>
          <w:fldChar w:fldCharType="end"/>
        </w:r>
      </w:hyperlink>
    </w:p>
    <w:p w14:paraId="66D89D62" w14:textId="00B7BF2A"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58" w:history="1">
        <w:r w:rsidR="00BE6D3A" w:rsidRPr="002843AC">
          <w:rPr>
            <w:rStyle w:val="Hyperlink"/>
            <w:noProof/>
            <w:lang w:val="en-CA"/>
          </w:rPr>
          <w:t>6.9. Discrimination in law and practice</w:t>
        </w:r>
        <w:r w:rsidR="00BE6D3A">
          <w:rPr>
            <w:noProof/>
            <w:webHidden/>
          </w:rPr>
          <w:tab/>
        </w:r>
        <w:r w:rsidR="00BE6D3A">
          <w:rPr>
            <w:noProof/>
            <w:webHidden/>
          </w:rPr>
          <w:fldChar w:fldCharType="begin"/>
        </w:r>
        <w:r w:rsidR="00BE6D3A">
          <w:rPr>
            <w:noProof/>
            <w:webHidden/>
          </w:rPr>
          <w:instrText xml:space="preserve"> PAGEREF _Toc43382758 \h </w:instrText>
        </w:r>
        <w:r w:rsidR="00BE6D3A">
          <w:rPr>
            <w:noProof/>
            <w:webHidden/>
          </w:rPr>
        </w:r>
        <w:r w:rsidR="00BE6D3A">
          <w:rPr>
            <w:noProof/>
            <w:webHidden/>
          </w:rPr>
          <w:fldChar w:fldCharType="separate"/>
        </w:r>
        <w:r w:rsidR="00E045AC">
          <w:rPr>
            <w:noProof/>
            <w:webHidden/>
          </w:rPr>
          <w:t>78</w:t>
        </w:r>
        <w:r w:rsidR="00BE6D3A">
          <w:rPr>
            <w:noProof/>
            <w:webHidden/>
          </w:rPr>
          <w:fldChar w:fldCharType="end"/>
        </w:r>
      </w:hyperlink>
    </w:p>
    <w:p w14:paraId="1F1AB429" w14:textId="7CA0B43E"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59" w:history="1">
        <w:r w:rsidR="00BE6D3A" w:rsidRPr="002843AC">
          <w:rPr>
            <w:rStyle w:val="Hyperlink"/>
            <w:noProof/>
            <w:lang w:val="en-CA"/>
          </w:rPr>
          <w:t>6.10. Restrictions on the rights of victims and their families</w:t>
        </w:r>
        <w:r w:rsidR="00BE6D3A">
          <w:rPr>
            <w:noProof/>
            <w:webHidden/>
          </w:rPr>
          <w:tab/>
        </w:r>
        <w:r w:rsidR="00BE6D3A">
          <w:rPr>
            <w:noProof/>
            <w:webHidden/>
          </w:rPr>
          <w:fldChar w:fldCharType="begin"/>
        </w:r>
        <w:r w:rsidR="00BE6D3A">
          <w:rPr>
            <w:noProof/>
            <w:webHidden/>
          </w:rPr>
          <w:instrText xml:space="preserve"> PAGEREF _Toc43382759 \h </w:instrText>
        </w:r>
        <w:r w:rsidR="00BE6D3A">
          <w:rPr>
            <w:noProof/>
            <w:webHidden/>
          </w:rPr>
        </w:r>
        <w:r w:rsidR="00BE6D3A">
          <w:rPr>
            <w:noProof/>
            <w:webHidden/>
          </w:rPr>
          <w:fldChar w:fldCharType="separate"/>
        </w:r>
        <w:r w:rsidR="00E045AC">
          <w:rPr>
            <w:noProof/>
            <w:webHidden/>
          </w:rPr>
          <w:t>79</w:t>
        </w:r>
        <w:r w:rsidR="00BE6D3A">
          <w:rPr>
            <w:noProof/>
            <w:webHidden/>
          </w:rPr>
          <w:fldChar w:fldCharType="end"/>
        </w:r>
      </w:hyperlink>
    </w:p>
    <w:p w14:paraId="5E7E5086" w14:textId="0A988B15"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60" w:history="1">
        <w:r w:rsidR="00BE6D3A" w:rsidRPr="002843AC">
          <w:rPr>
            <w:rStyle w:val="Hyperlink"/>
            <w:noProof/>
            <w:lang w:val="en-CA"/>
          </w:rPr>
          <w:t>6.11. Amnesties</w:t>
        </w:r>
        <w:r w:rsidR="00BE6D3A">
          <w:rPr>
            <w:noProof/>
            <w:webHidden/>
          </w:rPr>
          <w:tab/>
        </w:r>
        <w:r w:rsidR="00BE6D3A">
          <w:rPr>
            <w:noProof/>
            <w:webHidden/>
          </w:rPr>
          <w:fldChar w:fldCharType="begin"/>
        </w:r>
        <w:r w:rsidR="00BE6D3A">
          <w:rPr>
            <w:noProof/>
            <w:webHidden/>
          </w:rPr>
          <w:instrText xml:space="preserve"> PAGEREF _Toc43382760 \h </w:instrText>
        </w:r>
        <w:r w:rsidR="00BE6D3A">
          <w:rPr>
            <w:noProof/>
            <w:webHidden/>
          </w:rPr>
        </w:r>
        <w:r w:rsidR="00BE6D3A">
          <w:rPr>
            <w:noProof/>
            <w:webHidden/>
          </w:rPr>
          <w:fldChar w:fldCharType="separate"/>
        </w:r>
        <w:r w:rsidR="00E045AC">
          <w:rPr>
            <w:noProof/>
            <w:webHidden/>
          </w:rPr>
          <w:t>79</w:t>
        </w:r>
        <w:r w:rsidR="00BE6D3A">
          <w:rPr>
            <w:noProof/>
            <w:webHidden/>
          </w:rPr>
          <w:fldChar w:fldCharType="end"/>
        </w:r>
      </w:hyperlink>
    </w:p>
    <w:p w14:paraId="2EE41765" w14:textId="6D5ECD25"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761" w:history="1">
        <w:r w:rsidR="00BE6D3A" w:rsidRPr="002843AC">
          <w:rPr>
            <w:rStyle w:val="Hyperlink"/>
            <w:noProof/>
            <w:lang w:val="en-CA"/>
          </w:rPr>
          <w:t>7. EXTRADITION AND MUTUAL LEGAL ASSISTANCE</w:t>
        </w:r>
        <w:r w:rsidR="00BE6D3A">
          <w:rPr>
            <w:noProof/>
            <w:webHidden/>
          </w:rPr>
          <w:tab/>
        </w:r>
        <w:r w:rsidR="00BE6D3A">
          <w:rPr>
            <w:noProof/>
            <w:webHidden/>
          </w:rPr>
          <w:fldChar w:fldCharType="begin"/>
        </w:r>
        <w:r w:rsidR="00BE6D3A">
          <w:rPr>
            <w:noProof/>
            <w:webHidden/>
          </w:rPr>
          <w:instrText xml:space="preserve"> PAGEREF _Toc43382761 \h </w:instrText>
        </w:r>
        <w:r w:rsidR="00BE6D3A">
          <w:rPr>
            <w:noProof/>
            <w:webHidden/>
          </w:rPr>
        </w:r>
        <w:r w:rsidR="00BE6D3A">
          <w:rPr>
            <w:noProof/>
            <w:webHidden/>
          </w:rPr>
          <w:fldChar w:fldCharType="separate"/>
        </w:r>
        <w:r w:rsidR="00E045AC">
          <w:rPr>
            <w:noProof/>
            <w:webHidden/>
          </w:rPr>
          <w:t>81</w:t>
        </w:r>
        <w:r w:rsidR="00BE6D3A">
          <w:rPr>
            <w:noProof/>
            <w:webHidden/>
          </w:rPr>
          <w:fldChar w:fldCharType="end"/>
        </w:r>
      </w:hyperlink>
    </w:p>
    <w:p w14:paraId="7F625B0C" w14:textId="7F43B72B"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62" w:history="1">
        <w:r w:rsidR="00BE6D3A" w:rsidRPr="002843AC">
          <w:rPr>
            <w:rStyle w:val="Hyperlink"/>
            <w:noProof/>
            <w:lang w:val="en-CA"/>
          </w:rPr>
          <w:t>7.1. Extradition</w:t>
        </w:r>
        <w:r w:rsidR="00BE6D3A">
          <w:rPr>
            <w:noProof/>
            <w:webHidden/>
          </w:rPr>
          <w:tab/>
        </w:r>
        <w:r w:rsidR="00BE6D3A">
          <w:rPr>
            <w:noProof/>
            <w:webHidden/>
          </w:rPr>
          <w:fldChar w:fldCharType="begin"/>
        </w:r>
        <w:r w:rsidR="00BE6D3A">
          <w:rPr>
            <w:noProof/>
            <w:webHidden/>
          </w:rPr>
          <w:instrText xml:space="preserve"> PAGEREF _Toc43382762 \h </w:instrText>
        </w:r>
        <w:r w:rsidR="00BE6D3A">
          <w:rPr>
            <w:noProof/>
            <w:webHidden/>
          </w:rPr>
        </w:r>
        <w:r w:rsidR="00BE6D3A">
          <w:rPr>
            <w:noProof/>
            <w:webHidden/>
          </w:rPr>
          <w:fldChar w:fldCharType="separate"/>
        </w:r>
        <w:r w:rsidR="00E045AC">
          <w:rPr>
            <w:noProof/>
            <w:webHidden/>
          </w:rPr>
          <w:t>81</w:t>
        </w:r>
        <w:r w:rsidR="00BE6D3A">
          <w:rPr>
            <w:noProof/>
            <w:webHidden/>
          </w:rPr>
          <w:fldChar w:fldCharType="end"/>
        </w:r>
      </w:hyperlink>
    </w:p>
    <w:p w14:paraId="7B4BE7FF" w14:textId="461A5A0E"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63" w:history="1">
        <w:r w:rsidR="00BE6D3A" w:rsidRPr="002843AC">
          <w:rPr>
            <w:rStyle w:val="Hyperlink"/>
            <w:noProof/>
            <w:lang w:val="en-CA"/>
          </w:rPr>
          <w:t>7.1.1. Obstacles to extradition to and from canada</w:t>
        </w:r>
        <w:r w:rsidR="00BE6D3A">
          <w:rPr>
            <w:noProof/>
            <w:webHidden/>
          </w:rPr>
          <w:tab/>
        </w:r>
        <w:r w:rsidR="00BE6D3A">
          <w:rPr>
            <w:noProof/>
            <w:webHidden/>
          </w:rPr>
          <w:fldChar w:fldCharType="begin"/>
        </w:r>
        <w:r w:rsidR="00BE6D3A">
          <w:rPr>
            <w:noProof/>
            <w:webHidden/>
          </w:rPr>
          <w:instrText xml:space="preserve"> PAGEREF _Toc43382763 \h </w:instrText>
        </w:r>
        <w:r w:rsidR="00BE6D3A">
          <w:rPr>
            <w:noProof/>
            <w:webHidden/>
          </w:rPr>
        </w:r>
        <w:r w:rsidR="00BE6D3A">
          <w:rPr>
            <w:noProof/>
            <w:webHidden/>
          </w:rPr>
          <w:fldChar w:fldCharType="separate"/>
        </w:r>
        <w:r w:rsidR="00E045AC">
          <w:rPr>
            <w:noProof/>
            <w:webHidden/>
          </w:rPr>
          <w:t>85</w:t>
        </w:r>
        <w:r w:rsidR="00BE6D3A">
          <w:rPr>
            <w:noProof/>
            <w:webHidden/>
          </w:rPr>
          <w:fldChar w:fldCharType="end"/>
        </w:r>
      </w:hyperlink>
    </w:p>
    <w:p w14:paraId="2A101F98" w14:textId="4A8DA236"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64" w:history="1">
        <w:r w:rsidR="00BE6D3A" w:rsidRPr="002843AC">
          <w:rPr>
            <w:rStyle w:val="Hyperlink"/>
            <w:noProof/>
            <w:lang w:val="en-CA"/>
          </w:rPr>
          <w:t>7.1.1.1. Political control over the making or granting of extradition requests</w:t>
        </w:r>
        <w:r w:rsidR="00BE6D3A">
          <w:rPr>
            <w:noProof/>
            <w:webHidden/>
          </w:rPr>
          <w:tab/>
        </w:r>
        <w:r w:rsidR="00BE6D3A">
          <w:rPr>
            <w:noProof/>
            <w:webHidden/>
          </w:rPr>
          <w:fldChar w:fldCharType="begin"/>
        </w:r>
        <w:r w:rsidR="00BE6D3A">
          <w:rPr>
            <w:noProof/>
            <w:webHidden/>
          </w:rPr>
          <w:instrText xml:space="preserve"> PAGEREF _Toc43382764 \h </w:instrText>
        </w:r>
        <w:r w:rsidR="00BE6D3A">
          <w:rPr>
            <w:noProof/>
            <w:webHidden/>
          </w:rPr>
        </w:r>
        <w:r w:rsidR="00BE6D3A">
          <w:rPr>
            <w:noProof/>
            <w:webHidden/>
          </w:rPr>
          <w:fldChar w:fldCharType="separate"/>
        </w:r>
        <w:r w:rsidR="00E045AC">
          <w:rPr>
            <w:noProof/>
            <w:webHidden/>
          </w:rPr>
          <w:t>86</w:t>
        </w:r>
        <w:r w:rsidR="00BE6D3A">
          <w:rPr>
            <w:noProof/>
            <w:webHidden/>
          </w:rPr>
          <w:fldChar w:fldCharType="end"/>
        </w:r>
      </w:hyperlink>
    </w:p>
    <w:p w14:paraId="4798CABB" w14:textId="06FD45C8"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65" w:history="1">
        <w:r w:rsidR="00BE6D3A" w:rsidRPr="002843AC">
          <w:rPr>
            <w:rStyle w:val="Hyperlink"/>
            <w:noProof/>
            <w:lang w:val="en-CA"/>
          </w:rPr>
          <w:t>7.1.1.2. Nationality</w:t>
        </w:r>
        <w:r w:rsidR="00BE6D3A">
          <w:rPr>
            <w:noProof/>
            <w:webHidden/>
          </w:rPr>
          <w:tab/>
        </w:r>
        <w:r w:rsidR="00BE6D3A">
          <w:rPr>
            <w:noProof/>
            <w:webHidden/>
          </w:rPr>
          <w:fldChar w:fldCharType="begin"/>
        </w:r>
        <w:r w:rsidR="00BE6D3A">
          <w:rPr>
            <w:noProof/>
            <w:webHidden/>
          </w:rPr>
          <w:instrText xml:space="preserve"> PAGEREF _Toc43382765 \h </w:instrText>
        </w:r>
        <w:r w:rsidR="00BE6D3A">
          <w:rPr>
            <w:noProof/>
            <w:webHidden/>
          </w:rPr>
        </w:r>
        <w:r w:rsidR="00BE6D3A">
          <w:rPr>
            <w:noProof/>
            <w:webHidden/>
          </w:rPr>
          <w:fldChar w:fldCharType="separate"/>
        </w:r>
        <w:r w:rsidR="00E045AC">
          <w:rPr>
            <w:noProof/>
            <w:webHidden/>
          </w:rPr>
          <w:t>87</w:t>
        </w:r>
        <w:r w:rsidR="00BE6D3A">
          <w:rPr>
            <w:noProof/>
            <w:webHidden/>
          </w:rPr>
          <w:fldChar w:fldCharType="end"/>
        </w:r>
      </w:hyperlink>
    </w:p>
    <w:p w14:paraId="4BA650D5" w14:textId="422E9B4D"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66" w:history="1">
        <w:r w:rsidR="00BE6D3A" w:rsidRPr="002843AC">
          <w:rPr>
            <w:rStyle w:val="Hyperlink"/>
            <w:noProof/>
            <w:lang w:val="en-CA"/>
          </w:rPr>
          <w:t>7.1.1.3. Double criminality and territorial jurisdiction</w:t>
        </w:r>
        <w:r w:rsidR="00BE6D3A">
          <w:rPr>
            <w:noProof/>
            <w:webHidden/>
          </w:rPr>
          <w:tab/>
        </w:r>
        <w:r w:rsidR="00BE6D3A">
          <w:rPr>
            <w:noProof/>
            <w:webHidden/>
          </w:rPr>
          <w:fldChar w:fldCharType="begin"/>
        </w:r>
        <w:r w:rsidR="00BE6D3A">
          <w:rPr>
            <w:noProof/>
            <w:webHidden/>
          </w:rPr>
          <w:instrText xml:space="preserve"> PAGEREF _Toc43382766 \h </w:instrText>
        </w:r>
        <w:r w:rsidR="00BE6D3A">
          <w:rPr>
            <w:noProof/>
            <w:webHidden/>
          </w:rPr>
        </w:r>
        <w:r w:rsidR="00BE6D3A">
          <w:rPr>
            <w:noProof/>
            <w:webHidden/>
          </w:rPr>
          <w:fldChar w:fldCharType="separate"/>
        </w:r>
        <w:r w:rsidR="00E045AC">
          <w:rPr>
            <w:noProof/>
            <w:webHidden/>
          </w:rPr>
          <w:t>89</w:t>
        </w:r>
        <w:r w:rsidR="00BE6D3A">
          <w:rPr>
            <w:noProof/>
            <w:webHidden/>
          </w:rPr>
          <w:fldChar w:fldCharType="end"/>
        </w:r>
      </w:hyperlink>
    </w:p>
    <w:p w14:paraId="4677E09B" w14:textId="14F7704A"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67" w:history="1">
        <w:r w:rsidR="00BE6D3A" w:rsidRPr="002843AC">
          <w:rPr>
            <w:rStyle w:val="Hyperlink"/>
            <w:noProof/>
            <w:lang w:val="en-CA"/>
          </w:rPr>
          <w:t>7.1.1.4. Political offence</w:t>
        </w:r>
        <w:r w:rsidR="00BE6D3A">
          <w:rPr>
            <w:noProof/>
            <w:webHidden/>
          </w:rPr>
          <w:tab/>
        </w:r>
        <w:r w:rsidR="00BE6D3A">
          <w:rPr>
            <w:noProof/>
            <w:webHidden/>
          </w:rPr>
          <w:fldChar w:fldCharType="begin"/>
        </w:r>
        <w:r w:rsidR="00BE6D3A">
          <w:rPr>
            <w:noProof/>
            <w:webHidden/>
          </w:rPr>
          <w:instrText xml:space="preserve"> PAGEREF _Toc43382767 \h </w:instrText>
        </w:r>
        <w:r w:rsidR="00BE6D3A">
          <w:rPr>
            <w:noProof/>
            <w:webHidden/>
          </w:rPr>
        </w:r>
        <w:r w:rsidR="00BE6D3A">
          <w:rPr>
            <w:noProof/>
            <w:webHidden/>
          </w:rPr>
          <w:fldChar w:fldCharType="separate"/>
        </w:r>
        <w:r w:rsidR="00E045AC">
          <w:rPr>
            <w:noProof/>
            <w:webHidden/>
          </w:rPr>
          <w:t>89</w:t>
        </w:r>
        <w:r w:rsidR="00BE6D3A">
          <w:rPr>
            <w:noProof/>
            <w:webHidden/>
          </w:rPr>
          <w:fldChar w:fldCharType="end"/>
        </w:r>
      </w:hyperlink>
    </w:p>
    <w:p w14:paraId="7FF0835B" w14:textId="319D4B78"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68" w:history="1">
        <w:r w:rsidR="00BE6D3A" w:rsidRPr="002843AC">
          <w:rPr>
            <w:rStyle w:val="Hyperlink"/>
            <w:noProof/>
            <w:lang w:val="en-CA"/>
          </w:rPr>
          <w:t>7.1.1.5. Military offence</w:t>
        </w:r>
        <w:r w:rsidR="00BE6D3A">
          <w:rPr>
            <w:noProof/>
            <w:webHidden/>
          </w:rPr>
          <w:tab/>
        </w:r>
        <w:r w:rsidR="00BE6D3A">
          <w:rPr>
            <w:noProof/>
            <w:webHidden/>
          </w:rPr>
          <w:fldChar w:fldCharType="begin"/>
        </w:r>
        <w:r w:rsidR="00BE6D3A">
          <w:rPr>
            <w:noProof/>
            <w:webHidden/>
          </w:rPr>
          <w:instrText xml:space="preserve"> PAGEREF _Toc43382768 \h </w:instrText>
        </w:r>
        <w:r w:rsidR="00BE6D3A">
          <w:rPr>
            <w:noProof/>
            <w:webHidden/>
          </w:rPr>
        </w:r>
        <w:r w:rsidR="00BE6D3A">
          <w:rPr>
            <w:noProof/>
            <w:webHidden/>
          </w:rPr>
          <w:fldChar w:fldCharType="separate"/>
        </w:r>
        <w:r w:rsidR="00E045AC">
          <w:rPr>
            <w:noProof/>
            <w:webHidden/>
          </w:rPr>
          <w:t>90</w:t>
        </w:r>
        <w:r w:rsidR="00BE6D3A">
          <w:rPr>
            <w:noProof/>
            <w:webHidden/>
          </w:rPr>
          <w:fldChar w:fldCharType="end"/>
        </w:r>
      </w:hyperlink>
    </w:p>
    <w:p w14:paraId="48EC2D39" w14:textId="1329B3DC"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69" w:history="1">
        <w:r w:rsidR="00BE6D3A" w:rsidRPr="002843AC">
          <w:rPr>
            <w:rStyle w:val="Hyperlink"/>
            <w:noProof/>
            <w:lang w:val="en-CA"/>
          </w:rPr>
          <w:t xml:space="preserve">7.1.1.6. </w:t>
        </w:r>
        <w:r w:rsidR="00BE6D3A" w:rsidRPr="002843AC">
          <w:rPr>
            <w:rStyle w:val="Hyperlink"/>
            <w:i/>
            <w:noProof/>
            <w:lang w:val="en-CA"/>
          </w:rPr>
          <w:t>Ne bis in idem</w:t>
        </w:r>
        <w:r w:rsidR="00BE6D3A">
          <w:rPr>
            <w:noProof/>
            <w:webHidden/>
          </w:rPr>
          <w:tab/>
        </w:r>
        <w:r w:rsidR="00BE6D3A">
          <w:rPr>
            <w:noProof/>
            <w:webHidden/>
          </w:rPr>
          <w:fldChar w:fldCharType="begin"/>
        </w:r>
        <w:r w:rsidR="00BE6D3A">
          <w:rPr>
            <w:noProof/>
            <w:webHidden/>
          </w:rPr>
          <w:instrText xml:space="preserve"> PAGEREF _Toc43382769 \h </w:instrText>
        </w:r>
        <w:r w:rsidR="00BE6D3A">
          <w:rPr>
            <w:noProof/>
            <w:webHidden/>
          </w:rPr>
        </w:r>
        <w:r w:rsidR="00BE6D3A">
          <w:rPr>
            <w:noProof/>
            <w:webHidden/>
          </w:rPr>
          <w:fldChar w:fldCharType="separate"/>
        </w:r>
        <w:r w:rsidR="00E045AC">
          <w:rPr>
            <w:noProof/>
            <w:webHidden/>
          </w:rPr>
          <w:t>90</w:t>
        </w:r>
        <w:r w:rsidR="00BE6D3A">
          <w:rPr>
            <w:noProof/>
            <w:webHidden/>
          </w:rPr>
          <w:fldChar w:fldCharType="end"/>
        </w:r>
      </w:hyperlink>
    </w:p>
    <w:p w14:paraId="278FC497" w14:textId="272A2000"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70" w:history="1">
        <w:r w:rsidR="00BE6D3A" w:rsidRPr="002843AC">
          <w:rPr>
            <w:rStyle w:val="Hyperlink"/>
            <w:noProof/>
            <w:lang w:val="en-CA"/>
          </w:rPr>
          <w:t>7.1.1.7. Non-retroactivity</w:t>
        </w:r>
        <w:r w:rsidR="00BE6D3A">
          <w:rPr>
            <w:noProof/>
            <w:webHidden/>
          </w:rPr>
          <w:tab/>
        </w:r>
        <w:r w:rsidR="00BE6D3A">
          <w:rPr>
            <w:noProof/>
            <w:webHidden/>
          </w:rPr>
          <w:fldChar w:fldCharType="begin"/>
        </w:r>
        <w:r w:rsidR="00BE6D3A">
          <w:rPr>
            <w:noProof/>
            <w:webHidden/>
          </w:rPr>
          <w:instrText xml:space="preserve"> PAGEREF _Toc43382770 \h </w:instrText>
        </w:r>
        <w:r w:rsidR="00BE6D3A">
          <w:rPr>
            <w:noProof/>
            <w:webHidden/>
          </w:rPr>
        </w:r>
        <w:r w:rsidR="00BE6D3A">
          <w:rPr>
            <w:noProof/>
            <w:webHidden/>
          </w:rPr>
          <w:fldChar w:fldCharType="separate"/>
        </w:r>
        <w:r w:rsidR="00E045AC">
          <w:rPr>
            <w:noProof/>
            <w:webHidden/>
          </w:rPr>
          <w:t>91</w:t>
        </w:r>
        <w:r w:rsidR="00BE6D3A">
          <w:rPr>
            <w:noProof/>
            <w:webHidden/>
          </w:rPr>
          <w:fldChar w:fldCharType="end"/>
        </w:r>
      </w:hyperlink>
    </w:p>
    <w:p w14:paraId="5175A960" w14:textId="0DC4612E"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71" w:history="1">
        <w:r w:rsidR="00BE6D3A" w:rsidRPr="002843AC">
          <w:rPr>
            <w:rStyle w:val="Hyperlink"/>
            <w:noProof/>
            <w:lang w:val="en-CA"/>
          </w:rPr>
          <w:t>7.1.1.8. Statutes of limitation</w:t>
        </w:r>
        <w:r w:rsidR="00BE6D3A">
          <w:rPr>
            <w:noProof/>
            <w:webHidden/>
          </w:rPr>
          <w:tab/>
        </w:r>
        <w:r w:rsidR="00BE6D3A">
          <w:rPr>
            <w:noProof/>
            <w:webHidden/>
          </w:rPr>
          <w:fldChar w:fldCharType="begin"/>
        </w:r>
        <w:r w:rsidR="00BE6D3A">
          <w:rPr>
            <w:noProof/>
            <w:webHidden/>
          </w:rPr>
          <w:instrText xml:space="preserve"> PAGEREF _Toc43382771 \h </w:instrText>
        </w:r>
        <w:r w:rsidR="00BE6D3A">
          <w:rPr>
            <w:noProof/>
            <w:webHidden/>
          </w:rPr>
        </w:r>
        <w:r w:rsidR="00BE6D3A">
          <w:rPr>
            <w:noProof/>
            <w:webHidden/>
          </w:rPr>
          <w:fldChar w:fldCharType="separate"/>
        </w:r>
        <w:r w:rsidR="00E045AC">
          <w:rPr>
            <w:noProof/>
            <w:webHidden/>
          </w:rPr>
          <w:t>91</w:t>
        </w:r>
        <w:r w:rsidR="00BE6D3A">
          <w:rPr>
            <w:noProof/>
            <w:webHidden/>
          </w:rPr>
          <w:fldChar w:fldCharType="end"/>
        </w:r>
      </w:hyperlink>
    </w:p>
    <w:p w14:paraId="29EF9D85" w14:textId="06CB3EDE"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72" w:history="1">
        <w:r w:rsidR="00BE6D3A" w:rsidRPr="002843AC">
          <w:rPr>
            <w:rStyle w:val="Hyperlink"/>
            <w:noProof/>
            <w:lang w:val="en-CA"/>
          </w:rPr>
          <w:t>7.1.1.9. Amnesties, pardons and similar measures of impunity</w:t>
        </w:r>
        <w:r w:rsidR="00BE6D3A">
          <w:rPr>
            <w:noProof/>
            <w:webHidden/>
          </w:rPr>
          <w:tab/>
        </w:r>
        <w:r w:rsidR="00BE6D3A">
          <w:rPr>
            <w:noProof/>
            <w:webHidden/>
          </w:rPr>
          <w:fldChar w:fldCharType="begin"/>
        </w:r>
        <w:r w:rsidR="00BE6D3A">
          <w:rPr>
            <w:noProof/>
            <w:webHidden/>
          </w:rPr>
          <w:instrText xml:space="preserve"> PAGEREF _Toc43382772 \h </w:instrText>
        </w:r>
        <w:r w:rsidR="00BE6D3A">
          <w:rPr>
            <w:noProof/>
            <w:webHidden/>
          </w:rPr>
        </w:r>
        <w:r w:rsidR="00BE6D3A">
          <w:rPr>
            <w:noProof/>
            <w:webHidden/>
          </w:rPr>
          <w:fldChar w:fldCharType="separate"/>
        </w:r>
        <w:r w:rsidR="00E045AC">
          <w:rPr>
            <w:noProof/>
            <w:webHidden/>
          </w:rPr>
          <w:t>91</w:t>
        </w:r>
        <w:r w:rsidR="00BE6D3A">
          <w:rPr>
            <w:noProof/>
            <w:webHidden/>
          </w:rPr>
          <w:fldChar w:fldCharType="end"/>
        </w:r>
      </w:hyperlink>
    </w:p>
    <w:p w14:paraId="687AC264" w14:textId="72391FEE"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73" w:history="1">
        <w:r w:rsidR="00BE6D3A" w:rsidRPr="002843AC">
          <w:rPr>
            <w:rStyle w:val="Hyperlink"/>
            <w:noProof/>
            <w:lang w:val="en-CA"/>
          </w:rPr>
          <w:t>7.1.1.10. Other obstacles</w:t>
        </w:r>
        <w:r w:rsidR="00BE6D3A">
          <w:rPr>
            <w:noProof/>
            <w:webHidden/>
          </w:rPr>
          <w:tab/>
        </w:r>
        <w:r w:rsidR="00BE6D3A">
          <w:rPr>
            <w:noProof/>
            <w:webHidden/>
          </w:rPr>
          <w:fldChar w:fldCharType="begin"/>
        </w:r>
        <w:r w:rsidR="00BE6D3A">
          <w:rPr>
            <w:noProof/>
            <w:webHidden/>
          </w:rPr>
          <w:instrText xml:space="preserve"> PAGEREF _Toc43382773 \h </w:instrText>
        </w:r>
        <w:r w:rsidR="00BE6D3A">
          <w:rPr>
            <w:noProof/>
            <w:webHidden/>
          </w:rPr>
        </w:r>
        <w:r w:rsidR="00BE6D3A">
          <w:rPr>
            <w:noProof/>
            <w:webHidden/>
          </w:rPr>
          <w:fldChar w:fldCharType="separate"/>
        </w:r>
        <w:r w:rsidR="00E045AC">
          <w:rPr>
            <w:noProof/>
            <w:webHidden/>
          </w:rPr>
          <w:t>91</w:t>
        </w:r>
        <w:r w:rsidR="00BE6D3A">
          <w:rPr>
            <w:noProof/>
            <w:webHidden/>
          </w:rPr>
          <w:fldChar w:fldCharType="end"/>
        </w:r>
      </w:hyperlink>
    </w:p>
    <w:p w14:paraId="488076AE" w14:textId="31EBD793"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74" w:history="1">
        <w:r w:rsidR="00BE6D3A" w:rsidRPr="002843AC">
          <w:rPr>
            <w:rStyle w:val="Hyperlink"/>
            <w:noProof/>
            <w:lang w:val="en-CA"/>
          </w:rPr>
          <w:t>7.1.2. Safeguards</w:t>
        </w:r>
        <w:r w:rsidR="00BE6D3A">
          <w:rPr>
            <w:noProof/>
            <w:webHidden/>
          </w:rPr>
          <w:tab/>
        </w:r>
        <w:r w:rsidR="00BE6D3A">
          <w:rPr>
            <w:noProof/>
            <w:webHidden/>
          </w:rPr>
          <w:fldChar w:fldCharType="begin"/>
        </w:r>
        <w:r w:rsidR="00BE6D3A">
          <w:rPr>
            <w:noProof/>
            <w:webHidden/>
          </w:rPr>
          <w:instrText xml:space="preserve"> PAGEREF _Toc43382774 \h </w:instrText>
        </w:r>
        <w:r w:rsidR="00BE6D3A">
          <w:rPr>
            <w:noProof/>
            <w:webHidden/>
          </w:rPr>
        </w:r>
        <w:r w:rsidR="00BE6D3A">
          <w:rPr>
            <w:noProof/>
            <w:webHidden/>
          </w:rPr>
          <w:fldChar w:fldCharType="separate"/>
        </w:r>
        <w:r w:rsidR="00E045AC">
          <w:rPr>
            <w:noProof/>
            <w:webHidden/>
          </w:rPr>
          <w:t>91</w:t>
        </w:r>
        <w:r w:rsidR="00BE6D3A">
          <w:rPr>
            <w:noProof/>
            <w:webHidden/>
          </w:rPr>
          <w:fldChar w:fldCharType="end"/>
        </w:r>
      </w:hyperlink>
    </w:p>
    <w:p w14:paraId="0355D0D3" w14:textId="59C46E16"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75" w:history="1">
        <w:r w:rsidR="00BE6D3A" w:rsidRPr="002843AC">
          <w:rPr>
            <w:rStyle w:val="Hyperlink"/>
            <w:noProof/>
            <w:lang w:val="en-CA"/>
          </w:rPr>
          <w:t>7.1.2.1. Fair trial</w:t>
        </w:r>
        <w:r w:rsidR="00BE6D3A">
          <w:rPr>
            <w:noProof/>
            <w:webHidden/>
          </w:rPr>
          <w:tab/>
        </w:r>
        <w:r w:rsidR="00BE6D3A">
          <w:rPr>
            <w:noProof/>
            <w:webHidden/>
          </w:rPr>
          <w:fldChar w:fldCharType="begin"/>
        </w:r>
        <w:r w:rsidR="00BE6D3A">
          <w:rPr>
            <w:noProof/>
            <w:webHidden/>
          </w:rPr>
          <w:instrText xml:space="preserve"> PAGEREF _Toc43382775 \h </w:instrText>
        </w:r>
        <w:r w:rsidR="00BE6D3A">
          <w:rPr>
            <w:noProof/>
            <w:webHidden/>
          </w:rPr>
        </w:r>
        <w:r w:rsidR="00BE6D3A">
          <w:rPr>
            <w:noProof/>
            <w:webHidden/>
          </w:rPr>
          <w:fldChar w:fldCharType="separate"/>
        </w:r>
        <w:r w:rsidR="00E045AC">
          <w:rPr>
            <w:noProof/>
            <w:webHidden/>
          </w:rPr>
          <w:t>92</w:t>
        </w:r>
        <w:r w:rsidR="00BE6D3A">
          <w:rPr>
            <w:noProof/>
            <w:webHidden/>
          </w:rPr>
          <w:fldChar w:fldCharType="end"/>
        </w:r>
      </w:hyperlink>
    </w:p>
    <w:p w14:paraId="0E38D971" w14:textId="6AA1CD66"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76" w:history="1">
        <w:r w:rsidR="00BE6D3A" w:rsidRPr="002843AC">
          <w:rPr>
            <w:rStyle w:val="Hyperlink"/>
            <w:noProof/>
            <w:lang w:val="en-CA"/>
          </w:rPr>
          <w:t>7.1.2.2. Torture and other cruel, inhuman or degrading treatment or punishment</w:t>
        </w:r>
        <w:r w:rsidR="00BE6D3A">
          <w:rPr>
            <w:noProof/>
            <w:webHidden/>
          </w:rPr>
          <w:tab/>
        </w:r>
        <w:r w:rsidR="00BE6D3A">
          <w:rPr>
            <w:noProof/>
            <w:webHidden/>
          </w:rPr>
          <w:fldChar w:fldCharType="begin"/>
        </w:r>
        <w:r w:rsidR="00BE6D3A">
          <w:rPr>
            <w:noProof/>
            <w:webHidden/>
          </w:rPr>
          <w:instrText xml:space="preserve"> PAGEREF _Toc43382776 \h </w:instrText>
        </w:r>
        <w:r w:rsidR="00BE6D3A">
          <w:rPr>
            <w:noProof/>
            <w:webHidden/>
          </w:rPr>
        </w:r>
        <w:r w:rsidR="00BE6D3A">
          <w:rPr>
            <w:noProof/>
            <w:webHidden/>
          </w:rPr>
          <w:fldChar w:fldCharType="separate"/>
        </w:r>
        <w:r w:rsidR="00E045AC">
          <w:rPr>
            <w:noProof/>
            <w:webHidden/>
          </w:rPr>
          <w:t>93</w:t>
        </w:r>
        <w:r w:rsidR="00BE6D3A">
          <w:rPr>
            <w:noProof/>
            <w:webHidden/>
          </w:rPr>
          <w:fldChar w:fldCharType="end"/>
        </w:r>
      </w:hyperlink>
    </w:p>
    <w:p w14:paraId="35FA6CAA" w14:textId="44E16ED1"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77" w:history="1">
        <w:r w:rsidR="00BE6D3A" w:rsidRPr="002843AC">
          <w:rPr>
            <w:rStyle w:val="Hyperlink"/>
            <w:noProof/>
            <w:lang w:val="en-CA"/>
          </w:rPr>
          <w:t>7.1.2.3. Death penalty</w:t>
        </w:r>
        <w:r w:rsidR="00BE6D3A">
          <w:rPr>
            <w:noProof/>
            <w:webHidden/>
          </w:rPr>
          <w:tab/>
        </w:r>
        <w:r w:rsidR="00BE6D3A">
          <w:rPr>
            <w:noProof/>
            <w:webHidden/>
          </w:rPr>
          <w:fldChar w:fldCharType="begin"/>
        </w:r>
        <w:r w:rsidR="00BE6D3A">
          <w:rPr>
            <w:noProof/>
            <w:webHidden/>
          </w:rPr>
          <w:instrText xml:space="preserve"> PAGEREF _Toc43382777 \h </w:instrText>
        </w:r>
        <w:r w:rsidR="00BE6D3A">
          <w:rPr>
            <w:noProof/>
            <w:webHidden/>
          </w:rPr>
        </w:r>
        <w:r w:rsidR="00BE6D3A">
          <w:rPr>
            <w:noProof/>
            <w:webHidden/>
          </w:rPr>
          <w:fldChar w:fldCharType="separate"/>
        </w:r>
        <w:r w:rsidR="00E045AC">
          <w:rPr>
            <w:noProof/>
            <w:webHidden/>
          </w:rPr>
          <w:t>94</w:t>
        </w:r>
        <w:r w:rsidR="00BE6D3A">
          <w:rPr>
            <w:noProof/>
            <w:webHidden/>
          </w:rPr>
          <w:fldChar w:fldCharType="end"/>
        </w:r>
      </w:hyperlink>
    </w:p>
    <w:p w14:paraId="63277A77" w14:textId="1D181606"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78" w:history="1">
        <w:r w:rsidR="00BE6D3A" w:rsidRPr="002843AC">
          <w:rPr>
            <w:rStyle w:val="Hyperlink"/>
            <w:noProof/>
            <w:lang w:val="en-CA"/>
          </w:rPr>
          <w:t>7.1.2.4. Other human rights safeguards</w:t>
        </w:r>
        <w:r w:rsidR="00BE6D3A">
          <w:rPr>
            <w:noProof/>
            <w:webHidden/>
          </w:rPr>
          <w:tab/>
        </w:r>
        <w:r w:rsidR="00BE6D3A">
          <w:rPr>
            <w:noProof/>
            <w:webHidden/>
          </w:rPr>
          <w:fldChar w:fldCharType="begin"/>
        </w:r>
        <w:r w:rsidR="00BE6D3A">
          <w:rPr>
            <w:noProof/>
            <w:webHidden/>
          </w:rPr>
          <w:instrText xml:space="preserve"> PAGEREF _Toc43382778 \h </w:instrText>
        </w:r>
        <w:r w:rsidR="00BE6D3A">
          <w:rPr>
            <w:noProof/>
            <w:webHidden/>
          </w:rPr>
        </w:r>
        <w:r w:rsidR="00BE6D3A">
          <w:rPr>
            <w:noProof/>
            <w:webHidden/>
          </w:rPr>
          <w:fldChar w:fldCharType="separate"/>
        </w:r>
        <w:r w:rsidR="00E045AC">
          <w:rPr>
            <w:noProof/>
            <w:webHidden/>
          </w:rPr>
          <w:t>95</w:t>
        </w:r>
        <w:r w:rsidR="00BE6D3A">
          <w:rPr>
            <w:noProof/>
            <w:webHidden/>
          </w:rPr>
          <w:fldChar w:fldCharType="end"/>
        </w:r>
      </w:hyperlink>
    </w:p>
    <w:p w14:paraId="7C9216B8" w14:textId="024C47A8"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79" w:history="1">
        <w:r w:rsidR="00BE6D3A" w:rsidRPr="002843AC">
          <w:rPr>
            <w:rStyle w:val="Hyperlink"/>
            <w:noProof/>
            <w:lang w:val="en-CA"/>
          </w:rPr>
          <w:t>7.1.2.5. Humanitarian concerns</w:t>
        </w:r>
        <w:r w:rsidR="00BE6D3A">
          <w:rPr>
            <w:noProof/>
            <w:webHidden/>
          </w:rPr>
          <w:tab/>
        </w:r>
        <w:r w:rsidR="00BE6D3A">
          <w:rPr>
            <w:noProof/>
            <w:webHidden/>
          </w:rPr>
          <w:fldChar w:fldCharType="begin"/>
        </w:r>
        <w:r w:rsidR="00BE6D3A">
          <w:rPr>
            <w:noProof/>
            <w:webHidden/>
          </w:rPr>
          <w:instrText xml:space="preserve"> PAGEREF _Toc43382779 \h </w:instrText>
        </w:r>
        <w:r w:rsidR="00BE6D3A">
          <w:rPr>
            <w:noProof/>
            <w:webHidden/>
          </w:rPr>
        </w:r>
        <w:r w:rsidR="00BE6D3A">
          <w:rPr>
            <w:noProof/>
            <w:webHidden/>
          </w:rPr>
          <w:fldChar w:fldCharType="separate"/>
        </w:r>
        <w:r w:rsidR="00E045AC">
          <w:rPr>
            <w:noProof/>
            <w:webHidden/>
          </w:rPr>
          <w:t>95</w:t>
        </w:r>
        <w:r w:rsidR="00BE6D3A">
          <w:rPr>
            <w:noProof/>
            <w:webHidden/>
          </w:rPr>
          <w:fldChar w:fldCharType="end"/>
        </w:r>
      </w:hyperlink>
    </w:p>
    <w:p w14:paraId="0B7E9BD7" w14:textId="30D5B05B"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80" w:history="1">
        <w:r w:rsidR="00BE6D3A" w:rsidRPr="002843AC">
          <w:rPr>
            <w:rStyle w:val="Hyperlink"/>
            <w:noProof/>
            <w:lang w:val="en-CA"/>
          </w:rPr>
          <w:t>7.1.2.6. Specialty</w:t>
        </w:r>
        <w:r w:rsidR="00BE6D3A">
          <w:rPr>
            <w:noProof/>
            <w:webHidden/>
          </w:rPr>
          <w:tab/>
        </w:r>
        <w:r w:rsidR="00BE6D3A">
          <w:rPr>
            <w:noProof/>
            <w:webHidden/>
          </w:rPr>
          <w:fldChar w:fldCharType="begin"/>
        </w:r>
        <w:r w:rsidR="00BE6D3A">
          <w:rPr>
            <w:noProof/>
            <w:webHidden/>
          </w:rPr>
          <w:instrText xml:space="preserve"> PAGEREF _Toc43382780 \h </w:instrText>
        </w:r>
        <w:r w:rsidR="00BE6D3A">
          <w:rPr>
            <w:noProof/>
            <w:webHidden/>
          </w:rPr>
        </w:r>
        <w:r w:rsidR="00BE6D3A">
          <w:rPr>
            <w:noProof/>
            <w:webHidden/>
          </w:rPr>
          <w:fldChar w:fldCharType="separate"/>
        </w:r>
        <w:r w:rsidR="00E045AC">
          <w:rPr>
            <w:noProof/>
            <w:webHidden/>
          </w:rPr>
          <w:t>95</w:t>
        </w:r>
        <w:r w:rsidR="00BE6D3A">
          <w:rPr>
            <w:noProof/>
            <w:webHidden/>
          </w:rPr>
          <w:fldChar w:fldCharType="end"/>
        </w:r>
      </w:hyperlink>
    </w:p>
    <w:p w14:paraId="132D387C" w14:textId="4B3E58A0"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781" w:history="1">
        <w:r w:rsidR="00BE6D3A" w:rsidRPr="002843AC">
          <w:rPr>
            <w:rStyle w:val="Hyperlink"/>
            <w:noProof/>
            <w:lang w:val="en-CA"/>
          </w:rPr>
          <w:t>7.2. Mutual legal assistance</w:t>
        </w:r>
        <w:r w:rsidR="00BE6D3A">
          <w:rPr>
            <w:noProof/>
            <w:webHidden/>
          </w:rPr>
          <w:tab/>
        </w:r>
        <w:r w:rsidR="00BE6D3A">
          <w:rPr>
            <w:noProof/>
            <w:webHidden/>
          </w:rPr>
          <w:fldChar w:fldCharType="begin"/>
        </w:r>
        <w:r w:rsidR="00BE6D3A">
          <w:rPr>
            <w:noProof/>
            <w:webHidden/>
          </w:rPr>
          <w:instrText xml:space="preserve"> PAGEREF _Toc43382781 \h </w:instrText>
        </w:r>
        <w:r w:rsidR="00BE6D3A">
          <w:rPr>
            <w:noProof/>
            <w:webHidden/>
          </w:rPr>
        </w:r>
        <w:r w:rsidR="00BE6D3A">
          <w:rPr>
            <w:noProof/>
            <w:webHidden/>
          </w:rPr>
          <w:fldChar w:fldCharType="separate"/>
        </w:r>
        <w:r w:rsidR="00E045AC">
          <w:rPr>
            <w:noProof/>
            <w:webHidden/>
          </w:rPr>
          <w:t>96</w:t>
        </w:r>
        <w:r w:rsidR="00BE6D3A">
          <w:rPr>
            <w:noProof/>
            <w:webHidden/>
          </w:rPr>
          <w:fldChar w:fldCharType="end"/>
        </w:r>
      </w:hyperlink>
    </w:p>
    <w:p w14:paraId="48DCBB6C" w14:textId="32650DAE"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82" w:history="1">
        <w:r w:rsidR="00BE6D3A" w:rsidRPr="002843AC">
          <w:rPr>
            <w:rStyle w:val="Hyperlink"/>
            <w:noProof/>
            <w:lang w:val="en-CA"/>
          </w:rPr>
          <w:t>7.2.1 Unavailable or inadequate procedures</w:t>
        </w:r>
        <w:r w:rsidR="00BE6D3A">
          <w:rPr>
            <w:noProof/>
            <w:webHidden/>
          </w:rPr>
          <w:tab/>
        </w:r>
        <w:r w:rsidR="00BE6D3A">
          <w:rPr>
            <w:noProof/>
            <w:webHidden/>
          </w:rPr>
          <w:fldChar w:fldCharType="begin"/>
        </w:r>
        <w:r w:rsidR="00BE6D3A">
          <w:rPr>
            <w:noProof/>
            <w:webHidden/>
          </w:rPr>
          <w:instrText xml:space="preserve"> PAGEREF _Toc43382782 \h </w:instrText>
        </w:r>
        <w:r w:rsidR="00BE6D3A">
          <w:rPr>
            <w:noProof/>
            <w:webHidden/>
          </w:rPr>
        </w:r>
        <w:r w:rsidR="00BE6D3A">
          <w:rPr>
            <w:noProof/>
            <w:webHidden/>
          </w:rPr>
          <w:fldChar w:fldCharType="separate"/>
        </w:r>
        <w:r w:rsidR="00E045AC">
          <w:rPr>
            <w:noProof/>
            <w:webHidden/>
          </w:rPr>
          <w:t>96</w:t>
        </w:r>
        <w:r w:rsidR="00BE6D3A">
          <w:rPr>
            <w:noProof/>
            <w:webHidden/>
          </w:rPr>
          <w:fldChar w:fldCharType="end"/>
        </w:r>
      </w:hyperlink>
    </w:p>
    <w:p w14:paraId="570EF7EC" w14:textId="1AE179F9"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83" w:history="1">
        <w:r w:rsidR="00BE6D3A" w:rsidRPr="002843AC">
          <w:rPr>
            <w:rStyle w:val="Hyperlink"/>
            <w:noProof/>
            <w:lang w:val="en-CA"/>
          </w:rPr>
          <w:t>7.2.1.1. Conducting investigations</w:t>
        </w:r>
        <w:r w:rsidR="00BE6D3A">
          <w:rPr>
            <w:noProof/>
            <w:webHidden/>
          </w:rPr>
          <w:tab/>
        </w:r>
        <w:r w:rsidR="00BE6D3A">
          <w:rPr>
            <w:noProof/>
            <w:webHidden/>
          </w:rPr>
          <w:fldChar w:fldCharType="begin"/>
        </w:r>
        <w:r w:rsidR="00BE6D3A">
          <w:rPr>
            <w:noProof/>
            <w:webHidden/>
          </w:rPr>
          <w:instrText xml:space="preserve"> PAGEREF _Toc43382783 \h </w:instrText>
        </w:r>
        <w:r w:rsidR="00BE6D3A">
          <w:rPr>
            <w:noProof/>
            <w:webHidden/>
          </w:rPr>
        </w:r>
        <w:r w:rsidR="00BE6D3A">
          <w:rPr>
            <w:noProof/>
            <w:webHidden/>
          </w:rPr>
          <w:fldChar w:fldCharType="separate"/>
        </w:r>
        <w:r w:rsidR="00E045AC">
          <w:rPr>
            <w:noProof/>
            <w:webHidden/>
          </w:rPr>
          <w:t>96</w:t>
        </w:r>
        <w:r w:rsidR="00BE6D3A">
          <w:rPr>
            <w:noProof/>
            <w:webHidden/>
          </w:rPr>
          <w:fldChar w:fldCharType="end"/>
        </w:r>
      </w:hyperlink>
    </w:p>
    <w:p w14:paraId="744A02D4" w14:textId="405BC3CF"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84" w:history="1">
        <w:r w:rsidR="00BE6D3A" w:rsidRPr="002843AC">
          <w:rPr>
            <w:rStyle w:val="Hyperlink"/>
            <w:noProof/>
            <w:lang w:val="en-CA"/>
          </w:rPr>
          <w:t>7.2.1.2. Tracing, freezing, seizing and forfeiting assets</w:t>
        </w:r>
        <w:r w:rsidR="00BE6D3A">
          <w:rPr>
            <w:noProof/>
            <w:webHidden/>
          </w:rPr>
          <w:tab/>
        </w:r>
        <w:r w:rsidR="00BE6D3A">
          <w:rPr>
            <w:noProof/>
            <w:webHidden/>
          </w:rPr>
          <w:fldChar w:fldCharType="begin"/>
        </w:r>
        <w:r w:rsidR="00BE6D3A">
          <w:rPr>
            <w:noProof/>
            <w:webHidden/>
          </w:rPr>
          <w:instrText xml:space="preserve"> PAGEREF _Toc43382784 \h </w:instrText>
        </w:r>
        <w:r w:rsidR="00BE6D3A">
          <w:rPr>
            <w:noProof/>
            <w:webHidden/>
          </w:rPr>
        </w:r>
        <w:r w:rsidR="00BE6D3A">
          <w:rPr>
            <w:noProof/>
            <w:webHidden/>
          </w:rPr>
          <w:fldChar w:fldCharType="separate"/>
        </w:r>
        <w:r w:rsidR="00E045AC">
          <w:rPr>
            <w:noProof/>
            <w:webHidden/>
          </w:rPr>
          <w:t>96</w:t>
        </w:r>
        <w:r w:rsidR="00BE6D3A">
          <w:rPr>
            <w:noProof/>
            <w:webHidden/>
          </w:rPr>
          <w:fldChar w:fldCharType="end"/>
        </w:r>
      </w:hyperlink>
    </w:p>
    <w:p w14:paraId="565B8702" w14:textId="3F8341AB"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85" w:history="1">
        <w:r w:rsidR="00BE6D3A" w:rsidRPr="002843AC">
          <w:rPr>
            <w:rStyle w:val="Hyperlink"/>
            <w:noProof/>
            <w:lang w:val="en-CA"/>
          </w:rPr>
          <w:t>7.2.1.3. Video-conferencing and other special measures to present evidence</w:t>
        </w:r>
        <w:r w:rsidR="00BE6D3A">
          <w:rPr>
            <w:noProof/>
            <w:webHidden/>
          </w:rPr>
          <w:tab/>
        </w:r>
        <w:r w:rsidR="00BE6D3A">
          <w:rPr>
            <w:noProof/>
            <w:webHidden/>
          </w:rPr>
          <w:fldChar w:fldCharType="begin"/>
        </w:r>
        <w:r w:rsidR="00BE6D3A">
          <w:rPr>
            <w:noProof/>
            <w:webHidden/>
          </w:rPr>
          <w:instrText xml:space="preserve"> PAGEREF _Toc43382785 \h </w:instrText>
        </w:r>
        <w:r w:rsidR="00BE6D3A">
          <w:rPr>
            <w:noProof/>
            <w:webHidden/>
          </w:rPr>
        </w:r>
        <w:r w:rsidR="00BE6D3A">
          <w:rPr>
            <w:noProof/>
            <w:webHidden/>
          </w:rPr>
          <w:fldChar w:fldCharType="separate"/>
        </w:r>
        <w:r w:rsidR="00E045AC">
          <w:rPr>
            <w:noProof/>
            <w:webHidden/>
          </w:rPr>
          <w:t>97</w:t>
        </w:r>
        <w:r w:rsidR="00BE6D3A">
          <w:rPr>
            <w:noProof/>
            <w:webHidden/>
          </w:rPr>
          <w:fldChar w:fldCharType="end"/>
        </w:r>
      </w:hyperlink>
    </w:p>
    <w:p w14:paraId="10574BA5" w14:textId="73911D00"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86" w:history="1">
        <w:r w:rsidR="00BE6D3A" w:rsidRPr="002843AC">
          <w:rPr>
            <w:rStyle w:val="Hyperlink"/>
            <w:noProof/>
            <w:lang w:val="en-CA"/>
          </w:rPr>
          <w:t>7.2.1.4. Acceptance of foreign official documents</w:t>
        </w:r>
        <w:r w:rsidR="00BE6D3A">
          <w:rPr>
            <w:noProof/>
            <w:webHidden/>
          </w:rPr>
          <w:tab/>
        </w:r>
        <w:r w:rsidR="00BE6D3A">
          <w:rPr>
            <w:noProof/>
            <w:webHidden/>
          </w:rPr>
          <w:fldChar w:fldCharType="begin"/>
        </w:r>
        <w:r w:rsidR="00BE6D3A">
          <w:rPr>
            <w:noProof/>
            <w:webHidden/>
          </w:rPr>
          <w:instrText xml:space="preserve"> PAGEREF _Toc43382786 \h </w:instrText>
        </w:r>
        <w:r w:rsidR="00BE6D3A">
          <w:rPr>
            <w:noProof/>
            <w:webHidden/>
          </w:rPr>
        </w:r>
        <w:r w:rsidR="00BE6D3A">
          <w:rPr>
            <w:noProof/>
            <w:webHidden/>
          </w:rPr>
          <w:fldChar w:fldCharType="separate"/>
        </w:r>
        <w:r w:rsidR="00E045AC">
          <w:rPr>
            <w:noProof/>
            <w:webHidden/>
          </w:rPr>
          <w:t>97</w:t>
        </w:r>
        <w:r w:rsidR="00BE6D3A">
          <w:rPr>
            <w:noProof/>
            <w:webHidden/>
          </w:rPr>
          <w:fldChar w:fldCharType="end"/>
        </w:r>
      </w:hyperlink>
    </w:p>
    <w:p w14:paraId="7FFDAC57" w14:textId="5D3DB79F"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87" w:history="1">
        <w:r w:rsidR="00BE6D3A" w:rsidRPr="002843AC">
          <w:rPr>
            <w:rStyle w:val="Hyperlink"/>
            <w:noProof/>
            <w:lang w:val="en-CA"/>
          </w:rPr>
          <w:t>7.2.2 Inappropriate bars to mutual legal assistance</w:t>
        </w:r>
        <w:r w:rsidR="00BE6D3A">
          <w:rPr>
            <w:noProof/>
            <w:webHidden/>
          </w:rPr>
          <w:tab/>
        </w:r>
        <w:r w:rsidR="00BE6D3A">
          <w:rPr>
            <w:noProof/>
            <w:webHidden/>
          </w:rPr>
          <w:fldChar w:fldCharType="begin"/>
        </w:r>
        <w:r w:rsidR="00BE6D3A">
          <w:rPr>
            <w:noProof/>
            <w:webHidden/>
          </w:rPr>
          <w:instrText xml:space="preserve"> PAGEREF _Toc43382787 \h </w:instrText>
        </w:r>
        <w:r w:rsidR="00BE6D3A">
          <w:rPr>
            <w:noProof/>
            <w:webHidden/>
          </w:rPr>
        </w:r>
        <w:r w:rsidR="00BE6D3A">
          <w:rPr>
            <w:noProof/>
            <w:webHidden/>
          </w:rPr>
          <w:fldChar w:fldCharType="separate"/>
        </w:r>
        <w:r w:rsidR="00E045AC">
          <w:rPr>
            <w:noProof/>
            <w:webHidden/>
          </w:rPr>
          <w:t>104</w:t>
        </w:r>
        <w:r w:rsidR="00BE6D3A">
          <w:rPr>
            <w:noProof/>
            <w:webHidden/>
          </w:rPr>
          <w:fldChar w:fldCharType="end"/>
        </w:r>
      </w:hyperlink>
    </w:p>
    <w:p w14:paraId="41C976AC" w14:textId="3A2FB109"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88" w:history="1">
        <w:r w:rsidR="00BE6D3A" w:rsidRPr="002843AC">
          <w:rPr>
            <w:rStyle w:val="Hyperlink"/>
            <w:noProof/>
            <w:lang w:val="en-CA"/>
          </w:rPr>
          <w:t>7.2.2.1.Nationality</w:t>
        </w:r>
        <w:r w:rsidR="00BE6D3A">
          <w:rPr>
            <w:noProof/>
            <w:webHidden/>
          </w:rPr>
          <w:tab/>
        </w:r>
        <w:r w:rsidR="00BE6D3A">
          <w:rPr>
            <w:noProof/>
            <w:webHidden/>
          </w:rPr>
          <w:fldChar w:fldCharType="begin"/>
        </w:r>
        <w:r w:rsidR="00BE6D3A">
          <w:rPr>
            <w:noProof/>
            <w:webHidden/>
          </w:rPr>
          <w:instrText xml:space="preserve"> PAGEREF _Toc43382788 \h </w:instrText>
        </w:r>
        <w:r w:rsidR="00BE6D3A">
          <w:rPr>
            <w:noProof/>
            <w:webHidden/>
          </w:rPr>
        </w:r>
        <w:r w:rsidR="00BE6D3A">
          <w:rPr>
            <w:noProof/>
            <w:webHidden/>
          </w:rPr>
          <w:fldChar w:fldCharType="separate"/>
        </w:r>
        <w:r w:rsidR="00E045AC">
          <w:rPr>
            <w:noProof/>
            <w:webHidden/>
          </w:rPr>
          <w:t>104</w:t>
        </w:r>
        <w:r w:rsidR="00BE6D3A">
          <w:rPr>
            <w:noProof/>
            <w:webHidden/>
          </w:rPr>
          <w:fldChar w:fldCharType="end"/>
        </w:r>
      </w:hyperlink>
    </w:p>
    <w:p w14:paraId="68DA8211" w14:textId="0057936C"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89" w:history="1">
        <w:r w:rsidR="00BE6D3A" w:rsidRPr="002843AC">
          <w:rPr>
            <w:rStyle w:val="Hyperlink"/>
            <w:noProof/>
            <w:lang w:val="en-CA"/>
          </w:rPr>
          <w:t>7.2.2.2. Political offence</w:t>
        </w:r>
        <w:r w:rsidR="00BE6D3A">
          <w:rPr>
            <w:noProof/>
            <w:webHidden/>
          </w:rPr>
          <w:tab/>
        </w:r>
        <w:r w:rsidR="00BE6D3A">
          <w:rPr>
            <w:noProof/>
            <w:webHidden/>
          </w:rPr>
          <w:fldChar w:fldCharType="begin"/>
        </w:r>
        <w:r w:rsidR="00BE6D3A">
          <w:rPr>
            <w:noProof/>
            <w:webHidden/>
          </w:rPr>
          <w:instrText xml:space="preserve"> PAGEREF _Toc43382789 \h </w:instrText>
        </w:r>
        <w:r w:rsidR="00BE6D3A">
          <w:rPr>
            <w:noProof/>
            <w:webHidden/>
          </w:rPr>
        </w:r>
        <w:r w:rsidR="00BE6D3A">
          <w:rPr>
            <w:noProof/>
            <w:webHidden/>
          </w:rPr>
          <w:fldChar w:fldCharType="separate"/>
        </w:r>
        <w:r w:rsidR="00E045AC">
          <w:rPr>
            <w:noProof/>
            <w:webHidden/>
          </w:rPr>
          <w:t>104</w:t>
        </w:r>
        <w:r w:rsidR="00BE6D3A">
          <w:rPr>
            <w:noProof/>
            <w:webHidden/>
          </w:rPr>
          <w:fldChar w:fldCharType="end"/>
        </w:r>
      </w:hyperlink>
    </w:p>
    <w:p w14:paraId="21BCC15C" w14:textId="597865E6"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90" w:history="1">
        <w:r w:rsidR="00BE6D3A" w:rsidRPr="002843AC">
          <w:rPr>
            <w:rStyle w:val="Hyperlink"/>
            <w:noProof/>
            <w:lang w:val="en-CA"/>
          </w:rPr>
          <w:t xml:space="preserve">7.2.2.3. </w:t>
        </w:r>
        <w:r w:rsidR="00BE6D3A" w:rsidRPr="002843AC">
          <w:rPr>
            <w:rStyle w:val="Hyperlink"/>
            <w:i/>
            <w:noProof/>
            <w:lang w:val="en-CA"/>
          </w:rPr>
          <w:t>Ne bis in idem</w:t>
        </w:r>
        <w:r w:rsidR="00BE6D3A">
          <w:rPr>
            <w:noProof/>
            <w:webHidden/>
          </w:rPr>
          <w:tab/>
        </w:r>
        <w:r w:rsidR="00BE6D3A">
          <w:rPr>
            <w:noProof/>
            <w:webHidden/>
          </w:rPr>
          <w:fldChar w:fldCharType="begin"/>
        </w:r>
        <w:r w:rsidR="00BE6D3A">
          <w:rPr>
            <w:noProof/>
            <w:webHidden/>
          </w:rPr>
          <w:instrText xml:space="preserve"> PAGEREF _Toc43382790 \h </w:instrText>
        </w:r>
        <w:r w:rsidR="00BE6D3A">
          <w:rPr>
            <w:noProof/>
            <w:webHidden/>
          </w:rPr>
        </w:r>
        <w:r w:rsidR="00BE6D3A">
          <w:rPr>
            <w:noProof/>
            <w:webHidden/>
          </w:rPr>
          <w:fldChar w:fldCharType="separate"/>
        </w:r>
        <w:r w:rsidR="00E045AC">
          <w:rPr>
            <w:noProof/>
            <w:webHidden/>
          </w:rPr>
          <w:t>104</w:t>
        </w:r>
        <w:r w:rsidR="00BE6D3A">
          <w:rPr>
            <w:noProof/>
            <w:webHidden/>
          </w:rPr>
          <w:fldChar w:fldCharType="end"/>
        </w:r>
      </w:hyperlink>
    </w:p>
    <w:p w14:paraId="6152B193" w14:textId="006D3738"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91" w:history="1">
        <w:r w:rsidR="00BE6D3A" w:rsidRPr="002843AC">
          <w:rPr>
            <w:rStyle w:val="Hyperlink"/>
            <w:noProof/>
            <w:lang w:val="en-CA"/>
          </w:rPr>
          <w:t>7.2.2.4.Double criminality</w:t>
        </w:r>
        <w:r w:rsidR="00BE6D3A">
          <w:rPr>
            <w:noProof/>
            <w:webHidden/>
          </w:rPr>
          <w:tab/>
        </w:r>
        <w:r w:rsidR="00BE6D3A">
          <w:rPr>
            <w:noProof/>
            <w:webHidden/>
          </w:rPr>
          <w:fldChar w:fldCharType="begin"/>
        </w:r>
        <w:r w:rsidR="00BE6D3A">
          <w:rPr>
            <w:noProof/>
            <w:webHidden/>
          </w:rPr>
          <w:instrText xml:space="preserve"> PAGEREF _Toc43382791 \h </w:instrText>
        </w:r>
        <w:r w:rsidR="00BE6D3A">
          <w:rPr>
            <w:noProof/>
            <w:webHidden/>
          </w:rPr>
        </w:r>
        <w:r w:rsidR="00BE6D3A">
          <w:rPr>
            <w:noProof/>
            <w:webHidden/>
          </w:rPr>
          <w:fldChar w:fldCharType="separate"/>
        </w:r>
        <w:r w:rsidR="00E045AC">
          <w:rPr>
            <w:noProof/>
            <w:webHidden/>
          </w:rPr>
          <w:t>105</w:t>
        </w:r>
        <w:r w:rsidR="00BE6D3A">
          <w:rPr>
            <w:noProof/>
            <w:webHidden/>
          </w:rPr>
          <w:fldChar w:fldCharType="end"/>
        </w:r>
      </w:hyperlink>
    </w:p>
    <w:p w14:paraId="3C73355C" w14:textId="123C23BE"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92" w:history="1">
        <w:r w:rsidR="00BE6D3A" w:rsidRPr="002843AC">
          <w:rPr>
            <w:rStyle w:val="Hyperlink"/>
            <w:noProof/>
            <w:lang w:val="en-CA"/>
          </w:rPr>
          <w:t>7.2.2.5. Jurisdiction</w:t>
        </w:r>
        <w:r w:rsidR="00BE6D3A">
          <w:rPr>
            <w:noProof/>
            <w:webHidden/>
          </w:rPr>
          <w:tab/>
        </w:r>
        <w:r w:rsidR="00BE6D3A">
          <w:rPr>
            <w:noProof/>
            <w:webHidden/>
          </w:rPr>
          <w:fldChar w:fldCharType="begin"/>
        </w:r>
        <w:r w:rsidR="00BE6D3A">
          <w:rPr>
            <w:noProof/>
            <w:webHidden/>
          </w:rPr>
          <w:instrText xml:space="preserve"> PAGEREF _Toc43382792 \h </w:instrText>
        </w:r>
        <w:r w:rsidR="00BE6D3A">
          <w:rPr>
            <w:noProof/>
            <w:webHidden/>
          </w:rPr>
        </w:r>
        <w:r w:rsidR="00BE6D3A">
          <w:rPr>
            <w:noProof/>
            <w:webHidden/>
          </w:rPr>
          <w:fldChar w:fldCharType="separate"/>
        </w:r>
        <w:r w:rsidR="00E045AC">
          <w:rPr>
            <w:noProof/>
            <w:webHidden/>
          </w:rPr>
          <w:t>105</w:t>
        </w:r>
        <w:r w:rsidR="00BE6D3A">
          <w:rPr>
            <w:noProof/>
            <w:webHidden/>
          </w:rPr>
          <w:fldChar w:fldCharType="end"/>
        </w:r>
      </w:hyperlink>
    </w:p>
    <w:p w14:paraId="2AD2E5E9" w14:textId="6BF01D0C"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93" w:history="1">
        <w:r w:rsidR="00BE6D3A" w:rsidRPr="002843AC">
          <w:rPr>
            <w:rStyle w:val="Hyperlink"/>
            <w:noProof/>
            <w:lang w:val="en-CA"/>
          </w:rPr>
          <w:t>7.2.2.6. Amnesty or similar measure of impunity</w:t>
        </w:r>
        <w:r w:rsidR="00BE6D3A">
          <w:rPr>
            <w:noProof/>
            <w:webHidden/>
          </w:rPr>
          <w:tab/>
        </w:r>
        <w:r w:rsidR="00BE6D3A">
          <w:rPr>
            <w:noProof/>
            <w:webHidden/>
          </w:rPr>
          <w:fldChar w:fldCharType="begin"/>
        </w:r>
        <w:r w:rsidR="00BE6D3A">
          <w:rPr>
            <w:noProof/>
            <w:webHidden/>
          </w:rPr>
          <w:instrText xml:space="preserve"> PAGEREF _Toc43382793 \h </w:instrText>
        </w:r>
        <w:r w:rsidR="00BE6D3A">
          <w:rPr>
            <w:noProof/>
            <w:webHidden/>
          </w:rPr>
        </w:r>
        <w:r w:rsidR="00BE6D3A">
          <w:rPr>
            <w:noProof/>
            <w:webHidden/>
          </w:rPr>
          <w:fldChar w:fldCharType="separate"/>
        </w:r>
        <w:r w:rsidR="00E045AC">
          <w:rPr>
            <w:noProof/>
            <w:webHidden/>
          </w:rPr>
          <w:t>105</w:t>
        </w:r>
        <w:r w:rsidR="00BE6D3A">
          <w:rPr>
            <w:noProof/>
            <w:webHidden/>
          </w:rPr>
          <w:fldChar w:fldCharType="end"/>
        </w:r>
      </w:hyperlink>
    </w:p>
    <w:p w14:paraId="77CAED2A" w14:textId="45A3F622"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94" w:history="1">
        <w:r w:rsidR="00BE6D3A" w:rsidRPr="002843AC">
          <w:rPr>
            <w:rStyle w:val="Hyperlink"/>
            <w:noProof/>
            <w:lang w:val="en-CA"/>
          </w:rPr>
          <w:t>7.2.2.7. Other inappropriate bars to mutual legal assistance</w:t>
        </w:r>
        <w:r w:rsidR="00BE6D3A">
          <w:rPr>
            <w:noProof/>
            <w:webHidden/>
          </w:rPr>
          <w:tab/>
        </w:r>
        <w:r w:rsidR="00BE6D3A">
          <w:rPr>
            <w:noProof/>
            <w:webHidden/>
          </w:rPr>
          <w:fldChar w:fldCharType="begin"/>
        </w:r>
        <w:r w:rsidR="00BE6D3A">
          <w:rPr>
            <w:noProof/>
            <w:webHidden/>
          </w:rPr>
          <w:instrText xml:space="preserve"> PAGEREF _Toc43382794 \h </w:instrText>
        </w:r>
        <w:r w:rsidR="00BE6D3A">
          <w:rPr>
            <w:noProof/>
            <w:webHidden/>
          </w:rPr>
        </w:r>
        <w:r w:rsidR="00BE6D3A">
          <w:rPr>
            <w:noProof/>
            <w:webHidden/>
          </w:rPr>
          <w:fldChar w:fldCharType="separate"/>
        </w:r>
        <w:r w:rsidR="00E045AC">
          <w:rPr>
            <w:noProof/>
            <w:webHidden/>
          </w:rPr>
          <w:t>105</w:t>
        </w:r>
        <w:r w:rsidR="00BE6D3A">
          <w:rPr>
            <w:noProof/>
            <w:webHidden/>
          </w:rPr>
          <w:fldChar w:fldCharType="end"/>
        </w:r>
      </w:hyperlink>
    </w:p>
    <w:p w14:paraId="3EF95613" w14:textId="6071A75E"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795" w:history="1">
        <w:r w:rsidR="00BE6D3A" w:rsidRPr="002843AC">
          <w:rPr>
            <w:rStyle w:val="Hyperlink"/>
            <w:noProof/>
            <w:lang w:val="en-CA"/>
          </w:rPr>
          <w:t>7.2.3. Safeguards</w:t>
        </w:r>
        <w:r w:rsidR="00BE6D3A">
          <w:rPr>
            <w:noProof/>
            <w:webHidden/>
          </w:rPr>
          <w:tab/>
        </w:r>
        <w:r w:rsidR="00BE6D3A">
          <w:rPr>
            <w:noProof/>
            <w:webHidden/>
          </w:rPr>
          <w:fldChar w:fldCharType="begin"/>
        </w:r>
        <w:r w:rsidR="00BE6D3A">
          <w:rPr>
            <w:noProof/>
            <w:webHidden/>
          </w:rPr>
          <w:instrText xml:space="preserve"> PAGEREF _Toc43382795 \h </w:instrText>
        </w:r>
        <w:r w:rsidR="00BE6D3A">
          <w:rPr>
            <w:noProof/>
            <w:webHidden/>
          </w:rPr>
        </w:r>
        <w:r w:rsidR="00BE6D3A">
          <w:rPr>
            <w:noProof/>
            <w:webHidden/>
          </w:rPr>
          <w:fldChar w:fldCharType="separate"/>
        </w:r>
        <w:r w:rsidR="00E045AC">
          <w:rPr>
            <w:noProof/>
            <w:webHidden/>
          </w:rPr>
          <w:t>105</w:t>
        </w:r>
        <w:r w:rsidR="00BE6D3A">
          <w:rPr>
            <w:noProof/>
            <w:webHidden/>
          </w:rPr>
          <w:fldChar w:fldCharType="end"/>
        </w:r>
      </w:hyperlink>
    </w:p>
    <w:p w14:paraId="7E67ED71" w14:textId="2DB1F0F2"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96" w:history="1">
        <w:r w:rsidR="00BE6D3A" w:rsidRPr="002843AC">
          <w:rPr>
            <w:rStyle w:val="Hyperlink"/>
            <w:noProof/>
            <w:lang w:val="en-CA"/>
          </w:rPr>
          <w:t>7.2.3.1. Fair trial</w:t>
        </w:r>
        <w:r w:rsidR="00BE6D3A">
          <w:rPr>
            <w:noProof/>
            <w:webHidden/>
          </w:rPr>
          <w:tab/>
        </w:r>
        <w:r w:rsidR="00BE6D3A">
          <w:rPr>
            <w:noProof/>
            <w:webHidden/>
          </w:rPr>
          <w:fldChar w:fldCharType="begin"/>
        </w:r>
        <w:r w:rsidR="00BE6D3A">
          <w:rPr>
            <w:noProof/>
            <w:webHidden/>
          </w:rPr>
          <w:instrText xml:space="preserve"> PAGEREF _Toc43382796 \h </w:instrText>
        </w:r>
        <w:r w:rsidR="00BE6D3A">
          <w:rPr>
            <w:noProof/>
            <w:webHidden/>
          </w:rPr>
        </w:r>
        <w:r w:rsidR="00BE6D3A">
          <w:rPr>
            <w:noProof/>
            <w:webHidden/>
          </w:rPr>
          <w:fldChar w:fldCharType="separate"/>
        </w:r>
        <w:r w:rsidR="00E045AC">
          <w:rPr>
            <w:noProof/>
            <w:webHidden/>
          </w:rPr>
          <w:t>106</w:t>
        </w:r>
        <w:r w:rsidR="00BE6D3A">
          <w:rPr>
            <w:noProof/>
            <w:webHidden/>
          </w:rPr>
          <w:fldChar w:fldCharType="end"/>
        </w:r>
      </w:hyperlink>
    </w:p>
    <w:p w14:paraId="740D0062" w14:textId="13F2DC47"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97" w:history="1">
        <w:r w:rsidR="00BE6D3A" w:rsidRPr="002843AC">
          <w:rPr>
            <w:rStyle w:val="Hyperlink"/>
            <w:noProof/>
            <w:lang w:val="en-CA"/>
          </w:rPr>
          <w:t>7.2.3.2. Torture and other cruel, inhuman or degrading treatment or punishment</w:t>
        </w:r>
        <w:r w:rsidR="00BE6D3A">
          <w:rPr>
            <w:noProof/>
            <w:webHidden/>
          </w:rPr>
          <w:tab/>
        </w:r>
        <w:r w:rsidR="00BE6D3A">
          <w:rPr>
            <w:noProof/>
            <w:webHidden/>
          </w:rPr>
          <w:fldChar w:fldCharType="begin"/>
        </w:r>
        <w:r w:rsidR="00BE6D3A">
          <w:rPr>
            <w:noProof/>
            <w:webHidden/>
          </w:rPr>
          <w:instrText xml:space="preserve"> PAGEREF _Toc43382797 \h </w:instrText>
        </w:r>
        <w:r w:rsidR="00BE6D3A">
          <w:rPr>
            <w:noProof/>
            <w:webHidden/>
          </w:rPr>
        </w:r>
        <w:r w:rsidR="00BE6D3A">
          <w:rPr>
            <w:noProof/>
            <w:webHidden/>
          </w:rPr>
          <w:fldChar w:fldCharType="separate"/>
        </w:r>
        <w:r w:rsidR="00E045AC">
          <w:rPr>
            <w:noProof/>
            <w:webHidden/>
          </w:rPr>
          <w:t>106</w:t>
        </w:r>
        <w:r w:rsidR="00BE6D3A">
          <w:rPr>
            <w:noProof/>
            <w:webHidden/>
          </w:rPr>
          <w:fldChar w:fldCharType="end"/>
        </w:r>
      </w:hyperlink>
    </w:p>
    <w:p w14:paraId="31D4A504" w14:textId="02576E19"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98" w:history="1">
        <w:r w:rsidR="00BE6D3A" w:rsidRPr="002843AC">
          <w:rPr>
            <w:rStyle w:val="Hyperlink"/>
            <w:noProof/>
            <w:lang w:val="en-CA"/>
          </w:rPr>
          <w:t>7.2.3.3. Death penalty</w:t>
        </w:r>
        <w:r w:rsidR="00BE6D3A">
          <w:rPr>
            <w:noProof/>
            <w:webHidden/>
          </w:rPr>
          <w:tab/>
        </w:r>
        <w:r w:rsidR="00BE6D3A">
          <w:rPr>
            <w:noProof/>
            <w:webHidden/>
          </w:rPr>
          <w:fldChar w:fldCharType="begin"/>
        </w:r>
        <w:r w:rsidR="00BE6D3A">
          <w:rPr>
            <w:noProof/>
            <w:webHidden/>
          </w:rPr>
          <w:instrText xml:space="preserve"> PAGEREF _Toc43382798 \h </w:instrText>
        </w:r>
        <w:r w:rsidR="00BE6D3A">
          <w:rPr>
            <w:noProof/>
            <w:webHidden/>
          </w:rPr>
        </w:r>
        <w:r w:rsidR="00BE6D3A">
          <w:rPr>
            <w:noProof/>
            <w:webHidden/>
          </w:rPr>
          <w:fldChar w:fldCharType="separate"/>
        </w:r>
        <w:r w:rsidR="00E045AC">
          <w:rPr>
            <w:noProof/>
            <w:webHidden/>
          </w:rPr>
          <w:t>106</w:t>
        </w:r>
        <w:r w:rsidR="00BE6D3A">
          <w:rPr>
            <w:noProof/>
            <w:webHidden/>
          </w:rPr>
          <w:fldChar w:fldCharType="end"/>
        </w:r>
      </w:hyperlink>
    </w:p>
    <w:p w14:paraId="45CB5635" w14:textId="5561AD71" w:rsidR="00BE6D3A" w:rsidRDefault="00356280">
      <w:pPr>
        <w:pStyle w:val="TOC4"/>
        <w:tabs>
          <w:tab w:val="right" w:leader="dot" w:pos="7354"/>
        </w:tabs>
        <w:rPr>
          <w:rFonts w:asciiTheme="minorHAnsi" w:eastAsiaTheme="minorEastAsia" w:hAnsiTheme="minorHAnsi" w:cstheme="minorBidi"/>
          <w:noProof/>
          <w:color w:val="auto"/>
          <w:sz w:val="24"/>
          <w:lang w:val="en-CA" w:eastAsia="en-US"/>
        </w:rPr>
      </w:pPr>
      <w:hyperlink w:anchor="_Toc43382799" w:history="1">
        <w:r w:rsidR="00BE6D3A" w:rsidRPr="002843AC">
          <w:rPr>
            <w:rStyle w:val="Hyperlink"/>
            <w:noProof/>
            <w:lang w:val="en-CA"/>
          </w:rPr>
          <w:t>7.2.3.4. Other human rights safeguards</w:t>
        </w:r>
        <w:r w:rsidR="00BE6D3A">
          <w:rPr>
            <w:noProof/>
            <w:webHidden/>
          </w:rPr>
          <w:tab/>
        </w:r>
        <w:r w:rsidR="00BE6D3A">
          <w:rPr>
            <w:noProof/>
            <w:webHidden/>
          </w:rPr>
          <w:fldChar w:fldCharType="begin"/>
        </w:r>
        <w:r w:rsidR="00BE6D3A">
          <w:rPr>
            <w:noProof/>
            <w:webHidden/>
          </w:rPr>
          <w:instrText xml:space="preserve"> PAGEREF _Toc43382799 \h </w:instrText>
        </w:r>
        <w:r w:rsidR="00BE6D3A">
          <w:rPr>
            <w:noProof/>
            <w:webHidden/>
          </w:rPr>
        </w:r>
        <w:r w:rsidR="00BE6D3A">
          <w:rPr>
            <w:noProof/>
            <w:webHidden/>
          </w:rPr>
          <w:fldChar w:fldCharType="separate"/>
        </w:r>
        <w:r w:rsidR="00E045AC">
          <w:rPr>
            <w:noProof/>
            <w:webHidden/>
          </w:rPr>
          <w:t>107</w:t>
        </w:r>
        <w:r w:rsidR="00BE6D3A">
          <w:rPr>
            <w:noProof/>
            <w:webHidden/>
          </w:rPr>
          <w:fldChar w:fldCharType="end"/>
        </w:r>
      </w:hyperlink>
    </w:p>
    <w:p w14:paraId="24B6FB3C" w14:textId="1C875D91"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800" w:history="1">
        <w:r w:rsidR="00BE6D3A" w:rsidRPr="002843AC">
          <w:rPr>
            <w:rStyle w:val="Hyperlink"/>
            <w:noProof/>
            <w:lang w:val="en-CA"/>
          </w:rPr>
          <w:t>8. SPECIAL IMMIGRATION, POLICE AND PROSECUTOR UNITS</w:t>
        </w:r>
        <w:r w:rsidR="00BE6D3A">
          <w:rPr>
            <w:noProof/>
            <w:webHidden/>
          </w:rPr>
          <w:tab/>
        </w:r>
        <w:r w:rsidR="00BE6D3A">
          <w:rPr>
            <w:noProof/>
            <w:webHidden/>
          </w:rPr>
          <w:fldChar w:fldCharType="begin"/>
        </w:r>
        <w:r w:rsidR="00BE6D3A">
          <w:rPr>
            <w:noProof/>
            <w:webHidden/>
          </w:rPr>
          <w:instrText xml:space="preserve"> PAGEREF _Toc43382800 \h </w:instrText>
        </w:r>
        <w:r w:rsidR="00BE6D3A">
          <w:rPr>
            <w:noProof/>
            <w:webHidden/>
          </w:rPr>
        </w:r>
        <w:r w:rsidR="00BE6D3A">
          <w:rPr>
            <w:noProof/>
            <w:webHidden/>
          </w:rPr>
          <w:fldChar w:fldCharType="separate"/>
        </w:r>
        <w:r w:rsidR="00E045AC">
          <w:rPr>
            <w:noProof/>
            <w:webHidden/>
          </w:rPr>
          <w:t>108</w:t>
        </w:r>
        <w:r w:rsidR="00BE6D3A">
          <w:rPr>
            <w:noProof/>
            <w:webHidden/>
          </w:rPr>
          <w:fldChar w:fldCharType="end"/>
        </w:r>
      </w:hyperlink>
    </w:p>
    <w:p w14:paraId="1AD0E752" w14:textId="505D30DA"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801" w:history="1">
        <w:r w:rsidR="00BE6D3A" w:rsidRPr="002843AC">
          <w:rPr>
            <w:rStyle w:val="Hyperlink"/>
            <w:noProof/>
            <w:lang w:val="en-CA"/>
          </w:rPr>
          <w:t>8.1. Crimes Against Humanity and War Crimes Program</w:t>
        </w:r>
        <w:r w:rsidR="00BE6D3A">
          <w:rPr>
            <w:noProof/>
            <w:webHidden/>
          </w:rPr>
          <w:tab/>
        </w:r>
        <w:r w:rsidR="00BE6D3A">
          <w:rPr>
            <w:noProof/>
            <w:webHidden/>
          </w:rPr>
          <w:fldChar w:fldCharType="begin"/>
        </w:r>
        <w:r w:rsidR="00BE6D3A">
          <w:rPr>
            <w:noProof/>
            <w:webHidden/>
          </w:rPr>
          <w:instrText xml:space="preserve"> PAGEREF _Toc43382801 \h </w:instrText>
        </w:r>
        <w:r w:rsidR="00BE6D3A">
          <w:rPr>
            <w:noProof/>
            <w:webHidden/>
          </w:rPr>
        </w:r>
        <w:r w:rsidR="00BE6D3A">
          <w:rPr>
            <w:noProof/>
            <w:webHidden/>
          </w:rPr>
          <w:fldChar w:fldCharType="separate"/>
        </w:r>
        <w:r w:rsidR="00E045AC">
          <w:rPr>
            <w:noProof/>
            <w:webHidden/>
          </w:rPr>
          <w:t>108</w:t>
        </w:r>
        <w:r w:rsidR="00BE6D3A">
          <w:rPr>
            <w:noProof/>
            <w:webHidden/>
          </w:rPr>
          <w:fldChar w:fldCharType="end"/>
        </w:r>
      </w:hyperlink>
    </w:p>
    <w:p w14:paraId="5B46E2F2" w14:textId="70D0B8DF"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802" w:history="1">
        <w:r w:rsidR="00BE6D3A" w:rsidRPr="002843AC">
          <w:rPr>
            <w:rStyle w:val="Hyperlink"/>
            <w:noProof/>
            <w:lang w:val="en-CA"/>
          </w:rPr>
          <w:t>8.2. Special immigration units</w:t>
        </w:r>
        <w:r w:rsidR="00BE6D3A">
          <w:rPr>
            <w:noProof/>
            <w:webHidden/>
          </w:rPr>
          <w:tab/>
        </w:r>
        <w:r w:rsidR="00BE6D3A">
          <w:rPr>
            <w:noProof/>
            <w:webHidden/>
          </w:rPr>
          <w:fldChar w:fldCharType="begin"/>
        </w:r>
        <w:r w:rsidR="00BE6D3A">
          <w:rPr>
            <w:noProof/>
            <w:webHidden/>
          </w:rPr>
          <w:instrText xml:space="preserve"> PAGEREF _Toc43382802 \h </w:instrText>
        </w:r>
        <w:r w:rsidR="00BE6D3A">
          <w:rPr>
            <w:noProof/>
            <w:webHidden/>
          </w:rPr>
        </w:r>
        <w:r w:rsidR="00BE6D3A">
          <w:rPr>
            <w:noProof/>
            <w:webHidden/>
          </w:rPr>
          <w:fldChar w:fldCharType="separate"/>
        </w:r>
        <w:r w:rsidR="00E045AC">
          <w:rPr>
            <w:noProof/>
            <w:webHidden/>
          </w:rPr>
          <w:t>110</w:t>
        </w:r>
        <w:r w:rsidR="00BE6D3A">
          <w:rPr>
            <w:noProof/>
            <w:webHidden/>
          </w:rPr>
          <w:fldChar w:fldCharType="end"/>
        </w:r>
      </w:hyperlink>
    </w:p>
    <w:p w14:paraId="497D338F" w14:textId="50FFB893"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803" w:history="1">
        <w:r w:rsidR="00BE6D3A" w:rsidRPr="002843AC">
          <w:rPr>
            <w:rStyle w:val="Hyperlink"/>
            <w:noProof/>
            <w:lang w:val="en-CA"/>
          </w:rPr>
          <w:t>8.2.1. immigration, refugees and citizenship canada</w:t>
        </w:r>
        <w:r w:rsidR="00BE6D3A">
          <w:rPr>
            <w:noProof/>
            <w:webHidden/>
          </w:rPr>
          <w:tab/>
        </w:r>
        <w:r w:rsidR="00BE6D3A">
          <w:rPr>
            <w:noProof/>
            <w:webHidden/>
          </w:rPr>
          <w:fldChar w:fldCharType="begin"/>
        </w:r>
        <w:r w:rsidR="00BE6D3A">
          <w:rPr>
            <w:noProof/>
            <w:webHidden/>
          </w:rPr>
          <w:instrText xml:space="preserve"> PAGEREF _Toc43382803 \h </w:instrText>
        </w:r>
        <w:r w:rsidR="00BE6D3A">
          <w:rPr>
            <w:noProof/>
            <w:webHidden/>
          </w:rPr>
        </w:r>
        <w:r w:rsidR="00BE6D3A">
          <w:rPr>
            <w:noProof/>
            <w:webHidden/>
          </w:rPr>
          <w:fldChar w:fldCharType="separate"/>
        </w:r>
        <w:r w:rsidR="00E045AC">
          <w:rPr>
            <w:noProof/>
            <w:webHidden/>
          </w:rPr>
          <w:t>110</w:t>
        </w:r>
        <w:r w:rsidR="00BE6D3A">
          <w:rPr>
            <w:noProof/>
            <w:webHidden/>
          </w:rPr>
          <w:fldChar w:fldCharType="end"/>
        </w:r>
      </w:hyperlink>
    </w:p>
    <w:p w14:paraId="632FC007" w14:textId="4FBEB195"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804" w:history="1">
        <w:r w:rsidR="00BE6D3A" w:rsidRPr="002843AC">
          <w:rPr>
            <w:rStyle w:val="Hyperlink"/>
            <w:noProof/>
            <w:lang w:val="en-CA"/>
          </w:rPr>
          <w:t>8.2.2. Canadia Border Services Agency</w:t>
        </w:r>
        <w:r w:rsidR="00BE6D3A">
          <w:rPr>
            <w:noProof/>
            <w:webHidden/>
          </w:rPr>
          <w:tab/>
        </w:r>
        <w:r w:rsidR="00BE6D3A">
          <w:rPr>
            <w:noProof/>
            <w:webHidden/>
          </w:rPr>
          <w:fldChar w:fldCharType="begin"/>
        </w:r>
        <w:r w:rsidR="00BE6D3A">
          <w:rPr>
            <w:noProof/>
            <w:webHidden/>
          </w:rPr>
          <w:instrText xml:space="preserve"> PAGEREF _Toc43382804 \h </w:instrText>
        </w:r>
        <w:r w:rsidR="00BE6D3A">
          <w:rPr>
            <w:noProof/>
            <w:webHidden/>
          </w:rPr>
        </w:r>
        <w:r w:rsidR="00BE6D3A">
          <w:rPr>
            <w:noProof/>
            <w:webHidden/>
          </w:rPr>
          <w:fldChar w:fldCharType="separate"/>
        </w:r>
        <w:r w:rsidR="00E045AC">
          <w:rPr>
            <w:noProof/>
            <w:webHidden/>
          </w:rPr>
          <w:t>111</w:t>
        </w:r>
        <w:r w:rsidR="00BE6D3A">
          <w:rPr>
            <w:noProof/>
            <w:webHidden/>
          </w:rPr>
          <w:fldChar w:fldCharType="end"/>
        </w:r>
      </w:hyperlink>
    </w:p>
    <w:p w14:paraId="39E6A688" w14:textId="25D93913"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805" w:history="1">
        <w:r w:rsidR="00BE6D3A" w:rsidRPr="002843AC">
          <w:rPr>
            <w:rStyle w:val="Hyperlink"/>
            <w:noProof/>
            <w:lang w:val="en-CA"/>
          </w:rPr>
          <w:t>8.3. Special police units</w:t>
        </w:r>
        <w:r w:rsidR="00BE6D3A">
          <w:rPr>
            <w:noProof/>
            <w:webHidden/>
          </w:rPr>
          <w:tab/>
        </w:r>
        <w:r w:rsidR="00BE6D3A">
          <w:rPr>
            <w:noProof/>
            <w:webHidden/>
          </w:rPr>
          <w:fldChar w:fldCharType="begin"/>
        </w:r>
        <w:r w:rsidR="00BE6D3A">
          <w:rPr>
            <w:noProof/>
            <w:webHidden/>
          </w:rPr>
          <w:instrText xml:space="preserve"> PAGEREF _Toc43382805 \h </w:instrText>
        </w:r>
        <w:r w:rsidR="00BE6D3A">
          <w:rPr>
            <w:noProof/>
            <w:webHidden/>
          </w:rPr>
        </w:r>
        <w:r w:rsidR="00BE6D3A">
          <w:rPr>
            <w:noProof/>
            <w:webHidden/>
          </w:rPr>
          <w:fldChar w:fldCharType="separate"/>
        </w:r>
        <w:r w:rsidR="00E045AC">
          <w:rPr>
            <w:noProof/>
            <w:webHidden/>
          </w:rPr>
          <w:t>112</w:t>
        </w:r>
        <w:r w:rsidR="00BE6D3A">
          <w:rPr>
            <w:noProof/>
            <w:webHidden/>
          </w:rPr>
          <w:fldChar w:fldCharType="end"/>
        </w:r>
      </w:hyperlink>
    </w:p>
    <w:p w14:paraId="608F8F03" w14:textId="60C682E3"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806" w:history="1">
        <w:r w:rsidR="00BE6D3A" w:rsidRPr="002843AC">
          <w:rPr>
            <w:rStyle w:val="Hyperlink"/>
            <w:noProof/>
            <w:lang w:val="en-CA"/>
          </w:rPr>
          <w:t>8.4. Special prosecution units</w:t>
        </w:r>
        <w:r w:rsidR="00BE6D3A">
          <w:rPr>
            <w:noProof/>
            <w:webHidden/>
          </w:rPr>
          <w:tab/>
        </w:r>
        <w:r w:rsidR="00BE6D3A">
          <w:rPr>
            <w:noProof/>
            <w:webHidden/>
          </w:rPr>
          <w:fldChar w:fldCharType="begin"/>
        </w:r>
        <w:r w:rsidR="00BE6D3A">
          <w:rPr>
            <w:noProof/>
            <w:webHidden/>
          </w:rPr>
          <w:instrText xml:space="preserve"> PAGEREF _Toc43382806 \h </w:instrText>
        </w:r>
        <w:r w:rsidR="00BE6D3A">
          <w:rPr>
            <w:noProof/>
            <w:webHidden/>
          </w:rPr>
        </w:r>
        <w:r w:rsidR="00BE6D3A">
          <w:rPr>
            <w:noProof/>
            <w:webHidden/>
          </w:rPr>
          <w:fldChar w:fldCharType="separate"/>
        </w:r>
        <w:r w:rsidR="00E045AC">
          <w:rPr>
            <w:noProof/>
            <w:webHidden/>
          </w:rPr>
          <w:t>112</w:t>
        </w:r>
        <w:r w:rsidR="00BE6D3A">
          <w:rPr>
            <w:noProof/>
            <w:webHidden/>
          </w:rPr>
          <w:fldChar w:fldCharType="end"/>
        </w:r>
      </w:hyperlink>
    </w:p>
    <w:p w14:paraId="7E6E5D99" w14:textId="7798BDA0"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807" w:history="1">
        <w:r w:rsidR="00BE6D3A" w:rsidRPr="002843AC">
          <w:rPr>
            <w:rStyle w:val="Hyperlink"/>
            <w:noProof/>
            <w:lang w:val="en-CA"/>
          </w:rPr>
          <w:t>8.5. Results</w:t>
        </w:r>
        <w:r w:rsidR="00BE6D3A">
          <w:rPr>
            <w:noProof/>
            <w:webHidden/>
          </w:rPr>
          <w:tab/>
        </w:r>
        <w:r w:rsidR="00BE6D3A">
          <w:rPr>
            <w:noProof/>
            <w:webHidden/>
          </w:rPr>
          <w:fldChar w:fldCharType="begin"/>
        </w:r>
        <w:r w:rsidR="00BE6D3A">
          <w:rPr>
            <w:noProof/>
            <w:webHidden/>
          </w:rPr>
          <w:instrText xml:space="preserve"> PAGEREF _Toc43382807 \h </w:instrText>
        </w:r>
        <w:r w:rsidR="00BE6D3A">
          <w:rPr>
            <w:noProof/>
            <w:webHidden/>
          </w:rPr>
        </w:r>
        <w:r w:rsidR="00BE6D3A">
          <w:rPr>
            <w:noProof/>
            <w:webHidden/>
          </w:rPr>
          <w:fldChar w:fldCharType="separate"/>
        </w:r>
        <w:r w:rsidR="00E045AC">
          <w:rPr>
            <w:noProof/>
            <w:webHidden/>
          </w:rPr>
          <w:t>113</w:t>
        </w:r>
        <w:r w:rsidR="00BE6D3A">
          <w:rPr>
            <w:noProof/>
            <w:webHidden/>
          </w:rPr>
          <w:fldChar w:fldCharType="end"/>
        </w:r>
      </w:hyperlink>
    </w:p>
    <w:p w14:paraId="6B09ABEB" w14:textId="2213DF86"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808" w:history="1">
        <w:r w:rsidR="00BE6D3A" w:rsidRPr="002843AC">
          <w:rPr>
            <w:rStyle w:val="Hyperlink"/>
            <w:noProof/>
            <w:lang w:val="en-CA"/>
          </w:rPr>
          <w:t>9. JURISPRUDENCE</w:t>
        </w:r>
        <w:r w:rsidR="00BE6D3A">
          <w:rPr>
            <w:noProof/>
            <w:webHidden/>
          </w:rPr>
          <w:tab/>
        </w:r>
        <w:r w:rsidR="00BE6D3A">
          <w:rPr>
            <w:noProof/>
            <w:webHidden/>
          </w:rPr>
          <w:fldChar w:fldCharType="begin"/>
        </w:r>
        <w:r w:rsidR="00BE6D3A">
          <w:rPr>
            <w:noProof/>
            <w:webHidden/>
          </w:rPr>
          <w:instrText xml:space="preserve"> PAGEREF _Toc43382808 \h </w:instrText>
        </w:r>
        <w:r w:rsidR="00BE6D3A">
          <w:rPr>
            <w:noProof/>
            <w:webHidden/>
          </w:rPr>
        </w:r>
        <w:r w:rsidR="00BE6D3A">
          <w:rPr>
            <w:noProof/>
            <w:webHidden/>
          </w:rPr>
          <w:fldChar w:fldCharType="separate"/>
        </w:r>
        <w:r w:rsidR="00E045AC">
          <w:rPr>
            <w:noProof/>
            <w:webHidden/>
          </w:rPr>
          <w:t>116</w:t>
        </w:r>
        <w:r w:rsidR="00BE6D3A">
          <w:rPr>
            <w:noProof/>
            <w:webHidden/>
          </w:rPr>
          <w:fldChar w:fldCharType="end"/>
        </w:r>
      </w:hyperlink>
    </w:p>
    <w:p w14:paraId="6D154197" w14:textId="241ED5BA"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809" w:history="1">
        <w:r w:rsidR="00BE6D3A" w:rsidRPr="002843AC">
          <w:rPr>
            <w:rStyle w:val="Hyperlink"/>
            <w:caps/>
            <w:noProof/>
            <w:lang w:val="en-CA"/>
          </w:rPr>
          <w:t>9.1 Overview</w:t>
        </w:r>
        <w:r w:rsidR="00BE6D3A">
          <w:rPr>
            <w:noProof/>
            <w:webHidden/>
          </w:rPr>
          <w:tab/>
        </w:r>
        <w:r w:rsidR="00BE6D3A">
          <w:rPr>
            <w:noProof/>
            <w:webHidden/>
          </w:rPr>
          <w:fldChar w:fldCharType="begin"/>
        </w:r>
        <w:r w:rsidR="00BE6D3A">
          <w:rPr>
            <w:noProof/>
            <w:webHidden/>
          </w:rPr>
          <w:instrText xml:space="preserve"> PAGEREF _Toc43382809 \h </w:instrText>
        </w:r>
        <w:r w:rsidR="00BE6D3A">
          <w:rPr>
            <w:noProof/>
            <w:webHidden/>
          </w:rPr>
        </w:r>
        <w:r w:rsidR="00BE6D3A">
          <w:rPr>
            <w:noProof/>
            <w:webHidden/>
          </w:rPr>
          <w:fldChar w:fldCharType="separate"/>
        </w:r>
        <w:r w:rsidR="00E045AC">
          <w:rPr>
            <w:noProof/>
            <w:webHidden/>
          </w:rPr>
          <w:t>116</w:t>
        </w:r>
        <w:r w:rsidR="00BE6D3A">
          <w:rPr>
            <w:noProof/>
            <w:webHidden/>
          </w:rPr>
          <w:fldChar w:fldCharType="end"/>
        </w:r>
      </w:hyperlink>
    </w:p>
    <w:p w14:paraId="63823B5C" w14:textId="0DD70B33"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810" w:history="1">
        <w:r w:rsidR="00BE6D3A" w:rsidRPr="002843AC">
          <w:rPr>
            <w:rStyle w:val="Hyperlink"/>
            <w:caps/>
            <w:noProof/>
            <w:lang w:val="en-CA"/>
          </w:rPr>
          <w:t>9.2 Cases prosecuted before the adoption of the War Crimes and Crimes Against Humanity Act</w:t>
        </w:r>
        <w:r w:rsidR="00BE6D3A">
          <w:rPr>
            <w:noProof/>
            <w:webHidden/>
          </w:rPr>
          <w:tab/>
        </w:r>
        <w:r w:rsidR="00BE6D3A">
          <w:rPr>
            <w:noProof/>
            <w:webHidden/>
          </w:rPr>
          <w:fldChar w:fldCharType="begin"/>
        </w:r>
        <w:r w:rsidR="00BE6D3A">
          <w:rPr>
            <w:noProof/>
            <w:webHidden/>
          </w:rPr>
          <w:instrText xml:space="preserve"> PAGEREF _Toc43382810 \h </w:instrText>
        </w:r>
        <w:r w:rsidR="00BE6D3A">
          <w:rPr>
            <w:noProof/>
            <w:webHidden/>
          </w:rPr>
        </w:r>
        <w:r w:rsidR="00BE6D3A">
          <w:rPr>
            <w:noProof/>
            <w:webHidden/>
          </w:rPr>
          <w:fldChar w:fldCharType="separate"/>
        </w:r>
        <w:r w:rsidR="00E045AC">
          <w:rPr>
            <w:noProof/>
            <w:webHidden/>
          </w:rPr>
          <w:t>116</w:t>
        </w:r>
        <w:r w:rsidR="00BE6D3A">
          <w:rPr>
            <w:noProof/>
            <w:webHidden/>
          </w:rPr>
          <w:fldChar w:fldCharType="end"/>
        </w:r>
      </w:hyperlink>
    </w:p>
    <w:p w14:paraId="162C1BDB" w14:textId="4F0135CF"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811" w:history="1">
        <w:r w:rsidR="00BE6D3A" w:rsidRPr="002843AC">
          <w:rPr>
            <w:rStyle w:val="Hyperlink"/>
            <w:noProof/>
            <w:lang w:val="en-CA"/>
          </w:rPr>
          <w:t>9.2.1. R v. Finta</w:t>
        </w:r>
        <w:r w:rsidR="00BE6D3A">
          <w:rPr>
            <w:noProof/>
            <w:webHidden/>
          </w:rPr>
          <w:tab/>
        </w:r>
        <w:r w:rsidR="00BE6D3A">
          <w:rPr>
            <w:noProof/>
            <w:webHidden/>
          </w:rPr>
          <w:fldChar w:fldCharType="begin"/>
        </w:r>
        <w:r w:rsidR="00BE6D3A">
          <w:rPr>
            <w:noProof/>
            <w:webHidden/>
          </w:rPr>
          <w:instrText xml:space="preserve"> PAGEREF _Toc43382811 \h </w:instrText>
        </w:r>
        <w:r w:rsidR="00BE6D3A">
          <w:rPr>
            <w:noProof/>
            <w:webHidden/>
          </w:rPr>
        </w:r>
        <w:r w:rsidR="00BE6D3A">
          <w:rPr>
            <w:noProof/>
            <w:webHidden/>
          </w:rPr>
          <w:fldChar w:fldCharType="separate"/>
        </w:r>
        <w:r w:rsidR="00E045AC">
          <w:rPr>
            <w:noProof/>
            <w:webHidden/>
          </w:rPr>
          <w:t>116</w:t>
        </w:r>
        <w:r w:rsidR="00BE6D3A">
          <w:rPr>
            <w:noProof/>
            <w:webHidden/>
          </w:rPr>
          <w:fldChar w:fldCharType="end"/>
        </w:r>
      </w:hyperlink>
    </w:p>
    <w:p w14:paraId="35355575" w14:textId="72828471"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812" w:history="1">
        <w:r w:rsidR="00BE6D3A" w:rsidRPr="002843AC">
          <w:rPr>
            <w:rStyle w:val="Hyperlink"/>
            <w:caps/>
            <w:noProof/>
            <w:lang w:val="en-CA"/>
          </w:rPr>
          <w:t>9.3 Cases prosecuted after the adoption of the War Crimes and Crimes Against Humanity act</w:t>
        </w:r>
        <w:r w:rsidR="00BE6D3A">
          <w:rPr>
            <w:noProof/>
            <w:webHidden/>
          </w:rPr>
          <w:tab/>
        </w:r>
        <w:r w:rsidR="00BE6D3A">
          <w:rPr>
            <w:noProof/>
            <w:webHidden/>
          </w:rPr>
          <w:fldChar w:fldCharType="begin"/>
        </w:r>
        <w:r w:rsidR="00BE6D3A">
          <w:rPr>
            <w:noProof/>
            <w:webHidden/>
          </w:rPr>
          <w:instrText xml:space="preserve"> PAGEREF _Toc43382812 \h </w:instrText>
        </w:r>
        <w:r w:rsidR="00BE6D3A">
          <w:rPr>
            <w:noProof/>
            <w:webHidden/>
          </w:rPr>
        </w:r>
        <w:r w:rsidR="00BE6D3A">
          <w:rPr>
            <w:noProof/>
            <w:webHidden/>
          </w:rPr>
          <w:fldChar w:fldCharType="separate"/>
        </w:r>
        <w:r w:rsidR="00E045AC">
          <w:rPr>
            <w:noProof/>
            <w:webHidden/>
          </w:rPr>
          <w:t>117</w:t>
        </w:r>
        <w:r w:rsidR="00BE6D3A">
          <w:rPr>
            <w:noProof/>
            <w:webHidden/>
          </w:rPr>
          <w:fldChar w:fldCharType="end"/>
        </w:r>
      </w:hyperlink>
    </w:p>
    <w:p w14:paraId="5A1C4C7C" w14:textId="25BD0D9B"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813" w:history="1">
        <w:r w:rsidR="00BE6D3A" w:rsidRPr="002843AC">
          <w:rPr>
            <w:rStyle w:val="Hyperlink"/>
            <w:noProof/>
            <w:lang w:val="en-CA"/>
          </w:rPr>
          <w:t>9.3.1 R v. Munyaneza</w:t>
        </w:r>
        <w:r w:rsidR="00BE6D3A">
          <w:rPr>
            <w:noProof/>
            <w:webHidden/>
          </w:rPr>
          <w:tab/>
        </w:r>
        <w:r w:rsidR="00BE6D3A">
          <w:rPr>
            <w:noProof/>
            <w:webHidden/>
          </w:rPr>
          <w:fldChar w:fldCharType="begin"/>
        </w:r>
        <w:r w:rsidR="00BE6D3A">
          <w:rPr>
            <w:noProof/>
            <w:webHidden/>
          </w:rPr>
          <w:instrText xml:space="preserve"> PAGEREF _Toc43382813 \h </w:instrText>
        </w:r>
        <w:r w:rsidR="00BE6D3A">
          <w:rPr>
            <w:noProof/>
            <w:webHidden/>
          </w:rPr>
        </w:r>
        <w:r w:rsidR="00BE6D3A">
          <w:rPr>
            <w:noProof/>
            <w:webHidden/>
          </w:rPr>
          <w:fldChar w:fldCharType="separate"/>
        </w:r>
        <w:r w:rsidR="00E045AC">
          <w:rPr>
            <w:noProof/>
            <w:webHidden/>
          </w:rPr>
          <w:t>117</w:t>
        </w:r>
        <w:r w:rsidR="00BE6D3A">
          <w:rPr>
            <w:noProof/>
            <w:webHidden/>
          </w:rPr>
          <w:fldChar w:fldCharType="end"/>
        </w:r>
      </w:hyperlink>
    </w:p>
    <w:p w14:paraId="0AAF08DE" w14:textId="347F5268"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814" w:history="1">
        <w:r w:rsidR="00BE6D3A" w:rsidRPr="002843AC">
          <w:rPr>
            <w:rStyle w:val="Hyperlink"/>
            <w:noProof/>
            <w:lang w:val="en-CA"/>
          </w:rPr>
          <w:t>9.3.2 R v. Mungwarere</w:t>
        </w:r>
        <w:r w:rsidR="00BE6D3A">
          <w:rPr>
            <w:noProof/>
            <w:webHidden/>
          </w:rPr>
          <w:tab/>
        </w:r>
        <w:r w:rsidR="00BE6D3A">
          <w:rPr>
            <w:noProof/>
            <w:webHidden/>
          </w:rPr>
          <w:fldChar w:fldCharType="begin"/>
        </w:r>
        <w:r w:rsidR="00BE6D3A">
          <w:rPr>
            <w:noProof/>
            <w:webHidden/>
          </w:rPr>
          <w:instrText xml:space="preserve"> PAGEREF _Toc43382814 \h </w:instrText>
        </w:r>
        <w:r w:rsidR="00BE6D3A">
          <w:rPr>
            <w:noProof/>
            <w:webHidden/>
          </w:rPr>
        </w:r>
        <w:r w:rsidR="00BE6D3A">
          <w:rPr>
            <w:noProof/>
            <w:webHidden/>
          </w:rPr>
          <w:fldChar w:fldCharType="separate"/>
        </w:r>
        <w:r w:rsidR="00E045AC">
          <w:rPr>
            <w:noProof/>
            <w:webHidden/>
          </w:rPr>
          <w:t>119</w:t>
        </w:r>
        <w:r w:rsidR="00BE6D3A">
          <w:rPr>
            <w:noProof/>
            <w:webHidden/>
          </w:rPr>
          <w:fldChar w:fldCharType="end"/>
        </w:r>
      </w:hyperlink>
    </w:p>
    <w:p w14:paraId="77F3DBA0" w14:textId="113548CB" w:rsidR="00BE6D3A" w:rsidRDefault="00356280">
      <w:pPr>
        <w:pStyle w:val="TOC2"/>
        <w:tabs>
          <w:tab w:val="right" w:leader="dot" w:pos="7354"/>
        </w:tabs>
        <w:rPr>
          <w:rFonts w:asciiTheme="minorHAnsi" w:eastAsiaTheme="minorEastAsia" w:hAnsiTheme="minorHAnsi" w:cstheme="minorBidi"/>
          <w:noProof/>
          <w:color w:val="auto"/>
          <w:sz w:val="24"/>
          <w:lang w:val="en-CA" w:eastAsia="en-US"/>
        </w:rPr>
      </w:pPr>
      <w:hyperlink w:anchor="_Toc43382815" w:history="1">
        <w:r w:rsidR="00BE6D3A" w:rsidRPr="002843AC">
          <w:rPr>
            <w:rStyle w:val="Hyperlink"/>
            <w:caps/>
            <w:noProof/>
            <w:lang w:val="en-CA"/>
          </w:rPr>
          <w:t>9.4 Other important cases</w:t>
        </w:r>
        <w:r w:rsidR="00BE6D3A">
          <w:rPr>
            <w:noProof/>
            <w:webHidden/>
          </w:rPr>
          <w:tab/>
        </w:r>
        <w:r w:rsidR="00BE6D3A">
          <w:rPr>
            <w:noProof/>
            <w:webHidden/>
          </w:rPr>
          <w:fldChar w:fldCharType="begin"/>
        </w:r>
        <w:r w:rsidR="00BE6D3A">
          <w:rPr>
            <w:noProof/>
            <w:webHidden/>
          </w:rPr>
          <w:instrText xml:space="preserve"> PAGEREF _Toc43382815 \h </w:instrText>
        </w:r>
        <w:r w:rsidR="00BE6D3A">
          <w:rPr>
            <w:noProof/>
            <w:webHidden/>
          </w:rPr>
        </w:r>
        <w:r w:rsidR="00BE6D3A">
          <w:rPr>
            <w:noProof/>
            <w:webHidden/>
          </w:rPr>
          <w:fldChar w:fldCharType="separate"/>
        </w:r>
        <w:r w:rsidR="00E045AC">
          <w:rPr>
            <w:noProof/>
            <w:webHidden/>
          </w:rPr>
          <w:t>119</w:t>
        </w:r>
        <w:r w:rsidR="00BE6D3A">
          <w:rPr>
            <w:noProof/>
            <w:webHidden/>
          </w:rPr>
          <w:fldChar w:fldCharType="end"/>
        </w:r>
      </w:hyperlink>
    </w:p>
    <w:p w14:paraId="613D850E" w14:textId="70D5CD32"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816" w:history="1">
        <w:r w:rsidR="00BE6D3A" w:rsidRPr="002843AC">
          <w:rPr>
            <w:rStyle w:val="Hyperlink"/>
            <w:noProof/>
            <w:lang w:val="en-CA"/>
          </w:rPr>
          <w:t>9.4.1 R. v. Mugesera</w:t>
        </w:r>
        <w:r w:rsidR="00BE6D3A">
          <w:rPr>
            <w:noProof/>
            <w:webHidden/>
          </w:rPr>
          <w:tab/>
        </w:r>
        <w:r w:rsidR="00BE6D3A">
          <w:rPr>
            <w:noProof/>
            <w:webHidden/>
          </w:rPr>
          <w:fldChar w:fldCharType="begin"/>
        </w:r>
        <w:r w:rsidR="00BE6D3A">
          <w:rPr>
            <w:noProof/>
            <w:webHidden/>
          </w:rPr>
          <w:instrText xml:space="preserve"> PAGEREF _Toc43382816 \h </w:instrText>
        </w:r>
        <w:r w:rsidR="00BE6D3A">
          <w:rPr>
            <w:noProof/>
            <w:webHidden/>
          </w:rPr>
        </w:r>
        <w:r w:rsidR="00BE6D3A">
          <w:rPr>
            <w:noProof/>
            <w:webHidden/>
          </w:rPr>
          <w:fldChar w:fldCharType="separate"/>
        </w:r>
        <w:r w:rsidR="00E045AC">
          <w:rPr>
            <w:noProof/>
            <w:webHidden/>
          </w:rPr>
          <w:t>119</w:t>
        </w:r>
        <w:r w:rsidR="00BE6D3A">
          <w:rPr>
            <w:noProof/>
            <w:webHidden/>
          </w:rPr>
          <w:fldChar w:fldCharType="end"/>
        </w:r>
      </w:hyperlink>
    </w:p>
    <w:p w14:paraId="102654B6" w14:textId="5E720E96" w:rsidR="00BE6D3A" w:rsidRDefault="00356280">
      <w:pPr>
        <w:pStyle w:val="TOC3"/>
        <w:tabs>
          <w:tab w:val="right" w:leader="dot" w:pos="7354"/>
        </w:tabs>
        <w:rPr>
          <w:rFonts w:asciiTheme="minorHAnsi" w:eastAsiaTheme="minorEastAsia" w:hAnsiTheme="minorHAnsi" w:cstheme="minorBidi"/>
          <w:noProof/>
          <w:color w:val="auto"/>
          <w:sz w:val="24"/>
          <w:lang w:val="en-CA" w:eastAsia="en-US"/>
        </w:rPr>
      </w:pPr>
      <w:hyperlink w:anchor="_Toc43382817" w:history="1">
        <w:r w:rsidR="00BE6D3A" w:rsidRPr="002843AC">
          <w:rPr>
            <w:rStyle w:val="Hyperlink"/>
            <w:noProof/>
            <w:lang w:val="en-CA"/>
          </w:rPr>
          <w:t>9.4.2 Ezokola v Canada (Citizenship and immigraiton), 2013 SCC 40</w:t>
        </w:r>
        <w:r w:rsidR="00BE6D3A">
          <w:rPr>
            <w:noProof/>
            <w:webHidden/>
          </w:rPr>
          <w:tab/>
        </w:r>
        <w:r w:rsidR="00BE6D3A">
          <w:rPr>
            <w:noProof/>
            <w:webHidden/>
          </w:rPr>
          <w:fldChar w:fldCharType="begin"/>
        </w:r>
        <w:r w:rsidR="00BE6D3A">
          <w:rPr>
            <w:noProof/>
            <w:webHidden/>
          </w:rPr>
          <w:instrText xml:space="preserve"> PAGEREF _Toc43382817 \h </w:instrText>
        </w:r>
        <w:r w:rsidR="00BE6D3A">
          <w:rPr>
            <w:noProof/>
            <w:webHidden/>
          </w:rPr>
        </w:r>
        <w:r w:rsidR="00BE6D3A">
          <w:rPr>
            <w:noProof/>
            <w:webHidden/>
          </w:rPr>
          <w:fldChar w:fldCharType="separate"/>
        </w:r>
        <w:r w:rsidR="00E045AC">
          <w:rPr>
            <w:noProof/>
            <w:webHidden/>
          </w:rPr>
          <w:t>121</w:t>
        </w:r>
        <w:r w:rsidR="00BE6D3A">
          <w:rPr>
            <w:noProof/>
            <w:webHidden/>
          </w:rPr>
          <w:fldChar w:fldCharType="end"/>
        </w:r>
      </w:hyperlink>
    </w:p>
    <w:p w14:paraId="298C8FCD" w14:textId="07ADFDFD"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818" w:history="1">
        <w:r w:rsidR="00BE6D3A" w:rsidRPr="002843AC">
          <w:rPr>
            <w:rStyle w:val="Hyperlink"/>
            <w:noProof/>
            <w:lang w:val="en-CA"/>
          </w:rPr>
          <w:t>RECOMMENDATIONS</w:t>
        </w:r>
        <w:r w:rsidR="00BE6D3A">
          <w:rPr>
            <w:noProof/>
            <w:webHidden/>
          </w:rPr>
          <w:tab/>
        </w:r>
        <w:r w:rsidR="00BE6D3A">
          <w:rPr>
            <w:noProof/>
            <w:webHidden/>
          </w:rPr>
          <w:fldChar w:fldCharType="begin"/>
        </w:r>
        <w:r w:rsidR="00BE6D3A">
          <w:rPr>
            <w:noProof/>
            <w:webHidden/>
          </w:rPr>
          <w:instrText xml:space="preserve"> PAGEREF _Toc43382818 \h </w:instrText>
        </w:r>
        <w:r w:rsidR="00BE6D3A">
          <w:rPr>
            <w:noProof/>
            <w:webHidden/>
          </w:rPr>
        </w:r>
        <w:r w:rsidR="00BE6D3A">
          <w:rPr>
            <w:noProof/>
            <w:webHidden/>
          </w:rPr>
          <w:fldChar w:fldCharType="separate"/>
        </w:r>
        <w:r w:rsidR="00E045AC">
          <w:rPr>
            <w:noProof/>
            <w:webHidden/>
          </w:rPr>
          <w:t>123</w:t>
        </w:r>
        <w:r w:rsidR="00BE6D3A">
          <w:rPr>
            <w:noProof/>
            <w:webHidden/>
          </w:rPr>
          <w:fldChar w:fldCharType="end"/>
        </w:r>
      </w:hyperlink>
    </w:p>
    <w:p w14:paraId="10758278" w14:textId="3E1D368B"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819" w:history="1">
        <w:r w:rsidR="00BE6D3A" w:rsidRPr="002843AC">
          <w:rPr>
            <w:rStyle w:val="Hyperlink"/>
            <w:noProof/>
            <w:lang w:val="en-CA"/>
          </w:rPr>
          <w:t>BIBLIOGRAPHY</w:t>
        </w:r>
        <w:r w:rsidR="00BE6D3A">
          <w:rPr>
            <w:noProof/>
            <w:webHidden/>
          </w:rPr>
          <w:tab/>
        </w:r>
        <w:r w:rsidR="00BE6D3A">
          <w:rPr>
            <w:noProof/>
            <w:webHidden/>
          </w:rPr>
          <w:fldChar w:fldCharType="begin"/>
        </w:r>
        <w:r w:rsidR="00BE6D3A">
          <w:rPr>
            <w:noProof/>
            <w:webHidden/>
          </w:rPr>
          <w:instrText xml:space="preserve"> PAGEREF _Toc43382819 \h </w:instrText>
        </w:r>
        <w:r w:rsidR="00BE6D3A">
          <w:rPr>
            <w:noProof/>
            <w:webHidden/>
          </w:rPr>
        </w:r>
        <w:r w:rsidR="00BE6D3A">
          <w:rPr>
            <w:noProof/>
            <w:webHidden/>
          </w:rPr>
          <w:fldChar w:fldCharType="separate"/>
        </w:r>
        <w:r w:rsidR="00E045AC">
          <w:rPr>
            <w:noProof/>
            <w:webHidden/>
          </w:rPr>
          <w:t>127</w:t>
        </w:r>
        <w:r w:rsidR="00BE6D3A">
          <w:rPr>
            <w:noProof/>
            <w:webHidden/>
          </w:rPr>
          <w:fldChar w:fldCharType="end"/>
        </w:r>
      </w:hyperlink>
    </w:p>
    <w:p w14:paraId="071AE4A7" w14:textId="1479021E"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820" w:history="1">
        <w:r w:rsidR="00BE6D3A" w:rsidRPr="002843AC">
          <w:rPr>
            <w:rStyle w:val="Hyperlink"/>
            <w:noProof/>
            <w:lang w:val="en-CA"/>
          </w:rPr>
          <w:t xml:space="preserve">Appendix I – List of papers in the </w:t>
        </w:r>
        <w:r w:rsidR="00BE6D3A" w:rsidRPr="002843AC">
          <w:rPr>
            <w:rStyle w:val="Hyperlink"/>
            <w:i/>
            <w:noProof/>
            <w:lang w:val="en-CA"/>
          </w:rPr>
          <w:t>No safe haven</w:t>
        </w:r>
        <w:r w:rsidR="00BE6D3A" w:rsidRPr="002843AC">
          <w:rPr>
            <w:rStyle w:val="Hyperlink"/>
            <w:noProof/>
            <w:lang w:val="en-CA"/>
          </w:rPr>
          <w:t xml:space="preserve"> series published so far</w:t>
        </w:r>
        <w:r w:rsidR="00BE6D3A">
          <w:rPr>
            <w:noProof/>
            <w:webHidden/>
          </w:rPr>
          <w:tab/>
        </w:r>
        <w:r w:rsidR="00BE6D3A">
          <w:rPr>
            <w:noProof/>
            <w:webHidden/>
          </w:rPr>
          <w:fldChar w:fldCharType="begin"/>
        </w:r>
        <w:r w:rsidR="00BE6D3A">
          <w:rPr>
            <w:noProof/>
            <w:webHidden/>
          </w:rPr>
          <w:instrText xml:space="preserve"> PAGEREF _Toc43382820 \h </w:instrText>
        </w:r>
        <w:r w:rsidR="00BE6D3A">
          <w:rPr>
            <w:noProof/>
            <w:webHidden/>
          </w:rPr>
        </w:r>
        <w:r w:rsidR="00BE6D3A">
          <w:rPr>
            <w:noProof/>
            <w:webHidden/>
          </w:rPr>
          <w:fldChar w:fldCharType="separate"/>
        </w:r>
        <w:r w:rsidR="00E045AC">
          <w:rPr>
            <w:noProof/>
            <w:webHidden/>
          </w:rPr>
          <w:t>147</w:t>
        </w:r>
        <w:r w:rsidR="00BE6D3A">
          <w:rPr>
            <w:noProof/>
            <w:webHidden/>
          </w:rPr>
          <w:fldChar w:fldCharType="end"/>
        </w:r>
      </w:hyperlink>
    </w:p>
    <w:p w14:paraId="2DC290D8" w14:textId="66D85550" w:rsidR="00BE6D3A" w:rsidRDefault="00356280">
      <w:pPr>
        <w:pStyle w:val="TOC1"/>
        <w:tabs>
          <w:tab w:val="right" w:leader="dot" w:pos="7354"/>
        </w:tabs>
        <w:rPr>
          <w:rFonts w:asciiTheme="minorHAnsi" w:eastAsiaTheme="minorEastAsia" w:hAnsiTheme="minorHAnsi" w:cstheme="minorBidi"/>
          <w:noProof/>
          <w:color w:val="auto"/>
          <w:sz w:val="24"/>
          <w:lang w:val="en-CA" w:eastAsia="en-US"/>
        </w:rPr>
      </w:pPr>
      <w:hyperlink w:anchor="_Toc43382821" w:history="1">
        <w:r w:rsidR="00BE6D3A" w:rsidRPr="002843AC">
          <w:rPr>
            <w:rStyle w:val="Hyperlink"/>
            <w:noProof/>
            <w:lang w:val="en-CA"/>
          </w:rPr>
          <w:t>Appendix II – List of abreviations of IHL treaties listed on charts III and V</w:t>
        </w:r>
        <w:r w:rsidR="00BE6D3A">
          <w:rPr>
            <w:noProof/>
            <w:webHidden/>
          </w:rPr>
          <w:tab/>
        </w:r>
        <w:r w:rsidR="00BE6D3A">
          <w:rPr>
            <w:noProof/>
            <w:webHidden/>
          </w:rPr>
          <w:fldChar w:fldCharType="begin"/>
        </w:r>
        <w:r w:rsidR="00BE6D3A">
          <w:rPr>
            <w:noProof/>
            <w:webHidden/>
          </w:rPr>
          <w:instrText xml:space="preserve"> PAGEREF _Toc43382821 \h </w:instrText>
        </w:r>
        <w:r w:rsidR="00BE6D3A">
          <w:rPr>
            <w:noProof/>
            <w:webHidden/>
          </w:rPr>
        </w:r>
        <w:r w:rsidR="00BE6D3A">
          <w:rPr>
            <w:noProof/>
            <w:webHidden/>
          </w:rPr>
          <w:fldChar w:fldCharType="separate"/>
        </w:r>
        <w:r w:rsidR="00E045AC">
          <w:rPr>
            <w:noProof/>
            <w:webHidden/>
          </w:rPr>
          <w:t>148</w:t>
        </w:r>
        <w:r w:rsidR="00BE6D3A">
          <w:rPr>
            <w:noProof/>
            <w:webHidden/>
          </w:rPr>
          <w:fldChar w:fldCharType="end"/>
        </w:r>
      </w:hyperlink>
    </w:p>
    <w:p w14:paraId="12C22665" w14:textId="1C3B6E76" w:rsidR="00A75017" w:rsidRPr="00AA6144" w:rsidRDefault="00202724">
      <w:pPr>
        <w:pStyle w:val="TOC1"/>
        <w:tabs>
          <w:tab w:val="right" w:leader="dot" w:pos="7364"/>
        </w:tabs>
        <w:rPr>
          <w:color w:val="auto"/>
          <w:lang w:val="en-CA"/>
        </w:rPr>
        <w:sectPr w:rsidR="00A75017" w:rsidRPr="00AA6144">
          <w:footnotePr>
            <w:pos w:val="beneathText"/>
          </w:footnotePr>
          <w:endnotePr>
            <w:numFmt w:val="decimal"/>
          </w:endnotePr>
          <w:type w:val="continuous"/>
          <w:pgSz w:w="11900" w:h="16837"/>
          <w:pgMar w:top="1701" w:right="2835" w:bottom="3402" w:left="1701" w:header="720" w:footer="720" w:gutter="0"/>
          <w:cols w:space="720"/>
          <w:docGrid w:linePitch="360"/>
        </w:sectPr>
      </w:pPr>
      <w:r w:rsidRPr="00AA6144">
        <w:rPr>
          <w:color w:val="auto"/>
          <w:lang w:val="en-CA"/>
        </w:rPr>
        <w:fldChar w:fldCharType="end"/>
      </w:r>
    </w:p>
    <w:p w14:paraId="7FBCBF70" w14:textId="77777777" w:rsidR="00FA63F3" w:rsidRPr="00AA6144" w:rsidRDefault="00FA63F3">
      <w:pPr>
        <w:rPr>
          <w:color w:val="auto"/>
          <w:lang w:val="en-CA"/>
        </w:rPr>
        <w:sectPr w:rsidR="00FA63F3" w:rsidRPr="00AA6144">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type w:val="continuous"/>
          <w:pgSz w:w="11900" w:h="16837"/>
          <w:pgMar w:top="1701" w:right="2835" w:bottom="3402" w:left="1701" w:header="720" w:footer="720" w:gutter="0"/>
          <w:cols w:space="720"/>
          <w:docGrid w:linePitch="360"/>
        </w:sectPr>
      </w:pPr>
    </w:p>
    <w:p w14:paraId="07092287" w14:textId="77777777" w:rsidR="00891552" w:rsidRPr="00AA6144" w:rsidRDefault="00891552" w:rsidP="00891552">
      <w:pPr>
        <w:pStyle w:val="Heading1"/>
        <w:rPr>
          <w:color w:val="auto"/>
          <w:lang w:val="en-CA"/>
        </w:rPr>
      </w:pPr>
      <w:bookmarkStart w:id="0" w:name="_Toc193798648"/>
      <w:bookmarkStart w:id="1" w:name="_Toc220954441"/>
      <w:bookmarkStart w:id="2" w:name="_Toc43382706"/>
      <w:r w:rsidRPr="00AA6144">
        <w:rPr>
          <w:color w:val="auto"/>
          <w:lang w:val="en-CA"/>
        </w:rPr>
        <w:lastRenderedPageBreak/>
        <w:t>1. INTRODUCTION</w:t>
      </w:r>
      <w:bookmarkEnd w:id="0"/>
      <w:r w:rsidRPr="00AA6144">
        <w:rPr>
          <w:rStyle w:val="FootnoteReference"/>
          <w:color w:val="auto"/>
          <w:szCs w:val="22"/>
          <w:lang w:val="en-CA"/>
        </w:rPr>
        <w:footnoteReference w:id="1"/>
      </w:r>
      <w:bookmarkEnd w:id="1"/>
      <w:bookmarkEnd w:id="2"/>
    </w:p>
    <w:p w14:paraId="7C2F624B" w14:textId="77777777" w:rsidR="003D15B4" w:rsidRPr="00AA6144" w:rsidRDefault="003D15B4" w:rsidP="003D15B4">
      <w:pPr>
        <w:pStyle w:val="AIBodyText"/>
        <w:rPr>
          <w:color w:val="auto"/>
          <w:lang w:val="en-CA"/>
        </w:rPr>
      </w:pPr>
      <w:r w:rsidRPr="00AA6144">
        <w:rPr>
          <w:b/>
          <w:i/>
          <w:color w:val="auto"/>
          <w:lang w:val="en-CA"/>
        </w:rPr>
        <w:t xml:space="preserve">Jurisdiction over </w:t>
      </w:r>
      <w:proofErr w:type="gramStart"/>
      <w:r w:rsidRPr="00AA6144">
        <w:rPr>
          <w:b/>
          <w:i/>
          <w:color w:val="auto"/>
          <w:lang w:val="en-CA"/>
        </w:rPr>
        <w:t>particular crimes</w:t>
      </w:r>
      <w:proofErr w:type="gramEnd"/>
      <w:r w:rsidRPr="00AA6144">
        <w:rPr>
          <w:b/>
          <w:i/>
          <w:color w:val="auto"/>
          <w:lang w:val="en-CA"/>
        </w:rPr>
        <w:t>.</w:t>
      </w:r>
    </w:p>
    <w:p w14:paraId="40DAE17D" w14:textId="77777777" w:rsidR="003D15B4" w:rsidRPr="00AA6144" w:rsidRDefault="00904AF5" w:rsidP="003D15B4">
      <w:pPr>
        <w:pStyle w:val="AIBodyText"/>
        <w:rPr>
          <w:color w:val="auto"/>
          <w:lang w:val="en-CA"/>
        </w:rPr>
      </w:pPr>
      <w:r w:rsidRPr="00AA6144">
        <w:rPr>
          <w:color w:val="auto"/>
          <w:lang w:val="en-CA"/>
        </w:rPr>
        <w:t>Universal jurisdiction means that Canadian courts can try persons for crimes committed outside its territory which are not linked to Canada by nationality of the suspect or the victims, or by harm to Canada’s own national interests.</w:t>
      </w:r>
      <w:r w:rsidR="006712FC" w:rsidRPr="00AA6144">
        <w:rPr>
          <w:color w:val="auto"/>
          <w:lang w:val="en-CA"/>
        </w:rPr>
        <w:t xml:space="preserve"> </w:t>
      </w:r>
      <w:r w:rsidR="00093E2E" w:rsidRPr="00AA6144">
        <w:rPr>
          <w:color w:val="auto"/>
          <w:lang w:val="en-CA"/>
        </w:rPr>
        <w:t xml:space="preserve">At domestic law, </w:t>
      </w:r>
      <w:r w:rsidR="003D15B4" w:rsidRPr="00AA6144">
        <w:rPr>
          <w:color w:val="auto"/>
          <w:lang w:val="en-CA"/>
        </w:rPr>
        <w:t xml:space="preserve">Canadian courts can exercise universal jurisdiction over several crimes of international concern, including offences committed on aircraft, attacks on ships and navigation at sea, offences against internationally protected persons or UN personnel, hijacking, hostage taking, nuclear terrorism and theft of nuclear material, terrorist bombing, and financing terrorism (see Section 4.2. below). In addition, Canadian courts can exercise universal jurisdiction over crimes under international law including grave breaches of the four 1949 Geneva Conventions, grave breaches of Additional Protocol I, other war crimes, crimes against humanity, genocide, and torture (see Section 4.3. below). </w:t>
      </w:r>
    </w:p>
    <w:p w14:paraId="28095732" w14:textId="77777777" w:rsidR="003D15B4" w:rsidRPr="00AA6144" w:rsidRDefault="003D15B4" w:rsidP="003D15B4">
      <w:pPr>
        <w:pStyle w:val="AIBodyText"/>
        <w:rPr>
          <w:color w:val="auto"/>
          <w:lang w:val="en-CA"/>
        </w:rPr>
      </w:pPr>
      <w:r w:rsidRPr="00AA6144">
        <w:rPr>
          <w:color w:val="auto"/>
          <w:lang w:val="en-CA"/>
        </w:rPr>
        <w:t xml:space="preserve">Canadian courts cannot exercise universal criminal jurisdiction over ordinary crimes and certain </w:t>
      </w:r>
      <w:r w:rsidR="00475A37" w:rsidRPr="00AA6144">
        <w:rPr>
          <w:color w:val="auto"/>
          <w:lang w:val="en-CA"/>
        </w:rPr>
        <w:t xml:space="preserve">crimes of </w:t>
      </w:r>
      <w:r w:rsidRPr="00AA6144">
        <w:rPr>
          <w:color w:val="auto"/>
          <w:lang w:val="en-CA"/>
        </w:rPr>
        <w:t>international c</w:t>
      </w:r>
      <w:r w:rsidR="00475A37" w:rsidRPr="00AA6144">
        <w:rPr>
          <w:color w:val="auto"/>
          <w:lang w:val="en-CA"/>
        </w:rPr>
        <w:t>oncern</w:t>
      </w:r>
      <w:r w:rsidRPr="00AA6144">
        <w:rPr>
          <w:color w:val="auto"/>
          <w:lang w:val="en-CA"/>
        </w:rPr>
        <w:t>, including counterfeiting, narcotics trafficking, psychotropic substances trafficking, transnational organized crime, and firearms trafficking.</w:t>
      </w:r>
    </w:p>
    <w:p w14:paraId="0962EA64" w14:textId="0A304AC7" w:rsidR="000568BE" w:rsidRPr="00AA6144" w:rsidRDefault="00093E2E" w:rsidP="003D15B4">
      <w:pPr>
        <w:pStyle w:val="AIBodyText"/>
        <w:rPr>
          <w:color w:val="auto"/>
          <w:lang w:val="en-CA"/>
        </w:rPr>
      </w:pPr>
      <w:r w:rsidRPr="00AA6144">
        <w:rPr>
          <w:color w:val="auto"/>
          <w:lang w:val="en-CA"/>
        </w:rPr>
        <w:t>As</w:t>
      </w:r>
      <w:r w:rsidR="003D15B4" w:rsidRPr="00AA6144">
        <w:rPr>
          <w:color w:val="auto"/>
          <w:lang w:val="en-CA"/>
        </w:rPr>
        <w:t xml:space="preserve"> explained in Section 4.3.2., although Canada has defined crimes against humanity as a crime under national law, it has not included the crimes of enforced disappearance (see Section 4.3.6.), apartheid, extrajudicial executions, or forcible transfer of populations under domestic law. Moreover, as explained in Section 4.3.3., the modes of criminal liability for genocide in Canadian law have distinct differences from those in the Rome Statute. </w:t>
      </w:r>
      <w:r w:rsidRPr="00AA6144">
        <w:rPr>
          <w:color w:val="auto"/>
          <w:lang w:val="en-CA"/>
        </w:rPr>
        <w:t xml:space="preserve">Furthermore, </w:t>
      </w:r>
      <w:r w:rsidR="003D15B4" w:rsidRPr="00AA6144">
        <w:rPr>
          <w:color w:val="auto"/>
          <w:lang w:val="en-CA"/>
        </w:rPr>
        <w:t>Canada has not recognized the crime of planning, preparing, initiating or waging aggressive war as a crime under domestic law, and Canadian courts cannot exercise universal jurisdiction over the crime of aggression</w:t>
      </w:r>
      <w:r w:rsidR="00AA22FB">
        <w:rPr>
          <w:color w:val="auto"/>
          <w:lang w:val="en-CA"/>
        </w:rPr>
        <w:t xml:space="preserve"> under international law</w:t>
      </w:r>
      <w:r w:rsidR="003D15B4" w:rsidRPr="00AA6144">
        <w:rPr>
          <w:color w:val="auto"/>
          <w:lang w:val="en-CA"/>
        </w:rPr>
        <w:t xml:space="preserve"> (see Section 4.3.7.).</w:t>
      </w:r>
    </w:p>
    <w:p w14:paraId="32C6ADE9" w14:textId="77777777" w:rsidR="000568BE" w:rsidRPr="00AA6144" w:rsidRDefault="000568BE" w:rsidP="003D15B4">
      <w:pPr>
        <w:pStyle w:val="AIBodyText"/>
        <w:rPr>
          <w:color w:val="auto"/>
          <w:lang w:val="en-CA"/>
        </w:rPr>
      </w:pPr>
    </w:p>
    <w:p w14:paraId="0B0A843C" w14:textId="77777777" w:rsidR="003D15B4" w:rsidRPr="00AA6144" w:rsidRDefault="003D15B4" w:rsidP="003D15B4">
      <w:pPr>
        <w:pStyle w:val="AIBodyText"/>
        <w:rPr>
          <w:color w:val="auto"/>
          <w:lang w:val="en-CA"/>
        </w:rPr>
      </w:pPr>
      <w:proofErr w:type="gramStart"/>
      <w:r w:rsidRPr="00AA6144">
        <w:rPr>
          <w:b/>
          <w:bCs/>
          <w:i/>
          <w:iCs/>
          <w:color w:val="auto"/>
          <w:lang w:val="en-CA"/>
        </w:rPr>
        <w:t>Safe haven</w:t>
      </w:r>
      <w:proofErr w:type="gramEnd"/>
      <w:r w:rsidRPr="00AA6144">
        <w:rPr>
          <w:b/>
          <w:bCs/>
          <w:i/>
          <w:iCs/>
          <w:color w:val="auto"/>
          <w:lang w:val="en-CA"/>
        </w:rPr>
        <w:t xml:space="preserve"> consequences regarding prosecution</w:t>
      </w:r>
      <w:r w:rsidRPr="00AA6144">
        <w:rPr>
          <w:color w:val="auto"/>
          <w:lang w:val="en-CA"/>
        </w:rPr>
        <w:t xml:space="preserve"> </w:t>
      </w:r>
    </w:p>
    <w:p w14:paraId="2D7FBB4E" w14:textId="77777777" w:rsidR="003D15B4" w:rsidRPr="00AA6144" w:rsidRDefault="003D15B4" w:rsidP="003D15B4">
      <w:pPr>
        <w:pStyle w:val="AIBodyText"/>
        <w:rPr>
          <w:color w:val="auto"/>
          <w:lang w:val="en-CA"/>
        </w:rPr>
      </w:pPr>
      <w:r w:rsidRPr="00AA6144">
        <w:rPr>
          <w:color w:val="auto"/>
          <w:lang w:val="en-CA"/>
        </w:rPr>
        <w:t xml:space="preserve">In addition to the failure to define satisfactorily certain crimes under international law as crimes under national law and </w:t>
      </w:r>
      <w:r w:rsidR="00097AF9" w:rsidRPr="00AA6144">
        <w:rPr>
          <w:color w:val="auto"/>
          <w:lang w:val="en-CA"/>
        </w:rPr>
        <w:t xml:space="preserve">the failure </w:t>
      </w:r>
      <w:r w:rsidRPr="00AA6144">
        <w:rPr>
          <w:color w:val="auto"/>
          <w:lang w:val="en-CA"/>
        </w:rPr>
        <w:t xml:space="preserve">to provide for universal jurisdiction over ordinary crimes, there are numerous other obstacles to prosecution in universal jurisdiction cases. For example, differing principles of criminal responsibility than those found in international law, improper defences, double criminality, immunities, bars </w:t>
      </w:r>
      <w:r w:rsidR="00097AF9" w:rsidRPr="00AA6144">
        <w:rPr>
          <w:color w:val="auto"/>
          <w:lang w:val="en-CA"/>
        </w:rPr>
        <w:t>to the</w:t>
      </w:r>
      <w:r w:rsidRPr="00AA6144">
        <w:rPr>
          <w:color w:val="auto"/>
          <w:lang w:val="en-CA"/>
        </w:rPr>
        <w:t xml:space="preserve"> retrospective application of international criminal law </w:t>
      </w:r>
      <w:r w:rsidR="00097AF9" w:rsidRPr="00AA6144">
        <w:rPr>
          <w:color w:val="auto"/>
          <w:lang w:val="en-CA"/>
        </w:rPr>
        <w:t>for offences committed in Canada</w:t>
      </w:r>
      <w:r w:rsidRPr="00AA6144">
        <w:rPr>
          <w:color w:val="auto"/>
          <w:lang w:val="en-CA"/>
        </w:rPr>
        <w:t xml:space="preserve">, political control over decisions to investigate or prosecute, </w:t>
      </w:r>
      <w:r w:rsidR="00097AF9" w:rsidRPr="00AA6144">
        <w:rPr>
          <w:color w:val="auto"/>
          <w:lang w:val="en-CA"/>
        </w:rPr>
        <w:t xml:space="preserve">and </w:t>
      </w:r>
      <w:r w:rsidRPr="00AA6144">
        <w:rPr>
          <w:color w:val="auto"/>
          <w:lang w:val="en-CA"/>
        </w:rPr>
        <w:t>restrictions on the rights of victims.</w:t>
      </w:r>
      <w:r w:rsidRPr="00AA6144">
        <w:rPr>
          <w:rStyle w:val="FootnoteReference"/>
          <w:color w:val="auto"/>
          <w:lang w:val="en-CA"/>
        </w:rPr>
        <w:footnoteReference w:id="2"/>
      </w:r>
      <w:r w:rsidRPr="00AA6144">
        <w:rPr>
          <w:color w:val="auto"/>
          <w:lang w:val="en-CA"/>
        </w:rPr>
        <w:t xml:space="preserve"> </w:t>
      </w:r>
    </w:p>
    <w:p w14:paraId="18415A15" w14:textId="77777777" w:rsidR="003D15B4" w:rsidRPr="00AA6144" w:rsidRDefault="003D15B4" w:rsidP="003D15B4">
      <w:pPr>
        <w:pStyle w:val="AIBodyText"/>
        <w:rPr>
          <w:color w:val="auto"/>
          <w:lang w:val="en-CA"/>
        </w:rPr>
      </w:pPr>
      <w:r w:rsidRPr="00AA6144">
        <w:rPr>
          <w:color w:val="auto"/>
          <w:lang w:val="en-CA"/>
        </w:rPr>
        <w:t xml:space="preserve">Therefore, Canada </w:t>
      </w:r>
      <w:r w:rsidR="00097AF9" w:rsidRPr="00AA6144">
        <w:rPr>
          <w:color w:val="auto"/>
          <w:lang w:val="en-CA"/>
        </w:rPr>
        <w:t>can be</w:t>
      </w:r>
      <w:r w:rsidRPr="00AA6144">
        <w:rPr>
          <w:color w:val="auto"/>
          <w:lang w:val="en-CA"/>
        </w:rPr>
        <w:t xml:space="preserve"> a safe haven from prosecution in its courts for foreigners who are responsible for the crimes of aggression, enforced disappearance, apartheid, extrajudicial execution, or forcible transfer of populations, committed abroad</w:t>
      </w:r>
      <w:r w:rsidR="001E13F6" w:rsidRPr="00AA6144">
        <w:rPr>
          <w:color w:val="auto"/>
          <w:lang w:val="en-CA"/>
        </w:rPr>
        <w:t>,</w:t>
      </w:r>
      <w:r w:rsidRPr="00AA6144">
        <w:rPr>
          <w:color w:val="auto"/>
          <w:lang w:val="en-CA"/>
        </w:rPr>
        <w:t xml:space="preserve"> and where the obstacles to prosecution noted are present.  </w:t>
      </w:r>
    </w:p>
    <w:p w14:paraId="1E299AB1" w14:textId="77777777" w:rsidR="003D15B4" w:rsidRPr="00AA6144" w:rsidRDefault="003D15B4" w:rsidP="003D15B4">
      <w:pPr>
        <w:pStyle w:val="AIBodyText"/>
        <w:rPr>
          <w:color w:val="auto"/>
          <w:lang w:val="en-CA"/>
        </w:rPr>
      </w:pPr>
      <w:proofErr w:type="gramStart"/>
      <w:r w:rsidRPr="00AA6144">
        <w:rPr>
          <w:b/>
          <w:bCs/>
          <w:i/>
          <w:iCs/>
          <w:color w:val="auto"/>
          <w:lang w:val="en-CA"/>
        </w:rPr>
        <w:t>Safe haven</w:t>
      </w:r>
      <w:proofErr w:type="gramEnd"/>
      <w:r w:rsidRPr="00AA6144">
        <w:rPr>
          <w:b/>
          <w:bCs/>
          <w:i/>
          <w:iCs/>
          <w:color w:val="auto"/>
          <w:lang w:val="en-CA"/>
        </w:rPr>
        <w:t xml:space="preserve"> consequences regarding extradition. </w:t>
      </w:r>
    </w:p>
    <w:p w14:paraId="3D204195" w14:textId="77777777" w:rsidR="003D15B4" w:rsidRPr="00AA6144" w:rsidRDefault="003D15B4" w:rsidP="003D15B4">
      <w:pPr>
        <w:pStyle w:val="AIBodyText"/>
        <w:rPr>
          <w:color w:val="auto"/>
          <w:lang w:val="en-CA"/>
        </w:rPr>
      </w:pPr>
      <w:r w:rsidRPr="00AA6144">
        <w:rPr>
          <w:color w:val="auto"/>
          <w:lang w:val="en-CA"/>
        </w:rPr>
        <w:t xml:space="preserve">In addition, as explained in Section 7, Canada is also </w:t>
      </w:r>
      <w:proofErr w:type="gramStart"/>
      <w:r w:rsidRPr="00AA6144">
        <w:rPr>
          <w:color w:val="auto"/>
          <w:lang w:val="en-CA"/>
        </w:rPr>
        <w:t>a safe haven</w:t>
      </w:r>
      <w:proofErr w:type="gramEnd"/>
      <w:r w:rsidRPr="00AA6144">
        <w:rPr>
          <w:color w:val="auto"/>
          <w:lang w:val="en-CA"/>
        </w:rPr>
        <w:t xml:space="preserve"> from extradition for political or military offences because persons cannot be extradited for such crimes. </w:t>
      </w:r>
    </w:p>
    <w:p w14:paraId="1980BD55" w14:textId="77777777" w:rsidR="003D15B4" w:rsidRPr="00AA6144" w:rsidRDefault="003D15B4" w:rsidP="003D15B4">
      <w:pPr>
        <w:pStyle w:val="AIBodyText"/>
        <w:rPr>
          <w:color w:val="auto"/>
          <w:lang w:val="en-CA"/>
        </w:rPr>
      </w:pPr>
      <w:r w:rsidRPr="00AA6144">
        <w:rPr>
          <w:b/>
          <w:bCs/>
          <w:i/>
          <w:iCs/>
          <w:color w:val="auto"/>
          <w:lang w:val="en-CA"/>
        </w:rPr>
        <w:t xml:space="preserve">Universal civil jurisdiction. </w:t>
      </w:r>
      <w:r w:rsidRPr="00AA6144">
        <w:rPr>
          <w:color w:val="auto"/>
          <w:lang w:val="en-CA"/>
        </w:rPr>
        <w:t xml:space="preserve"> </w:t>
      </w:r>
    </w:p>
    <w:p w14:paraId="7AEC354D" w14:textId="77777777" w:rsidR="003D15B4" w:rsidRPr="00AA6144" w:rsidRDefault="003D15B4" w:rsidP="003D15B4">
      <w:pPr>
        <w:pStyle w:val="AIBodyText"/>
        <w:rPr>
          <w:color w:val="auto"/>
          <w:lang w:val="en-CA"/>
        </w:rPr>
      </w:pPr>
      <w:r w:rsidRPr="00AA6144">
        <w:rPr>
          <w:color w:val="auto"/>
          <w:lang w:val="en-CA"/>
        </w:rPr>
        <w:t xml:space="preserve">As explained below in Section </w:t>
      </w:r>
      <w:r w:rsidR="00016117" w:rsidRPr="00AA6144">
        <w:rPr>
          <w:color w:val="auto"/>
          <w:lang w:val="en-CA"/>
        </w:rPr>
        <w:t>5.1</w:t>
      </w:r>
      <w:r w:rsidRPr="00AA6144">
        <w:rPr>
          <w:color w:val="auto"/>
          <w:lang w:val="en-CA"/>
        </w:rPr>
        <w:t>, no statute authorizes Canadian courts to exercise universal civil jurisdiction or to permit victims to obtain reparation</w:t>
      </w:r>
      <w:r w:rsidR="00B06C26" w:rsidRPr="00AA6144">
        <w:rPr>
          <w:color w:val="auto"/>
          <w:lang w:val="en-CA"/>
        </w:rPr>
        <w:t xml:space="preserve"> against individuals</w:t>
      </w:r>
      <w:r w:rsidRPr="00AA6144">
        <w:rPr>
          <w:color w:val="auto"/>
          <w:lang w:val="en-CA"/>
        </w:rPr>
        <w:t xml:space="preserve"> in civil proceedings based on universal jurisdiction. </w:t>
      </w:r>
      <w:r w:rsidR="00B06C26" w:rsidRPr="00AA6144">
        <w:rPr>
          <w:color w:val="auto"/>
          <w:lang w:val="en-CA"/>
        </w:rPr>
        <w:t xml:space="preserve"> </w:t>
      </w:r>
      <w:proofErr w:type="gramStart"/>
      <w:r w:rsidRPr="00AA6144">
        <w:rPr>
          <w:color w:val="auto"/>
          <w:lang w:val="en-CA"/>
        </w:rPr>
        <w:t>With the exception of</w:t>
      </w:r>
      <w:proofErr w:type="gramEnd"/>
      <w:r w:rsidRPr="00AA6144">
        <w:rPr>
          <w:color w:val="auto"/>
          <w:lang w:val="en-CA"/>
        </w:rPr>
        <w:t xml:space="preserve"> the Yukon Territory, there is no Canadian legislation recognizing the right of victims of crimes under international law to reparation in civil proceedings.</w:t>
      </w:r>
    </w:p>
    <w:p w14:paraId="52C5B97E" w14:textId="00994079" w:rsidR="00B06C26" w:rsidRPr="00AA6144" w:rsidRDefault="00B06C26" w:rsidP="003D15B4">
      <w:pPr>
        <w:pStyle w:val="AIBodyText"/>
        <w:rPr>
          <w:color w:val="auto"/>
          <w:lang w:val="en-CA"/>
        </w:rPr>
      </w:pPr>
      <w:r w:rsidRPr="00AA6144">
        <w:rPr>
          <w:color w:val="auto"/>
          <w:lang w:val="en-CA"/>
        </w:rPr>
        <w:t xml:space="preserve">As explained in Section 6.5, Canadian courts do not have universal civil jurisdiction to hear claims by individuals against </w:t>
      </w:r>
      <w:r w:rsidR="006712FC" w:rsidRPr="00AA6144">
        <w:rPr>
          <w:color w:val="auto"/>
          <w:lang w:val="en-CA"/>
        </w:rPr>
        <w:t xml:space="preserve">foreign </w:t>
      </w:r>
      <w:r w:rsidR="006F78F3" w:rsidRPr="00AA6144">
        <w:rPr>
          <w:color w:val="auto"/>
          <w:lang w:val="en-CA"/>
        </w:rPr>
        <w:t>s</w:t>
      </w:r>
      <w:r w:rsidR="007C4412" w:rsidRPr="00AA6144">
        <w:rPr>
          <w:color w:val="auto"/>
          <w:lang w:val="en-CA"/>
        </w:rPr>
        <w:t xml:space="preserve">tates for the crimes </w:t>
      </w:r>
      <w:r w:rsidR="000947D3">
        <w:rPr>
          <w:color w:val="auto"/>
          <w:lang w:val="en-CA"/>
        </w:rPr>
        <w:t xml:space="preserve">under international law </w:t>
      </w:r>
      <w:r w:rsidR="007C4412" w:rsidRPr="00AA6144">
        <w:rPr>
          <w:color w:val="auto"/>
          <w:lang w:val="en-CA"/>
        </w:rPr>
        <w:t xml:space="preserve">committed by their representatives, </w:t>
      </w:r>
      <w:proofErr w:type="gramStart"/>
      <w:r w:rsidR="007C4412" w:rsidRPr="00AA6144">
        <w:rPr>
          <w:color w:val="auto"/>
          <w:lang w:val="en-CA"/>
        </w:rPr>
        <w:t>officials</w:t>
      </w:r>
      <w:proofErr w:type="gramEnd"/>
      <w:r w:rsidR="007C4412" w:rsidRPr="00AA6144">
        <w:rPr>
          <w:color w:val="auto"/>
          <w:lang w:val="en-CA"/>
        </w:rPr>
        <w:t xml:space="preserve"> or organs.</w:t>
      </w:r>
    </w:p>
    <w:p w14:paraId="0669ED9F" w14:textId="77777777" w:rsidR="003D15B4" w:rsidRPr="00AA6144" w:rsidRDefault="003D15B4" w:rsidP="003D15B4">
      <w:pPr>
        <w:pStyle w:val="AIBodyText"/>
        <w:rPr>
          <w:color w:val="auto"/>
          <w:lang w:val="en-CA"/>
        </w:rPr>
      </w:pPr>
      <w:r w:rsidRPr="00AA6144">
        <w:rPr>
          <w:b/>
          <w:bCs/>
          <w:i/>
          <w:iCs/>
          <w:color w:val="auto"/>
          <w:lang w:val="en-CA"/>
        </w:rPr>
        <w:t xml:space="preserve">Special immigration, </w:t>
      </w:r>
      <w:proofErr w:type="gramStart"/>
      <w:r w:rsidRPr="00AA6144">
        <w:rPr>
          <w:b/>
          <w:bCs/>
          <w:i/>
          <w:iCs/>
          <w:color w:val="auto"/>
          <w:lang w:val="en-CA"/>
        </w:rPr>
        <w:t>police</w:t>
      </w:r>
      <w:proofErr w:type="gramEnd"/>
      <w:r w:rsidRPr="00AA6144">
        <w:rPr>
          <w:b/>
          <w:bCs/>
          <w:i/>
          <w:iCs/>
          <w:color w:val="auto"/>
          <w:lang w:val="en-CA"/>
        </w:rPr>
        <w:t xml:space="preserve"> and prosecution units.</w:t>
      </w:r>
      <w:r w:rsidRPr="00AA6144">
        <w:rPr>
          <w:color w:val="auto"/>
          <w:lang w:val="en-CA"/>
        </w:rPr>
        <w:t xml:space="preserve"> </w:t>
      </w:r>
    </w:p>
    <w:p w14:paraId="28CD8DE2" w14:textId="1968B899" w:rsidR="003D15B4" w:rsidRPr="00AA6144" w:rsidRDefault="003D15B4" w:rsidP="003D15B4">
      <w:pPr>
        <w:pStyle w:val="AIBodyText"/>
        <w:rPr>
          <w:color w:val="auto"/>
          <w:lang w:val="en-CA"/>
        </w:rPr>
      </w:pPr>
      <w:r w:rsidRPr="00AA6144">
        <w:rPr>
          <w:color w:val="auto"/>
          <w:lang w:val="en-CA"/>
        </w:rPr>
        <w:t xml:space="preserve">As explained below in Section 8, Canada has several government agencies that work together as part of the Crimes Against Humanity and War Crimes Program. Government agencies including the War Crimes Section of the Department of Justice, the Canada Border Services Agency, Citizenship and Immigration Canada, and the Royal Canadian Mounted Police work together to screen persons suspected of crimes under international law and </w:t>
      </w:r>
      <w:r w:rsidR="0097196A" w:rsidRPr="00AA6144">
        <w:rPr>
          <w:color w:val="auto"/>
          <w:lang w:val="en-CA"/>
        </w:rPr>
        <w:t xml:space="preserve">are meant </w:t>
      </w:r>
      <w:r w:rsidRPr="00AA6144">
        <w:rPr>
          <w:color w:val="auto"/>
          <w:lang w:val="en-CA"/>
        </w:rPr>
        <w:t xml:space="preserve">to refer them to police or prosecuting authorities for investigation and possible prosecution. </w:t>
      </w:r>
      <w:r w:rsidR="0097196A" w:rsidRPr="00AA6144">
        <w:rPr>
          <w:color w:val="auto"/>
          <w:lang w:val="en-CA"/>
        </w:rPr>
        <w:t>While the Program’s purpose is “to deny safe haven to persons believed to have committed or been complicit in crimes against humanity, war crimes or genocide, and to contribute to the domestic or international fight against impunity,”</w:t>
      </w:r>
      <w:bookmarkStart w:id="3" w:name="_Ref498080233"/>
      <w:r w:rsidR="0097196A" w:rsidRPr="00AA6144">
        <w:rPr>
          <w:rStyle w:val="FootnoteReference"/>
          <w:color w:val="auto"/>
          <w:lang w:val="en-CA"/>
        </w:rPr>
        <w:footnoteReference w:id="3"/>
      </w:r>
      <w:bookmarkEnd w:id="3"/>
      <w:r w:rsidR="0097196A" w:rsidRPr="00AA6144">
        <w:rPr>
          <w:color w:val="auto"/>
          <w:lang w:val="en-CA"/>
        </w:rPr>
        <w:t xml:space="preserve"> the </w:t>
      </w:r>
      <w:r w:rsidR="0097196A" w:rsidRPr="00AA6144">
        <w:rPr>
          <w:color w:val="auto"/>
          <w:lang w:val="en-CA"/>
        </w:rPr>
        <w:lastRenderedPageBreak/>
        <w:t>last twenty years of the Program indicate that it is primarily aimed at screening individuals seeking entry into Canada and denying them entry into the country, rather than seeking their prosecution in Canada or elsewhere.</w:t>
      </w:r>
      <w:r w:rsidR="00BA09E2" w:rsidRPr="00AA6144">
        <w:rPr>
          <w:color w:val="auto"/>
          <w:lang w:val="en-CA"/>
        </w:rPr>
        <w:t xml:space="preserve"> As the Program’s </w:t>
      </w:r>
      <w:r w:rsidR="00BA09E2" w:rsidRPr="00AA6144">
        <w:rPr>
          <w:bCs/>
          <w:color w:val="auto"/>
          <w:lang w:val="en-CA"/>
        </w:rPr>
        <w:t>Eleventh Annual Report</w:t>
      </w:r>
      <w:r w:rsidR="00772783" w:rsidRPr="00AA6144">
        <w:rPr>
          <w:bCs/>
          <w:color w:val="auto"/>
          <w:lang w:val="en-CA"/>
        </w:rPr>
        <w:t xml:space="preserve"> (2007-2008) noted, </w:t>
      </w:r>
      <w:r w:rsidR="00BA09E2" w:rsidRPr="00AA6144">
        <w:rPr>
          <w:bCs/>
          <w:color w:val="auto"/>
          <w:lang w:val="en-CA"/>
        </w:rPr>
        <w:t>“</w:t>
      </w:r>
      <w:r w:rsidR="00BA09E2" w:rsidRPr="00AA6144">
        <w:rPr>
          <w:color w:val="auto"/>
          <w:lang w:val="en-CA"/>
        </w:rPr>
        <w:t>[r]</w:t>
      </w:r>
      <w:proofErr w:type="spellStart"/>
      <w:r w:rsidR="00BA09E2" w:rsidRPr="00AA6144">
        <w:rPr>
          <w:color w:val="auto"/>
          <w:lang w:val="en-CA"/>
        </w:rPr>
        <w:t>emedies</w:t>
      </w:r>
      <w:proofErr w:type="spellEnd"/>
      <w:r w:rsidR="00BA09E2" w:rsidRPr="00AA6144">
        <w:rPr>
          <w:color w:val="auto"/>
          <w:lang w:val="en-CA"/>
        </w:rPr>
        <w:t xml:space="preserve"> are restricted by available funding. Criminal investigations and prosecution, widely seen as essential to international justice, are the most expensive options</w:t>
      </w:r>
      <w:r w:rsidR="00DF6D75">
        <w:rPr>
          <w:color w:val="auto"/>
          <w:lang w:val="en-CA"/>
        </w:rPr>
        <w:t>.</w:t>
      </w:r>
      <w:r w:rsidR="00BA09E2" w:rsidRPr="00AA6144">
        <w:rPr>
          <w:color w:val="auto"/>
          <w:lang w:val="en-CA"/>
        </w:rPr>
        <w:t xml:space="preserve"> Therefore</w:t>
      </w:r>
      <w:r w:rsidR="00DF6D75">
        <w:rPr>
          <w:color w:val="auto"/>
          <w:lang w:val="en-CA"/>
        </w:rPr>
        <w:t>,</w:t>
      </w:r>
      <w:r w:rsidR="00BA09E2" w:rsidRPr="00AA6144">
        <w:rPr>
          <w:color w:val="auto"/>
          <w:lang w:val="en-CA"/>
        </w:rPr>
        <w:t xml:space="preserve"> partners diligently seek the more cost-effective remedies such as early detection and denial of entry into Canada.”</w:t>
      </w:r>
      <w:r w:rsidR="00772783" w:rsidRPr="00AA6144">
        <w:rPr>
          <w:rStyle w:val="FootnoteReference"/>
          <w:color w:val="auto"/>
          <w:lang w:val="en-CA"/>
        </w:rPr>
        <w:footnoteReference w:id="4"/>
      </w:r>
      <w:r w:rsidR="00BA09E2" w:rsidRPr="00AA6144">
        <w:rPr>
          <w:color w:val="auto"/>
          <w:lang w:val="en-CA"/>
        </w:rPr>
        <w:t xml:space="preserve"> </w:t>
      </w:r>
      <w:r w:rsidR="0097196A" w:rsidRPr="00AA6144">
        <w:rPr>
          <w:color w:val="auto"/>
          <w:lang w:val="en-CA"/>
        </w:rPr>
        <w:t>A mere two prosecutions in nearly 20 years does not go far enough to fulfil Canada’s international legal obligations regarding criminal prosecution of crimes against humanity, war crimes, and genocide. As such, the Program’s most recent evaluation report (2016) notes that concern remains that the Program is failing to reach its stated goals and potential “to contribute to the domestic or international fight against impunity.”</w:t>
      </w:r>
      <w:r w:rsidR="0097196A" w:rsidRPr="00AA6144">
        <w:rPr>
          <w:rStyle w:val="FootnoteReference"/>
          <w:color w:val="auto"/>
          <w:lang w:val="en-CA"/>
        </w:rPr>
        <w:footnoteReference w:id="5"/>
      </w:r>
    </w:p>
    <w:p w14:paraId="70C8D584" w14:textId="77777777" w:rsidR="003D15B4" w:rsidRPr="00AA6144" w:rsidRDefault="003D15B4" w:rsidP="003D15B4">
      <w:pPr>
        <w:pStyle w:val="AIBodyText"/>
        <w:rPr>
          <w:color w:val="auto"/>
          <w:lang w:val="en-CA"/>
        </w:rPr>
      </w:pPr>
      <w:r w:rsidRPr="00AA6144">
        <w:rPr>
          <w:b/>
          <w:bCs/>
          <w:i/>
          <w:iCs/>
          <w:color w:val="auto"/>
          <w:lang w:val="en-CA"/>
        </w:rPr>
        <w:t xml:space="preserve">Jurisprudence. </w:t>
      </w:r>
      <w:r w:rsidRPr="00AA6144">
        <w:rPr>
          <w:color w:val="auto"/>
          <w:lang w:val="en-CA"/>
        </w:rPr>
        <w:t xml:space="preserve">There are a handful of cases in Canadian jurisprudence involving universal jurisdiction (see Section 9).  </w:t>
      </w:r>
    </w:p>
    <w:p w14:paraId="63B40E8E" w14:textId="03D228BF" w:rsidR="003D15B4" w:rsidRPr="00AA6144" w:rsidRDefault="003D15B4" w:rsidP="003D15B4">
      <w:pPr>
        <w:pStyle w:val="AIBodyText"/>
        <w:rPr>
          <w:color w:val="auto"/>
          <w:lang w:val="en-CA"/>
        </w:rPr>
      </w:pPr>
      <w:r w:rsidRPr="00AA6144">
        <w:rPr>
          <w:b/>
          <w:i/>
          <w:color w:val="auto"/>
          <w:lang w:val="en-CA"/>
        </w:rPr>
        <w:t xml:space="preserve">Recommendations. </w:t>
      </w:r>
      <w:r w:rsidRPr="00AA6144">
        <w:rPr>
          <w:color w:val="auto"/>
          <w:lang w:val="en-CA"/>
        </w:rPr>
        <w:t xml:space="preserve">This paper makes extensive recommendations for reform of law and practice so that Canada can fulfil its obligations under international law to investigate and prosecute crimes under international law, to extradite persons suspected of such crimes to another state able and willing to do so in a fair trial </w:t>
      </w:r>
      <w:r w:rsidR="00FF0257">
        <w:rPr>
          <w:color w:val="auto"/>
          <w:lang w:val="en-CA"/>
        </w:rPr>
        <w:t xml:space="preserve">before an ordinary civilian court </w:t>
      </w:r>
      <w:r w:rsidRPr="00AA6144">
        <w:rPr>
          <w:color w:val="auto"/>
          <w:lang w:val="en-CA"/>
        </w:rPr>
        <w:t xml:space="preserve">without the death penalty or a risk of torture or other cruel, inhuman or degrading treatment or punishment or to surrender them to </w:t>
      </w:r>
      <w:r w:rsidR="00480752" w:rsidRPr="00AA6144">
        <w:rPr>
          <w:color w:val="auto"/>
          <w:lang w:val="en-CA"/>
        </w:rPr>
        <w:t>any</w:t>
      </w:r>
      <w:r w:rsidRPr="00AA6144">
        <w:rPr>
          <w:color w:val="auto"/>
          <w:lang w:val="en-CA"/>
        </w:rPr>
        <w:t xml:space="preserve"> </w:t>
      </w:r>
      <w:r w:rsidR="00480752" w:rsidRPr="00AA6144">
        <w:rPr>
          <w:color w:val="auto"/>
          <w:lang w:val="en-CA"/>
        </w:rPr>
        <w:t>i</w:t>
      </w:r>
      <w:r w:rsidRPr="00AA6144">
        <w:rPr>
          <w:color w:val="auto"/>
          <w:lang w:val="en-CA"/>
        </w:rPr>
        <w:t xml:space="preserve">nternational </w:t>
      </w:r>
      <w:r w:rsidR="00480752" w:rsidRPr="00AA6144">
        <w:rPr>
          <w:color w:val="auto"/>
          <w:lang w:val="en-CA"/>
        </w:rPr>
        <w:t>c</w:t>
      </w:r>
      <w:r w:rsidRPr="00AA6144">
        <w:rPr>
          <w:color w:val="auto"/>
          <w:lang w:val="en-CA"/>
        </w:rPr>
        <w:t xml:space="preserve">riminal </w:t>
      </w:r>
      <w:r w:rsidR="00480752" w:rsidRPr="00AA6144">
        <w:rPr>
          <w:color w:val="auto"/>
          <w:lang w:val="en-CA"/>
        </w:rPr>
        <w:t>c</w:t>
      </w:r>
      <w:r w:rsidRPr="00AA6144">
        <w:rPr>
          <w:color w:val="auto"/>
          <w:lang w:val="en-CA"/>
        </w:rPr>
        <w:t>ourt</w:t>
      </w:r>
      <w:bookmarkStart w:id="4" w:name="_Ref266968928"/>
      <w:r w:rsidRPr="00AA6144">
        <w:rPr>
          <w:rStyle w:val="FootnoteReference"/>
          <w:color w:val="auto"/>
          <w:lang w:val="en-CA"/>
        </w:rPr>
        <w:footnoteReference w:id="6"/>
      </w:r>
      <w:bookmarkEnd w:id="4"/>
      <w:r w:rsidRPr="00AA6144">
        <w:rPr>
          <w:color w:val="auto"/>
          <w:lang w:val="en-CA"/>
        </w:rPr>
        <w:t xml:space="preserve"> It should be read together with the Amnesty International paper, </w:t>
      </w:r>
      <w:r w:rsidRPr="00AA6144">
        <w:rPr>
          <w:i/>
          <w:color w:val="auto"/>
          <w:lang w:val="en-CA"/>
        </w:rPr>
        <w:t xml:space="preserve">Universal jurisdiction: The </w:t>
      </w:r>
      <w:r w:rsidR="000C2340">
        <w:rPr>
          <w:i/>
          <w:color w:val="auto"/>
          <w:lang w:val="en-CA"/>
        </w:rPr>
        <w:t>D</w:t>
      </w:r>
      <w:r w:rsidRPr="00AA6144">
        <w:rPr>
          <w:i/>
          <w:color w:val="auto"/>
          <w:lang w:val="en-CA"/>
        </w:rPr>
        <w:t xml:space="preserve">uty of </w:t>
      </w:r>
      <w:r w:rsidR="000C2340">
        <w:rPr>
          <w:i/>
          <w:color w:val="auto"/>
          <w:lang w:val="en-CA"/>
        </w:rPr>
        <w:t>S</w:t>
      </w:r>
      <w:r w:rsidRPr="00AA6144">
        <w:rPr>
          <w:i/>
          <w:color w:val="auto"/>
          <w:lang w:val="en-CA"/>
        </w:rPr>
        <w:t>tates</w:t>
      </w:r>
      <w:r w:rsidR="000C2340">
        <w:rPr>
          <w:i/>
          <w:color w:val="auto"/>
          <w:lang w:val="en-CA"/>
        </w:rPr>
        <w:t xml:space="preserve"> to Enact and Enforce Legislation</w:t>
      </w:r>
      <w:r w:rsidRPr="00AA6144">
        <w:rPr>
          <w:color w:val="auto"/>
          <w:lang w:val="en-CA"/>
        </w:rPr>
        <w:t xml:space="preserve">, AI Index </w:t>
      </w:r>
      <w:r w:rsidR="000C2340" w:rsidRPr="000C2340">
        <w:rPr>
          <w:color w:val="auto"/>
          <w:lang w:val="en-CA"/>
        </w:rPr>
        <w:t>IOR 53/017/2001</w:t>
      </w:r>
      <w:r w:rsidRPr="00AA6144">
        <w:rPr>
          <w:color w:val="auto"/>
          <w:lang w:val="en-CA"/>
        </w:rPr>
        <w:t xml:space="preserve"> [</w:t>
      </w:r>
      <w:r w:rsidR="000C2340">
        <w:rPr>
          <w:color w:val="auto"/>
          <w:lang w:val="en-CA"/>
        </w:rPr>
        <w:t>August</w:t>
      </w:r>
      <w:r w:rsidRPr="00AA6144">
        <w:rPr>
          <w:color w:val="auto"/>
          <w:lang w:val="en-CA"/>
        </w:rPr>
        <w:t xml:space="preserve"> </w:t>
      </w:r>
      <w:r w:rsidR="000C2340">
        <w:rPr>
          <w:color w:val="auto"/>
          <w:lang w:val="en-CA"/>
        </w:rPr>
        <w:t>2001</w:t>
      </w:r>
      <w:r w:rsidRPr="00AA6144">
        <w:rPr>
          <w:color w:val="auto"/>
          <w:lang w:val="en-CA"/>
        </w:rPr>
        <w:t>].</w:t>
      </w:r>
    </w:p>
    <w:p w14:paraId="34C0A740" w14:textId="4BA46300" w:rsidR="00817D68" w:rsidRDefault="00817D68" w:rsidP="00817D68">
      <w:pPr>
        <w:rPr>
          <w:lang w:val="en-CA"/>
        </w:rPr>
      </w:pPr>
      <w:bookmarkStart w:id="5" w:name="_Toc229562979"/>
    </w:p>
    <w:p w14:paraId="7C76D3AF" w14:textId="75A3D4DC" w:rsidR="00356280" w:rsidRDefault="00356280" w:rsidP="00817D68">
      <w:pPr>
        <w:rPr>
          <w:lang w:val="en-CA"/>
        </w:rPr>
      </w:pPr>
    </w:p>
    <w:p w14:paraId="2929F888" w14:textId="4A302F94" w:rsidR="00356280" w:rsidRDefault="00356280" w:rsidP="00817D68">
      <w:pPr>
        <w:rPr>
          <w:lang w:val="en-CA"/>
        </w:rPr>
      </w:pPr>
    </w:p>
    <w:p w14:paraId="359E271E" w14:textId="0F4F8863" w:rsidR="00356280" w:rsidRDefault="00356280" w:rsidP="00817D68">
      <w:pPr>
        <w:rPr>
          <w:lang w:val="en-CA"/>
        </w:rPr>
      </w:pPr>
    </w:p>
    <w:p w14:paraId="792FF350" w14:textId="3F962A7D" w:rsidR="00356280" w:rsidRDefault="00356280" w:rsidP="00817D68">
      <w:pPr>
        <w:rPr>
          <w:lang w:val="en-CA"/>
        </w:rPr>
      </w:pPr>
    </w:p>
    <w:p w14:paraId="7EE8E2EF" w14:textId="4756EFBF" w:rsidR="00356280" w:rsidRDefault="00356280" w:rsidP="00817D68">
      <w:pPr>
        <w:rPr>
          <w:lang w:val="en-CA"/>
        </w:rPr>
      </w:pPr>
    </w:p>
    <w:p w14:paraId="5996DB71" w14:textId="77777777" w:rsidR="00356280" w:rsidRPr="00AA6144" w:rsidRDefault="00356280" w:rsidP="00817D68">
      <w:pPr>
        <w:rPr>
          <w:lang w:val="en-CA"/>
        </w:rPr>
      </w:pPr>
    </w:p>
    <w:p w14:paraId="2671A070" w14:textId="19163529" w:rsidR="00283160" w:rsidRPr="00AA6144" w:rsidRDefault="00EF610D" w:rsidP="00EF610D">
      <w:pPr>
        <w:pStyle w:val="Heading1"/>
        <w:rPr>
          <w:color w:val="auto"/>
          <w:kern w:val="56"/>
          <w:lang w:val="en-CA"/>
        </w:rPr>
      </w:pPr>
      <w:bookmarkStart w:id="6" w:name="_Toc43382707"/>
      <w:r w:rsidRPr="00AA6144">
        <w:rPr>
          <w:color w:val="auto"/>
          <w:kern w:val="56"/>
          <w:lang w:val="en-CA"/>
        </w:rPr>
        <w:lastRenderedPageBreak/>
        <w:t>2. The Legal Framework</w:t>
      </w:r>
      <w:bookmarkEnd w:id="6"/>
    </w:p>
    <w:p w14:paraId="7024B710" w14:textId="77777777" w:rsidR="00D230A7" w:rsidRPr="00AA6144" w:rsidRDefault="00B44188" w:rsidP="00E1521B">
      <w:pPr>
        <w:pStyle w:val="AIBodyText"/>
        <w:rPr>
          <w:bCs/>
          <w:iCs/>
          <w:color w:val="auto"/>
          <w:szCs w:val="18"/>
          <w:lang w:val="en-CA"/>
        </w:rPr>
      </w:pPr>
      <w:r w:rsidRPr="00AA6144">
        <w:rPr>
          <w:bCs/>
          <w:iCs/>
          <w:color w:val="auto"/>
          <w:szCs w:val="18"/>
          <w:lang w:val="en-CA"/>
        </w:rPr>
        <w:t xml:space="preserve">Canada was founded through the union of former colonies of </w:t>
      </w:r>
      <w:r w:rsidR="007F2F95" w:rsidRPr="00AA6144">
        <w:rPr>
          <w:bCs/>
          <w:iCs/>
          <w:color w:val="auto"/>
          <w:szCs w:val="18"/>
          <w:lang w:val="en-CA"/>
        </w:rPr>
        <w:t xml:space="preserve">the </w:t>
      </w:r>
      <w:r w:rsidRPr="00AA6144">
        <w:rPr>
          <w:bCs/>
          <w:iCs/>
          <w:color w:val="auto"/>
          <w:szCs w:val="18"/>
          <w:lang w:val="en-CA"/>
        </w:rPr>
        <w:t>British Empire in North America. It became a dominion of the United Kingdom</w:t>
      </w:r>
      <w:r w:rsidR="007F2F95" w:rsidRPr="00AA6144">
        <w:rPr>
          <w:bCs/>
          <w:iCs/>
          <w:color w:val="auto"/>
          <w:szCs w:val="18"/>
          <w:lang w:val="en-CA"/>
        </w:rPr>
        <w:t xml:space="preserve"> in 1867 and acquired full independence as a sove</w:t>
      </w:r>
      <w:r w:rsidRPr="00AA6144">
        <w:rPr>
          <w:bCs/>
          <w:iCs/>
          <w:color w:val="auto"/>
          <w:szCs w:val="18"/>
          <w:lang w:val="en-CA"/>
        </w:rPr>
        <w:t>reign state</w:t>
      </w:r>
      <w:r w:rsidR="007F2F95" w:rsidRPr="00AA6144">
        <w:rPr>
          <w:bCs/>
          <w:iCs/>
          <w:color w:val="auto"/>
          <w:szCs w:val="18"/>
          <w:lang w:val="en-CA"/>
        </w:rPr>
        <w:t xml:space="preserve"> through the </w:t>
      </w:r>
      <w:r w:rsidR="007F2F95" w:rsidRPr="00AA6144">
        <w:rPr>
          <w:bCs/>
          <w:i/>
          <w:iCs/>
          <w:color w:val="auto"/>
          <w:szCs w:val="18"/>
          <w:lang w:val="en-CA"/>
        </w:rPr>
        <w:t>Statute of Wes</w:t>
      </w:r>
      <w:r w:rsidRPr="00AA6144">
        <w:rPr>
          <w:bCs/>
          <w:i/>
          <w:iCs/>
          <w:color w:val="auto"/>
          <w:szCs w:val="18"/>
          <w:lang w:val="en-CA"/>
        </w:rPr>
        <w:t>t</w:t>
      </w:r>
      <w:r w:rsidR="007F2F95" w:rsidRPr="00AA6144">
        <w:rPr>
          <w:bCs/>
          <w:i/>
          <w:iCs/>
          <w:color w:val="auto"/>
          <w:szCs w:val="18"/>
          <w:lang w:val="en-CA"/>
        </w:rPr>
        <w:t>minster</w:t>
      </w:r>
      <w:r w:rsidR="007F2F95" w:rsidRPr="00AA6144">
        <w:rPr>
          <w:bCs/>
          <w:iCs/>
          <w:color w:val="auto"/>
          <w:szCs w:val="18"/>
          <w:lang w:val="en-CA"/>
        </w:rPr>
        <w:t xml:space="preserve"> in 1936.</w:t>
      </w:r>
      <w:r w:rsidR="00A00ACA" w:rsidRPr="00AA6144">
        <w:rPr>
          <w:bCs/>
          <w:iCs/>
          <w:color w:val="auto"/>
          <w:szCs w:val="18"/>
          <w:lang w:val="en-CA"/>
        </w:rPr>
        <w:t xml:space="preserve"> C</w:t>
      </w:r>
      <w:r w:rsidR="00DD5CBC" w:rsidRPr="00AA6144">
        <w:rPr>
          <w:bCs/>
          <w:iCs/>
          <w:color w:val="auto"/>
          <w:szCs w:val="18"/>
          <w:lang w:val="en-CA"/>
        </w:rPr>
        <w:t>anada is a federal state and its constitution provides for</w:t>
      </w:r>
      <w:r w:rsidR="00A00ACA" w:rsidRPr="00AA6144">
        <w:rPr>
          <w:bCs/>
          <w:iCs/>
          <w:color w:val="auto"/>
          <w:szCs w:val="18"/>
          <w:lang w:val="en-CA"/>
        </w:rPr>
        <w:t xml:space="preserve"> two levels of government: a federal government and ten provincial governments.</w:t>
      </w:r>
      <w:r w:rsidR="00DD5CBC" w:rsidRPr="00AA6144">
        <w:rPr>
          <w:bCs/>
          <w:iCs/>
          <w:color w:val="auto"/>
          <w:szCs w:val="18"/>
          <w:lang w:val="en-CA"/>
        </w:rPr>
        <w:t xml:space="preserve"> Canada also has three territories that exercise powers delegated to them by the federal government.</w:t>
      </w:r>
    </w:p>
    <w:p w14:paraId="4B8FD181" w14:textId="77777777" w:rsidR="00283160" w:rsidRPr="00AA6144" w:rsidRDefault="00283160" w:rsidP="003034C6">
      <w:pPr>
        <w:pStyle w:val="Heading2"/>
        <w:rPr>
          <w:color w:val="auto"/>
          <w:lang w:val="en-CA"/>
        </w:rPr>
      </w:pPr>
      <w:bookmarkStart w:id="7" w:name="_Toc43382708"/>
      <w:r w:rsidRPr="00AA6144">
        <w:rPr>
          <w:color w:val="auto"/>
          <w:lang w:val="en-CA"/>
        </w:rPr>
        <w:t>2.1 Type of legal system</w:t>
      </w:r>
      <w:bookmarkEnd w:id="5"/>
      <w:bookmarkEnd w:id="7"/>
    </w:p>
    <w:p w14:paraId="676522E5" w14:textId="77777777" w:rsidR="00437A3D" w:rsidRPr="00AA6144" w:rsidRDefault="00437A3D" w:rsidP="00437A3D">
      <w:pPr>
        <w:spacing w:after="0"/>
        <w:rPr>
          <w:lang w:val="en-CA"/>
        </w:rPr>
      </w:pPr>
    </w:p>
    <w:p w14:paraId="2DF88DA6" w14:textId="56814A86" w:rsidR="00F64817" w:rsidRPr="00AA6144" w:rsidRDefault="00B44188" w:rsidP="003034C6">
      <w:pPr>
        <w:pStyle w:val="AIBodyText"/>
        <w:rPr>
          <w:color w:val="auto"/>
          <w:lang w:val="en-CA"/>
        </w:rPr>
      </w:pPr>
      <w:r w:rsidRPr="00AA6144">
        <w:rPr>
          <w:color w:val="auto"/>
          <w:lang w:val="en-CA"/>
        </w:rPr>
        <w:t>Canada</w:t>
      </w:r>
      <w:r w:rsidR="00A00ACA" w:rsidRPr="00AA6144">
        <w:rPr>
          <w:color w:val="auto"/>
          <w:lang w:val="en-CA"/>
        </w:rPr>
        <w:t>’s</w:t>
      </w:r>
      <w:r w:rsidR="00D230A7" w:rsidRPr="00AA6144">
        <w:rPr>
          <w:color w:val="auto"/>
          <w:lang w:val="en-CA"/>
        </w:rPr>
        <w:t xml:space="preserve"> </w:t>
      </w:r>
      <w:r w:rsidR="00A00ACA" w:rsidRPr="00AA6144">
        <w:rPr>
          <w:color w:val="auto"/>
          <w:lang w:val="en-CA"/>
        </w:rPr>
        <w:t>federal government and nine of its provinces</w:t>
      </w:r>
      <w:r w:rsidR="00D230A7" w:rsidRPr="00AA6144">
        <w:rPr>
          <w:color w:val="auto"/>
          <w:lang w:val="en-CA"/>
        </w:rPr>
        <w:t xml:space="preserve"> </w:t>
      </w:r>
      <w:r w:rsidR="00A00ACA" w:rsidRPr="00AA6144">
        <w:rPr>
          <w:color w:val="auto"/>
          <w:lang w:val="en-CA"/>
        </w:rPr>
        <w:t>have</w:t>
      </w:r>
      <w:r w:rsidR="00EC43B9" w:rsidRPr="00AA6144">
        <w:rPr>
          <w:color w:val="auto"/>
          <w:lang w:val="en-CA"/>
        </w:rPr>
        <w:t xml:space="preserve"> a common law legal system</w:t>
      </w:r>
      <w:r w:rsidR="00DD5CBC" w:rsidRPr="00AA6144">
        <w:rPr>
          <w:color w:val="auto"/>
          <w:lang w:val="en-CA"/>
        </w:rPr>
        <w:t xml:space="preserve"> that </w:t>
      </w:r>
      <w:r w:rsidR="00EC43B9" w:rsidRPr="00AA6144">
        <w:rPr>
          <w:color w:val="auto"/>
          <w:lang w:val="en-CA"/>
        </w:rPr>
        <w:t xml:space="preserve">is modelled </w:t>
      </w:r>
      <w:r w:rsidRPr="00AA6144">
        <w:rPr>
          <w:color w:val="auto"/>
          <w:lang w:val="en-CA"/>
        </w:rPr>
        <w:t xml:space="preserve">on the legal system of the United Kingdom. </w:t>
      </w:r>
      <w:r w:rsidR="00DD5CBC" w:rsidRPr="00AA6144">
        <w:rPr>
          <w:color w:val="auto"/>
          <w:lang w:val="en-CA"/>
        </w:rPr>
        <w:t>T</w:t>
      </w:r>
      <w:r w:rsidR="00D230A7" w:rsidRPr="00AA6144">
        <w:rPr>
          <w:color w:val="auto"/>
          <w:lang w:val="en-CA"/>
        </w:rPr>
        <w:t>he province</w:t>
      </w:r>
      <w:r w:rsidR="00EC43B9" w:rsidRPr="00AA6144">
        <w:rPr>
          <w:color w:val="auto"/>
          <w:lang w:val="en-CA"/>
        </w:rPr>
        <w:t xml:space="preserve"> </w:t>
      </w:r>
      <w:r w:rsidR="00A00ACA" w:rsidRPr="00AA6144">
        <w:rPr>
          <w:color w:val="auto"/>
          <w:lang w:val="en-CA"/>
        </w:rPr>
        <w:t xml:space="preserve">of Québec </w:t>
      </w:r>
      <w:r w:rsidR="00B3788F" w:rsidRPr="00AA6144">
        <w:rPr>
          <w:color w:val="auto"/>
          <w:lang w:val="en-CA"/>
        </w:rPr>
        <w:t>possesses</w:t>
      </w:r>
      <w:r w:rsidR="00A00ACA" w:rsidRPr="00AA6144">
        <w:rPr>
          <w:color w:val="auto"/>
          <w:lang w:val="en-CA"/>
        </w:rPr>
        <w:t xml:space="preserve"> a </w:t>
      </w:r>
      <w:r w:rsidR="00B3788F" w:rsidRPr="00AA6144">
        <w:rPr>
          <w:color w:val="auto"/>
          <w:lang w:val="en-CA"/>
        </w:rPr>
        <w:t>mixed legal system</w:t>
      </w:r>
      <w:r w:rsidR="007C6C0E" w:rsidRPr="00AA6144">
        <w:rPr>
          <w:color w:val="auto"/>
          <w:lang w:val="en-CA"/>
        </w:rPr>
        <w:t xml:space="preserve">. </w:t>
      </w:r>
      <w:r w:rsidR="00417CF4">
        <w:rPr>
          <w:color w:val="auto"/>
          <w:lang w:val="en-CA"/>
        </w:rPr>
        <w:t>Québec p</w:t>
      </w:r>
      <w:r w:rsidR="00B3788F" w:rsidRPr="00AA6144">
        <w:rPr>
          <w:color w:val="auto"/>
          <w:lang w:val="en-CA"/>
        </w:rPr>
        <w:t xml:space="preserve">ublic law, including criminal law, </w:t>
      </w:r>
      <w:r w:rsidR="007C6C0E" w:rsidRPr="00AA6144">
        <w:rPr>
          <w:color w:val="auto"/>
          <w:lang w:val="en-CA"/>
        </w:rPr>
        <w:t>is a</w:t>
      </w:r>
      <w:r w:rsidR="00B3788F" w:rsidRPr="00AA6144">
        <w:rPr>
          <w:color w:val="auto"/>
          <w:lang w:val="en-CA"/>
        </w:rPr>
        <w:t xml:space="preserve"> common law</w:t>
      </w:r>
      <w:r w:rsidR="007C6C0E" w:rsidRPr="00AA6144">
        <w:rPr>
          <w:color w:val="auto"/>
          <w:lang w:val="en-CA"/>
        </w:rPr>
        <w:t xml:space="preserve"> </w:t>
      </w:r>
      <w:proofErr w:type="gramStart"/>
      <w:r w:rsidR="007C6C0E" w:rsidRPr="00AA6144">
        <w:rPr>
          <w:color w:val="auto"/>
          <w:lang w:val="en-CA"/>
        </w:rPr>
        <w:t>system;</w:t>
      </w:r>
      <w:proofErr w:type="gramEnd"/>
      <w:r w:rsidR="007C6C0E" w:rsidRPr="00AA6144">
        <w:rPr>
          <w:color w:val="auto"/>
          <w:lang w:val="en-CA"/>
        </w:rPr>
        <w:t xml:space="preserve"> </w:t>
      </w:r>
      <w:r w:rsidR="00417CF4">
        <w:rPr>
          <w:color w:val="auto"/>
          <w:lang w:val="en-CA"/>
        </w:rPr>
        <w:t>while Québec</w:t>
      </w:r>
      <w:r w:rsidR="007C6C0E" w:rsidRPr="00AA6144">
        <w:rPr>
          <w:color w:val="auto"/>
          <w:lang w:val="en-CA"/>
        </w:rPr>
        <w:t xml:space="preserve"> </w:t>
      </w:r>
      <w:r w:rsidR="00A00ACA" w:rsidRPr="00AA6144">
        <w:rPr>
          <w:color w:val="auto"/>
          <w:lang w:val="en-CA"/>
        </w:rPr>
        <w:t>p</w:t>
      </w:r>
      <w:r w:rsidR="007C6C0E" w:rsidRPr="00AA6144">
        <w:rPr>
          <w:color w:val="auto"/>
          <w:lang w:val="en-CA"/>
        </w:rPr>
        <w:t xml:space="preserve">rivate law is a civil law </w:t>
      </w:r>
      <w:r w:rsidR="007C6C0E" w:rsidRPr="00356280">
        <w:rPr>
          <w:color w:val="auto"/>
          <w:lang w:val="en-CA"/>
        </w:rPr>
        <w:t>system.</w:t>
      </w:r>
      <w:r w:rsidR="002F6C20" w:rsidRPr="00356280">
        <w:rPr>
          <w:color w:val="auto"/>
          <w:lang w:val="en-CA"/>
        </w:rPr>
        <w:t xml:space="preserve"> While t</w:t>
      </w:r>
      <w:r w:rsidR="00E045AC" w:rsidRPr="00356280">
        <w:rPr>
          <w:color w:val="auto"/>
          <w:lang w:val="en-CA"/>
        </w:rPr>
        <w:t>his</w:t>
      </w:r>
      <w:r w:rsidR="002F6C20" w:rsidRPr="00356280">
        <w:rPr>
          <w:color w:val="auto"/>
          <w:lang w:val="en-CA"/>
        </w:rPr>
        <w:t xml:space="preserve"> </w:t>
      </w:r>
      <w:r w:rsidR="00E045AC" w:rsidRPr="00356280">
        <w:rPr>
          <w:color w:val="auto"/>
          <w:lang w:val="en-CA"/>
        </w:rPr>
        <w:t xml:space="preserve">description </w:t>
      </w:r>
      <w:r w:rsidR="002F6C20" w:rsidRPr="00356280">
        <w:rPr>
          <w:color w:val="auto"/>
          <w:lang w:val="en-CA"/>
        </w:rPr>
        <w:t>characterises the formal legal system</w:t>
      </w:r>
      <w:r w:rsidR="00E045AC" w:rsidRPr="00356280">
        <w:rPr>
          <w:color w:val="auto"/>
          <w:lang w:val="en-CA"/>
        </w:rPr>
        <w:t>s</w:t>
      </w:r>
      <w:r w:rsidR="002F6C20" w:rsidRPr="00356280">
        <w:rPr>
          <w:color w:val="auto"/>
          <w:lang w:val="en-CA"/>
        </w:rPr>
        <w:t xml:space="preserve"> of the settler state in Canada, there is a growing </w:t>
      </w:r>
      <w:r w:rsidR="00663765" w:rsidRPr="00356280">
        <w:rPr>
          <w:color w:val="auto"/>
          <w:lang w:val="en-CA"/>
        </w:rPr>
        <w:t>acknowledgement</w:t>
      </w:r>
      <w:r w:rsidR="002F6C20" w:rsidRPr="00356280">
        <w:rPr>
          <w:color w:val="auto"/>
          <w:lang w:val="en-CA"/>
        </w:rPr>
        <w:t xml:space="preserve"> that the </w:t>
      </w:r>
      <w:r w:rsidR="00185609" w:rsidRPr="00356280">
        <w:rPr>
          <w:color w:val="auto"/>
          <w:lang w:val="en-CA"/>
        </w:rPr>
        <w:t xml:space="preserve">recognition, revitalization and implementation of Indigenous </w:t>
      </w:r>
      <w:r w:rsidR="002F6C20" w:rsidRPr="00356280">
        <w:rPr>
          <w:color w:val="auto"/>
          <w:lang w:val="en-CA"/>
        </w:rPr>
        <w:t xml:space="preserve">law and </w:t>
      </w:r>
      <w:r w:rsidR="00185609" w:rsidRPr="00356280">
        <w:rPr>
          <w:color w:val="auto"/>
          <w:lang w:val="en-CA"/>
        </w:rPr>
        <w:t xml:space="preserve">legal traditions </w:t>
      </w:r>
      <w:r w:rsidR="002F6C20" w:rsidRPr="00356280">
        <w:rPr>
          <w:color w:val="auto"/>
          <w:lang w:val="en-CA"/>
        </w:rPr>
        <w:t xml:space="preserve">is a vital element of the process of reconciliation with </w:t>
      </w:r>
      <w:r w:rsidR="00D30944" w:rsidRPr="00356280">
        <w:rPr>
          <w:color w:val="auto"/>
          <w:lang w:val="en-CA"/>
        </w:rPr>
        <w:t>Indigenous peoples</w:t>
      </w:r>
      <w:r w:rsidR="00417CF4" w:rsidRPr="00356280">
        <w:rPr>
          <w:color w:val="auto"/>
          <w:lang w:val="en-CA"/>
        </w:rPr>
        <w:t>.</w:t>
      </w:r>
      <w:r w:rsidR="00417CF4" w:rsidRPr="00356280">
        <w:rPr>
          <w:rStyle w:val="FootnoteReference"/>
          <w:color w:val="auto"/>
          <w:lang w:val="en-CA"/>
        </w:rPr>
        <w:footnoteReference w:id="7"/>
      </w:r>
      <w:r w:rsidR="002F6C20" w:rsidRPr="00356280">
        <w:rPr>
          <w:color w:val="auto"/>
          <w:lang w:val="en-CA"/>
        </w:rPr>
        <w:t xml:space="preserve"> While this report does not address the intersections of Indigenous legal traditions and </w:t>
      </w:r>
      <w:r w:rsidR="005137FC" w:rsidRPr="00356280">
        <w:rPr>
          <w:color w:val="auto"/>
          <w:lang w:val="en-CA"/>
        </w:rPr>
        <w:t>Canada’s obligations to</w:t>
      </w:r>
      <w:r w:rsidR="002F6C20" w:rsidRPr="00356280">
        <w:rPr>
          <w:color w:val="auto"/>
          <w:lang w:val="en-CA"/>
        </w:rPr>
        <w:t xml:space="preserve"> </w:t>
      </w:r>
      <w:r w:rsidR="005137FC" w:rsidRPr="00356280">
        <w:rPr>
          <w:color w:val="auto"/>
          <w:lang w:val="en-CA"/>
        </w:rPr>
        <w:t>investigate and prosecute individuals for the commission of</w:t>
      </w:r>
      <w:r w:rsidR="002F6C20" w:rsidRPr="00356280">
        <w:rPr>
          <w:color w:val="auto"/>
          <w:lang w:val="en-CA"/>
        </w:rPr>
        <w:t xml:space="preserve"> international crimes, </w:t>
      </w:r>
      <w:r w:rsidR="005137FC" w:rsidRPr="00356280">
        <w:rPr>
          <w:color w:val="auto"/>
          <w:lang w:val="en-CA"/>
        </w:rPr>
        <w:t>these traditions</w:t>
      </w:r>
      <w:r w:rsidR="00CB3201" w:rsidRPr="00356280">
        <w:rPr>
          <w:color w:val="auto"/>
          <w:lang w:val="en-CA"/>
        </w:rPr>
        <w:t>, as long as in accordance</w:t>
      </w:r>
      <w:r w:rsidR="00DA5DD2" w:rsidRPr="00356280">
        <w:rPr>
          <w:color w:val="auto"/>
          <w:lang w:val="en-CA"/>
        </w:rPr>
        <w:t xml:space="preserve"> with </w:t>
      </w:r>
      <w:r w:rsidR="00D30944" w:rsidRPr="00356280">
        <w:rPr>
          <w:color w:val="auto"/>
          <w:lang w:val="en-CA"/>
        </w:rPr>
        <w:t>international</w:t>
      </w:r>
      <w:r w:rsidR="00DA5DD2" w:rsidRPr="00356280">
        <w:rPr>
          <w:color w:val="auto"/>
          <w:lang w:val="en-CA"/>
        </w:rPr>
        <w:t xml:space="preserve"> human rights</w:t>
      </w:r>
      <w:r w:rsidR="00356280" w:rsidRPr="00356280">
        <w:rPr>
          <w:color w:val="auto"/>
          <w:lang w:val="en-CA"/>
        </w:rPr>
        <w:t xml:space="preserve"> standards</w:t>
      </w:r>
      <w:r w:rsidR="00DA5DD2" w:rsidRPr="00356280">
        <w:rPr>
          <w:color w:val="auto"/>
          <w:lang w:val="en-CA"/>
        </w:rPr>
        <w:t>,</w:t>
      </w:r>
      <w:r w:rsidR="005137FC" w:rsidRPr="00356280">
        <w:rPr>
          <w:color w:val="auto"/>
          <w:lang w:val="en-CA"/>
        </w:rPr>
        <w:t xml:space="preserve"> </w:t>
      </w:r>
      <w:r w:rsidR="00D30944" w:rsidRPr="00356280">
        <w:rPr>
          <w:color w:val="auto"/>
          <w:lang w:val="en-CA"/>
        </w:rPr>
        <w:t>including the U</w:t>
      </w:r>
      <w:r w:rsidR="00584812" w:rsidRPr="00356280">
        <w:rPr>
          <w:color w:val="auto"/>
          <w:lang w:val="en-CA"/>
        </w:rPr>
        <w:t>nited Nations</w:t>
      </w:r>
      <w:r w:rsidR="00D30944" w:rsidRPr="00356280">
        <w:rPr>
          <w:color w:val="auto"/>
          <w:lang w:val="en-CA"/>
        </w:rPr>
        <w:t xml:space="preserve"> Declaration on the Rights of Indigenous Peoples, </w:t>
      </w:r>
      <w:r w:rsidR="005137FC" w:rsidRPr="00356280">
        <w:rPr>
          <w:color w:val="auto"/>
          <w:lang w:val="en-CA"/>
        </w:rPr>
        <w:t>have an important role to play in on-goin</w:t>
      </w:r>
      <w:r w:rsidR="00E045AC" w:rsidRPr="00356280">
        <w:rPr>
          <w:color w:val="auto"/>
          <w:lang w:val="en-CA"/>
        </w:rPr>
        <w:t>g</w:t>
      </w:r>
      <w:r w:rsidR="005137FC" w:rsidRPr="00356280">
        <w:rPr>
          <w:color w:val="auto"/>
          <w:lang w:val="en-CA"/>
        </w:rPr>
        <w:t xml:space="preserve"> processes of </w:t>
      </w:r>
      <w:r w:rsidR="003D76E4" w:rsidRPr="00356280">
        <w:rPr>
          <w:color w:val="auto"/>
          <w:lang w:val="en-CA"/>
        </w:rPr>
        <w:t xml:space="preserve">justice, </w:t>
      </w:r>
      <w:r w:rsidR="005137FC" w:rsidRPr="00356280">
        <w:rPr>
          <w:color w:val="auto"/>
          <w:lang w:val="en-CA"/>
        </w:rPr>
        <w:t>truth, and re</w:t>
      </w:r>
      <w:r w:rsidR="003D76E4" w:rsidRPr="00356280">
        <w:rPr>
          <w:color w:val="auto"/>
          <w:lang w:val="en-CA"/>
        </w:rPr>
        <w:t>paration</w:t>
      </w:r>
      <w:r w:rsidR="005137FC" w:rsidRPr="00356280">
        <w:rPr>
          <w:color w:val="auto"/>
          <w:lang w:val="en-CA"/>
        </w:rPr>
        <w:t xml:space="preserve">, most notably in relation to serious crimes that have been committed against </w:t>
      </w:r>
      <w:r w:rsidR="00D30944" w:rsidRPr="00356280">
        <w:rPr>
          <w:color w:val="auto"/>
          <w:lang w:val="en-CA"/>
        </w:rPr>
        <w:t>Indigenous peoples</w:t>
      </w:r>
      <w:r w:rsidR="005137FC" w:rsidRPr="00356280">
        <w:rPr>
          <w:color w:val="auto"/>
          <w:lang w:val="en-CA"/>
        </w:rPr>
        <w:t>.</w:t>
      </w:r>
      <w:r w:rsidR="005137FC" w:rsidRPr="00356280">
        <w:rPr>
          <w:rStyle w:val="FootnoteReference"/>
          <w:color w:val="auto"/>
          <w:lang w:val="en-CA"/>
        </w:rPr>
        <w:footnoteReference w:id="8"/>
      </w:r>
      <w:r w:rsidR="005137FC">
        <w:rPr>
          <w:color w:val="auto"/>
          <w:lang w:val="en-CA"/>
        </w:rPr>
        <w:t xml:space="preserve"> </w:t>
      </w:r>
    </w:p>
    <w:p w14:paraId="335EE6B5" w14:textId="77777777" w:rsidR="000F2480" w:rsidRPr="00AA6144" w:rsidRDefault="00B3788F" w:rsidP="000F2480">
      <w:pPr>
        <w:pStyle w:val="AIBodyText"/>
        <w:rPr>
          <w:color w:val="auto"/>
          <w:lang w:val="en-CA"/>
        </w:rPr>
      </w:pPr>
      <w:r w:rsidRPr="00AA6144">
        <w:rPr>
          <w:color w:val="auto"/>
          <w:lang w:val="en-CA"/>
        </w:rPr>
        <w:t xml:space="preserve">Canada </w:t>
      </w:r>
      <w:r w:rsidR="007C6C0E" w:rsidRPr="00AA6144">
        <w:rPr>
          <w:color w:val="auto"/>
          <w:lang w:val="en-CA"/>
        </w:rPr>
        <w:t>has a separate</w:t>
      </w:r>
      <w:r w:rsidR="00DD5CBC" w:rsidRPr="00AA6144">
        <w:rPr>
          <w:color w:val="auto"/>
          <w:lang w:val="en-CA"/>
        </w:rPr>
        <w:t xml:space="preserve"> military justice system </w:t>
      </w:r>
      <w:r w:rsidR="000F2480" w:rsidRPr="00AA6144">
        <w:rPr>
          <w:color w:val="auto"/>
          <w:lang w:val="en-CA"/>
        </w:rPr>
        <w:t xml:space="preserve">(see Section 2.3.2 below). </w:t>
      </w:r>
    </w:p>
    <w:p w14:paraId="5AC57994" w14:textId="77777777" w:rsidR="00283160" w:rsidRPr="00AA6144" w:rsidRDefault="00283160" w:rsidP="00283160">
      <w:pPr>
        <w:pStyle w:val="Heading2"/>
        <w:rPr>
          <w:color w:val="auto"/>
          <w:lang w:val="en-CA"/>
        </w:rPr>
      </w:pPr>
      <w:bookmarkStart w:id="8" w:name="_Toc229562980"/>
      <w:bookmarkStart w:id="9" w:name="_Toc43382709"/>
      <w:r w:rsidRPr="00AA6144">
        <w:rPr>
          <w:color w:val="auto"/>
          <w:lang w:val="en-CA"/>
        </w:rPr>
        <w:t xml:space="preserve">2.2 </w:t>
      </w:r>
      <w:r w:rsidR="009257F1" w:rsidRPr="00AA6144">
        <w:rPr>
          <w:color w:val="auto"/>
          <w:lang w:val="en-CA"/>
        </w:rPr>
        <w:t>S</w:t>
      </w:r>
      <w:r w:rsidRPr="00AA6144">
        <w:rPr>
          <w:color w:val="auto"/>
          <w:lang w:val="en-CA"/>
        </w:rPr>
        <w:t>tatus of international law</w:t>
      </w:r>
      <w:bookmarkEnd w:id="8"/>
      <w:bookmarkEnd w:id="9"/>
    </w:p>
    <w:p w14:paraId="64D61C13" w14:textId="77777777" w:rsidR="00437A3D" w:rsidRPr="00AA6144" w:rsidRDefault="00437A3D" w:rsidP="00437A3D">
      <w:pPr>
        <w:spacing w:after="0"/>
        <w:rPr>
          <w:lang w:val="en-CA"/>
        </w:rPr>
      </w:pPr>
    </w:p>
    <w:p w14:paraId="04FFE1AB" w14:textId="77777777" w:rsidR="007C6C0E" w:rsidRPr="00AA6144" w:rsidRDefault="007C6C0E" w:rsidP="007C6C0E">
      <w:pPr>
        <w:pStyle w:val="AIBodyText"/>
        <w:ind w:right="714"/>
        <w:rPr>
          <w:color w:val="auto"/>
          <w:lang w:val="en-CA"/>
        </w:rPr>
      </w:pPr>
      <w:r w:rsidRPr="00AA6144">
        <w:rPr>
          <w:color w:val="auto"/>
          <w:lang w:val="en-CA"/>
        </w:rPr>
        <w:t>In Canada, different rules apply to the reception of international law depending on the source of the legal rule being received. Canada’s reception system is a combination of monist and dualist approaches.</w:t>
      </w:r>
      <w:bookmarkStart w:id="10" w:name="_Ref266965260"/>
      <w:r w:rsidRPr="00AA6144">
        <w:rPr>
          <w:rStyle w:val="FootnoteReference"/>
          <w:color w:val="auto"/>
          <w:lang w:val="en-CA"/>
        </w:rPr>
        <w:footnoteReference w:id="9"/>
      </w:r>
      <w:bookmarkEnd w:id="10"/>
      <w:r w:rsidRPr="00AA6144">
        <w:rPr>
          <w:color w:val="auto"/>
          <w:lang w:val="en-CA"/>
        </w:rPr>
        <w:t xml:space="preserve"> </w:t>
      </w:r>
    </w:p>
    <w:p w14:paraId="67810BA6" w14:textId="74ECAAE9" w:rsidR="007C6C0E" w:rsidRPr="00AA6144" w:rsidRDefault="009F6712" w:rsidP="007C6C0E">
      <w:pPr>
        <w:pStyle w:val="AIBodyText"/>
        <w:ind w:right="714"/>
        <w:rPr>
          <w:color w:val="auto"/>
          <w:lang w:val="en-CA"/>
        </w:rPr>
      </w:pPr>
      <w:r w:rsidRPr="00AA6144">
        <w:rPr>
          <w:color w:val="auto"/>
          <w:lang w:val="en-CA"/>
        </w:rPr>
        <w:t xml:space="preserve">For customary international law, </w:t>
      </w:r>
      <w:r w:rsidR="007C6C0E" w:rsidRPr="00AA6144">
        <w:rPr>
          <w:color w:val="auto"/>
          <w:lang w:val="en-CA"/>
        </w:rPr>
        <w:t xml:space="preserve">Canadian courts follow the monist approach. This means </w:t>
      </w:r>
      <w:r w:rsidR="007C6C0E" w:rsidRPr="00AA6144">
        <w:rPr>
          <w:color w:val="auto"/>
          <w:lang w:val="en-CA"/>
        </w:rPr>
        <w:lastRenderedPageBreak/>
        <w:t xml:space="preserve">that </w:t>
      </w:r>
      <w:r w:rsidRPr="00AA6144">
        <w:rPr>
          <w:color w:val="auto"/>
          <w:lang w:val="en-CA"/>
        </w:rPr>
        <w:t xml:space="preserve">customary </w:t>
      </w:r>
      <w:r w:rsidR="007C6C0E" w:rsidRPr="00AA6144">
        <w:rPr>
          <w:color w:val="auto"/>
          <w:lang w:val="en-CA"/>
        </w:rPr>
        <w:t>rules are treated as part of Canadian law and may be directly and immediately applied by domestic courts through the common law without legislative or executive action. This approach results from Canada’s constitutional structure and its deep roots in the English legal system.</w:t>
      </w:r>
      <w:r w:rsidRPr="00AA6144">
        <w:rPr>
          <w:color w:val="auto"/>
          <w:lang w:val="en-CA"/>
        </w:rPr>
        <w:t xml:space="preserve"> There is one exception to this approach: customary international criminal law is applied following the dualist approach.</w:t>
      </w:r>
      <w:r w:rsidR="007C6C0E" w:rsidRPr="00AA6144">
        <w:rPr>
          <w:color w:val="auto"/>
          <w:lang w:val="en-CA"/>
        </w:rPr>
        <w:t xml:space="preserve"> </w:t>
      </w:r>
      <w:r w:rsidR="003B24E9" w:rsidRPr="00AA6144">
        <w:rPr>
          <w:color w:val="auto"/>
          <w:lang w:val="en-CA"/>
        </w:rPr>
        <w:t xml:space="preserve">Canada’s </w:t>
      </w:r>
      <w:r w:rsidR="003B24E9" w:rsidRPr="00AA6144">
        <w:rPr>
          <w:i/>
          <w:color w:val="auto"/>
          <w:lang w:val="en-CA"/>
        </w:rPr>
        <w:t xml:space="preserve">Criminal Code </w:t>
      </w:r>
      <w:r w:rsidR="00347097" w:rsidRPr="00AA6144">
        <w:rPr>
          <w:color w:val="auto"/>
          <w:lang w:val="en-CA"/>
        </w:rPr>
        <w:t>stipulates</w:t>
      </w:r>
      <w:r w:rsidR="003B24E9" w:rsidRPr="00AA6144">
        <w:rPr>
          <w:color w:val="auto"/>
          <w:lang w:val="en-CA"/>
        </w:rPr>
        <w:t xml:space="preserve"> there are no common law crimes, so even if a customary criminal prohibition exists in international law, it must be implemented by domestic statute.</w:t>
      </w:r>
      <w:bookmarkStart w:id="11" w:name="_Ref266965463"/>
      <w:r w:rsidR="007C6C0E" w:rsidRPr="00AA6144">
        <w:rPr>
          <w:color w:val="auto"/>
          <w:vertAlign w:val="superscript"/>
          <w:lang w:val="en-CA"/>
        </w:rPr>
        <w:footnoteReference w:id="10"/>
      </w:r>
      <w:bookmarkEnd w:id="11"/>
      <w:r w:rsidR="005D3974" w:rsidRPr="00AA6144">
        <w:rPr>
          <w:color w:val="auto"/>
          <w:lang w:val="en-CA"/>
        </w:rPr>
        <w:t xml:space="preserve">. </w:t>
      </w:r>
      <w:r w:rsidR="007C6C0E" w:rsidRPr="00AA6144">
        <w:rPr>
          <w:color w:val="auto"/>
          <w:lang w:val="en-CA"/>
        </w:rPr>
        <w:t xml:space="preserve">Also, the </w:t>
      </w:r>
      <w:r w:rsidR="007C6C0E" w:rsidRPr="00AA6144">
        <w:rPr>
          <w:i/>
          <w:color w:val="auto"/>
          <w:lang w:val="en-CA"/>
        </w:rPr>
        <w:t>Canadian Charter of Rights and Freedom</w:t>
      </w:r>
      <w:r w:rsidR="002C7B41" w:rsidRPr="00AA6144">
        <w:rPr>
          <w:i/>
          <w:color w:val="auto"/>
          <w:lang w:val="en-CA"/>
        </w:rPr>
        <w:t>s</w:t>
      </w:r>
      <w:r w:rsidR="007C6C0E" w:rsidRPr="00AA6144">
        <w:rPr>
          <w:color w:val="auto"/>
          <w:lang w:val="en-CA"/>
        </w:rPr>
        <w:t xml:space="preserve"> provides that an individual charged with an offence has the right “not to be found guilty on account of any act or omission unless, at the time of the act or omission, it constituted an offence under Canadian or international law or was criminal according to the general principles of law recognized by the community of nations.”</w:t>
      </w:r>
      <w:bookmarkStart w:id="12" w:name="_Ref267055058"/>
      <w:r w:rsidR="007C6C0E" w:rsidRPr="00AA6144">
        <w:rPr>
          <w:color w:val="auto"/>
          <w:vertAlign w:val="superscript"/>
          <w:lang w:val="en-CA"/>
        </w:rPr>
        <w:footnoteReference w:id="11"/>
      </w:r>
      <w:bookmarkEnd w:id="12"/>
      <w:r w:rsidR="005D3974" w:rsidRPr="00AA6144">
        <w:rPr>
          <w:color w:val="auto"/>
          <w:vertAlign w:val="superscript"/>
          <w:lang w:val="en-CA"/>
        </w:rPr>
        <w:t xml:space="preserve"> </w:t>
      </w:r>
      <w:r w:rsidR="00612C7D">
        <w:rPr>
          <w:color w:val="auto"/>
          <w:vertAlign w:val="superscript"/>
          <w:lang w:val="en-CA"/>
        </w:rPr>
        <w:t xml:space="preserve">  </w:t>
      </w:r>
      <w:r w:rsidR="007C6C0E" w:rsidRPr="00AA6144">
        <w:rPr>
          <w:color w:val="auto"/>
          <w:lang w:val="en-CA"/>
        </w:rPr>
        <w:t xml:space="preserve">Therefore, judges cannot base their verdict upon a crime in customary international criminal law if </w:t>
      </w:r>
      <w:r w:rsidRPr="00AA6144">
        <w:rPr>
          <w:color w:val="auto"/>
          <w:lang w:val="en-CA"/>
        </w:rPr>
        <w:t xml:space="preserve">that </w:t>
      </w:r>
      <w:r w:rsidR="007C6C0E" w:rsidRPr="00AA6144">
        <w:rPr>
          <w:color w:val="auto"/>
          <w:lang w:val="en-CA"/>
        </w:rPr>
        <w:t xml:space="preserve">crime </w:t>
      </w:r>
      <w:r w:rsidRPr="00AA6144">
        <w:rPr>
          <w:color w:val="auto"/>
          <w:lang w:val="en-CA"/>
        </w:rPr>
        <w:t>is not found</w:t>
      </w:r>
      <w:r w:rsidR="007C6C0E" w:rsidRPr="00AA6144">
        <w:rPr>
          <w:color w:val="auto"/>
          <w:lang w:val="en-CA"/>
        </w:rPr>
        <w:t xml:space="preserve"> in Canadian law</w:t>
      </w:r>
      <w:r w:rsidR="00B3535A" w:rsidRPr="00AA6144">
        <w:rPr>
          <w:color w:val="auto"/>
          <w:lang w:val="en-CA"/>
        </w:rPr>
        <w:t>,</w:t>
      </w:r>
      <w:r w:rsidRPr="00AA6144">
        <w:rPr>
          <w:color w:val="auto"/>
          <w:lang w:val="en-CA"/>
        </w:rPr>
        <w:t xml:space="preserve"> or Canadian law explicitly references customary international criminal law as being supplementary</w:t>
      </w:r>
      <w:r w:rsidR="007C6C0E" w:rsidRPr="00AA6144">
        <w:rPr>
          <w:color w:val="auto"/>
          <w:lang w:val="en-CA"/>
        </w:rPr>
        <w:t xml:space="preserve">. </w:t>
      </w:r>
      <w:r w:rsidRPr="00AA6144">
        <w:rPr>
          <w:color w:val="auto"/>
          <w:lang w:val="en-CA"/>
        </w:rPr>
        <w:t>For example</w:t>
      </w:r>
      <w:r w:rsidR="007C6C0E" w:rsidRPr="00AA6144">
        <w:rPr>
          <w:color w:val="auto"/>
          <w:lang w:val="en-CA"/>
        </w:rPr>
        <w:t xml:space="preserve">, the </w:t>
      </w:r>
      <w:r w:rsidR="007C6C0E" w:rsidRPr="00AA6144">
        <w:rPr>
          <w:i/>
          <w:color w:val="auto"/>
          <w:lang w:val="en-CA"/>
        </w:rPr>
        <w:t>Crimes Against Humanity and War Crimes Act</w:t>
      </w:r>
      <w:r w:rsidR="007C6C0E" w:rsidRPr="00AA6144">
        <w:rPr>
          <w:color w:val="auto"/>
          <w:lang w:val="en-CA"/>
        </w:rPr>
        <w:t xml:space="preserve"> </w:t>
      </w:r>
      <w:r w:rsidR="00292972" w:rsidRPr="00AA6144">
        <w:rPr>
          <w:color w:val="auto"/>
          <w:lang w:val="en-CA"/>
        </w:rPr>
        <w:t>(CAHWCA)</w:t>
      </w:r>
      <w:bookmarkStart w:id="13" w:name="_Ref266965596"/>
      <w:r w:rsidR="005C3A2D" w:rsidRPr="00AA6144">
        <w:rPr>
          <w:rStyle w:val="FootnoteReference"/>
          <w:color w:val="auto"/>
          <w:lang w:val="en-CA"/>
        </w:rPr>
        <w:footnoteReference w:id="12"/>
      </w:r>
      <w:bookmarkEnd w:id="13"/>
      <w:r w:rsidR="009A6081" w:rsidRPr="00AA6144">
        <w:rPr>
          <w:color w:val="auto"/>
          <w:lang w:val="en-CA"/>
        </w:rPr>
        <w:t xml:space="preserve"> </w:t>
      </w:r>
      <w:r w:rsidR="007C6C0E" w:rsidRPr="00AA6144">
        <w:rPr>
          <w:color w:val="auto"/>
          <w:lang w:val="en-CA"/>
        </w:rPr>
        <w:t xml:space="preserve">refers to customary international law in its definitions of genocide, crimes against humanity and war crimes, thereby </w:t>
      </w:r>
      <w:r w:rsidR="008436C8" w:rsidRPr="00AA6144">
        <w:rPr>
          <w:color w:val="auto"/>
          <w:lang w:val="en-CA"/>
        </w:rPr>
        <w:t>reflec</w:t>
      </w:r>
      <w:r w:rsidR="007C6C0E" w:rsidRPr="00AA6144">
        <w:rPr>
          <w:color w:val="auto"/>
          <w:lang w:val="en-CA"/>
        </w:rPr>
        <w:t xml:space="preserve">ting </w:t>
      </w:r>
      <w:r w:rsidRPr="00AA6144">
        <w:rPr>
          <w:color w:val="auto"/>
          <w:lang w:val="en-CA"/>
        </w:rPr>
        <w:t xml:space="preserve">these </w:t>
      </w:r>
      <w:r w:rsidR="007C6C0E" w:rsidRPr="00AA6144">
        <w:rPr>
          <w:color w:val="auto"/>
          <w:lang w:val="en-CA"/>
        </w:rPr>
        <w:t xml:space="preserve">non-written </w:t>
      </w:r>
      <w:r w:rsidR="008436C8" w:rsidRPr="00AA6144">
        <w:rPr>
          <w:color w:val="auto"/>
          <w:lang w:val="en-CA"/>
        </w:rPr>
        <w:t>concepts</w:t>
      </w:r>
      <w:r w:rsidR="007C6C0E" w:rsidRPr="00AA6144">
        <w:rPr>
          <w:color w:val="auto"/>
          <w:lang w:val="en-CA"/>
        </w:rPr>
        <w:t xml:space="preserve"> into Canadian law.</w:t>
      </w:r>
    </w:p>
    <w:p w14:paraId="5CA8D7CA" w14:textId="77777777" w:rsidR="007C6C0E" w:rsidRPr="00AA6144" w:rsidRDefault="007C6C0E" w:rsidP="007C6C0E">
      <w:pPr>
        <w:pStyle w:val="AIBodyText"/>
        <w:ind w:right="714"/>
        <w:rPr>
          <w:color w:val="auto"/>
          <w:lang w:val="en-CA"/>
        </w:rPr>
      </w:pPr>
      <w:r w:rsidRPr="00AA6144">
        <w:rPr>
          <w:color w:val="auto"/>
          <w:lang w:val="en-CA"/>
        </w:rPr>
        <w:t xml:space="preserve">The reception of conventional international law in Canada follows the dualist approach. This requires that a treaty to which Canada is a party be implemented by a legislative or executive act </w:t>
      </w:r>
      <w:proofErr w:type="gramStart"/>
      <w:r w:rsidRPr="00AA6144">
        <w:rPr>
          <w:color w:val="auto"/>
          <w:lang w:val="en-CA"/>
        </w:rPr>
        <w:t>in order to</w:t>
      </w:r>
      <w:proofErr w:type="gramEnd"/>
      <w:r w:rsidRPr="00AA6144">
        <w:rPr>
          <w:color w:val="auto"/>
          <w:lang w:val="en-CA"/>
        </w:rPr>
        <w:t xml:space="preserve"> become part of the domestic law of Canada and enforceable in court. While the power to negotiate, conclude</w:t>
      </w:r>
      <w:r w:rsidR="00B82FC2" w:rsidRPr="00AA6144">
        <w:rPr>
          <w:color w:val="auto"/>
          <w:lang w:val="en-CA"/>
        </w:rPr>
        <w:t>,</w:t>
      </w:r>
      <w:r w:rsidRPr="00AA6144">
        <w:rPr>
          <w:color w:val="auto"/>
          <w:lang w:val="en-CA"/>
        </w:rPr>
        <w:t xml:space="preserve"> and ratify treaties is exercised by the executive branch of the federal government, the implementation of treaties </w:t>
      </w:r>
      <w:r w:rsidR="001405C6" w:rsidRPr="00AA6144">
        <w:rPr>
          <w:color w:val="auto"/>
          <w:lang w:val="en-CA"/>
        </w:rPr>
        <w:t>is</w:t>
      </w:r>
      <w:r w:rsidRPr="00AA6144">
        <w:rPr>
          <w:color w:val="auto"/>
          <w:lang w:val="en-CA"/>
        </w:rPr>
        <w:t xml:space="preserve"> carried out by the legislative branch. In matters of federal jurisdiction, this is the responsibility of the federal Parliament</w:t>
      </w:r>
      <w:r w:rsidR="00B82FC2" w:rsidRPr="00AA6144">
        <w:rPr>
          <w:color w:val="auto"/>
          <w:lang w:val="en-CA"/>
        </w:rPr>
        <w:t>. In</w:t>
      </w:r>
      <w:r w:rsidRPr="00AA6144">
        <w:rPr>
          <w:color w:val="auto"/>
          <w:lang w:val="en-CA"/>
        </w:rPr>
        <w:t xml:space="preserve"> matters of provincial jurisdiction, it falls to the provincial legislatures to implement treaties signed by the federal executive.</w:t>
      </w:r>
    </w:p>
    <w:p w14:paraId="546B3D38" w14:textId="7E27A81B" w:rsidR="000107F4" w:rsidRPr="00AA6144" w:rsidRDefault="00B82FC2" w:rsidP="007C6C0E">
      <w:pPr>
        <w:pStyle w:val="AIBodyText"/>
        <w:ind w:right="714"/>
        <w:rPr>
          <w:color w:val="auto"/>
          <w:lang w:val="en-CA"/>
        </w:rPr>
      </w:pPr>
      <w:r w:rsidRPr="00AA6144">
        <w:rPr>
          <w:color w:val="auto"/>
          <w:lang w:val="en-CA"/>
        </w:rPr>
        <w:t xml:space="preserve">As </w:t>
      </w:r>
      <w:r w:rsidR="000107F4" w:rsidRPr="00AA6144">
        <w:rPr>
          <w:color w:val="auto"/>
          <w:lang w:val="en-CA"/>
        </w:rPr>
        <w:t xml:space="preserve">a party to the </w:t>
      </w:r>
      <w:r w:rsidR="000107F4" w:rsidRPr="00AA6144">
        <w:rPr>
          <w:i/>
          <w:color w:val="auto"/>
          <w:lang w:val="en-CA"/>
        </w:rPr>
        <w:t>Vienna Convention on the Law of Treaties</w:t>
      </w:r>
      <w:r w:rsidRPr="00AA6144">
        <w:rPr>
          <w:color w:val="auto"/>
          <w:lang w:val="en-CA"/>
        </w:rPr>
        <w:t xml:space="preserve">, Canada </w:t>
      </w:r>
      <w:r w:rsidR="000107F4" w:rsidRPr="00AA6144">
        <w:rPr>
          <w:color w:val="auto"/>
          <w:lang w:val="en-CA"/>
        </w:rPr>
        <w:t>is obliged to recognize the supremacy of conventional international law and customary international law with regard to its national law.</w:t>
      </w:r>
      <w:bookmarkStart w:id="14" w:name="_Ref265762095"/>
      <w:r w:rsidR="000107F4" w:rsidRPr="00AA6144">
        <w:rPr>
          <w:rStyle w:val="FootnoteReference"/>
          <w:color w:val="auto"/>
          <w:lang w:val="en-CA"/>
        </w:rPr>
        <w:footnoteReference w:id="13"/>
      </w:r>
      <w:bookmarkEnd w:id="14"/>
      <w:r w:rsidR="000107F4" w:rsidRPr="00AA6144">
        <w:rPr>
          <w:color w:val="auto"/>
          <w:lang w:val="en-CA"/>
        </w:rPr>
        <w:t xml:space="preserve">  This obligation applies to all national law, including </w:t>
      </w:r>
      <w:r w:rsidR="00242F73" w:rsidRPr="00AA6144">
        <w:rPr>
          <w:color w:val="auto"/>
          <w:lang w:val="en-CA"/>
        </w:rPr>
        <w:t>the C</w:t>
      </w:r>
      <w:r w:rsidR="000107F4" w:rsidRPr="00AA6144">
        <w:rPr>
          <w:color w:val="auto"/>
          <w:lang w:val="en-CA"/>
        </w:rPr>
        <w:t>onstitution</w:t>
      </w:r>
      <w:r w:rsidR="00242F73" w:rsidRPr="00AA6144">
        <w:rPr>
          <w:color w:val="auto"/>
          <w:lang w:val="en-CA"/>
        </w:rPr>
        <w:t xml:space="preserve"> of Canada</w:t>
      </w:r>
      <w:r w:rsidR="008D52D3" w:rsidRPr="00AA6144">
        <w:rPr>
          <w:color w:val="auto"/>
          <w:lang w:val="en-CA"/>
        </w:rPr>
        <w:t xml:space="preserve">, </w:t>
      </w:r>
      <w:r w:rsidR="00242F73" w:rsidRPr="00AA6144">
        <w:rPr>
          <w:color w:val="auto"/>
          <w:lang w:val="en-CA"/>
        </w:rPr>
        <w:t xml:space="preserve">federal </w:t>
      </w:r>
      <w:r w:rsidR="000107F4" w:rsidRPr="00AA6144">
        <w:rPr>
          <w:color w:val="auto"/>
          <w:lang w:val="en-CA"/>
        </w:rPr>
        <w:t>legislation</w:t>
      </w:r>
      <w:r w:rsidR="008D52D3" w:rsidRPr="00AA6144">
        <w:rPr>
          <w:color w:val="auto"/>
          <w:lang w:val="en-CA"/>
        </w:rPr>
        <w:t>, provincial constitutions and local legislation</w:t>
      </w:r>
      <w:r w:rsidR="000107F4" w:rsidRPr="00AA6144">
        <w:rPr>
          <w:color w:val="auto"/>
          <w:lang w:val="en-CA"/>
        </w:rPr>
        <w:t>.</w:t>
      </w:r>
      <w:r w:rsidR="000107F4" w:rsidRPr="00AA6144">
        <w:rPr>
          <w:rStyle w:val="FootnoteReference"/>
          <w:color w:val="auto"/>
          <w:lang w:val="en-CA"/>
        </w:rPr>
        <w:footnoteReference w:id="14"/>
      </w:r>
      <w:r w:rsidR="000107F4" w:rsidRPr="00AA6144">
        <w:rPr>
          <w:color w:val="auto"/>
          <w:lang w:val="en-CA"/>
        </w:rPr>
        <w:t xml:space="preserve"> As </w:t>
      </w:r>
      <w:r w:rsidRPr="00AA6144">
        <w:rPr>
          <w:color w:val="auto"/>
          <w:lang w:val="en-CA"/>
        </w:rPr>
        <w:t>per</w:t>
      </w:r>
      <w:r w:rsidR="000107F4" w:rsidRPr="00AA6144">
        <w:rPr>
          <w:color w:val="auto"/>
          <w:lang w:val="en-CA"/>
        </w:rPr>
        <w:t xml:space="preserve"> the 1969 </w:t>
      </w:r>
      <w:r w:rsidR="000107F4" w:rsidRPr="00AA6144">
        <w:rPr>
          <w:i/>
          <w:color w:val="auto"/>
          <w:lang w:val="en-CA"/>
        </w:rPr>
        <w:t>Vienna Convention</w:t>
      </w:r>
      <w:r w:rsidR="000107F4" w:rsidRPr="00AA6144">
        <w:rPr>
          <w:color w:val="auto"/>
          <w:lang w:val="en-CA"/>
        </w:rPr>
        <w:t xml:space="preserve">, </w:t>
      </w:r>
      <w:r w:rsidR="00B3535A" w:rsidRPr="00AA6144">
        <w:rPr>
          <w:color w:val="auto"/>
          <w:lang w:val="en-CA"/>
        </w:rPr>
        <w:t xml:space="preserve">a treaty means </w:t>
      </w:r>
      <w:r w:rsidR="000107F4" w:rsidRPr="00AA6144">
        <w:rPr>
          <w:color w:val="auto"/>
          <w:lang w:val="en-CA"/>
        </w:rPr>
        <w:t>every international agreement concluded between states in written form and governed by international law</w:t>
      </w:r>
      <w:r w:rsidR="00B3535A" w:rsidRPr="00AA6144">
        <w:rPr>
          <w:color w:val="auto"/>
          <w:lang w:val="en-CA"/>
        </w:rPr>
        <w:t>.</w:t>
      </w:r>
      <w:r w:rsidR="00B3535A" w:rsidRPr="00AA6144">
        <w:rPr>
          <w:rStyle w:val="FootnoteReference"/>
          <w:color w:val="auto"/>
          <w:lang w:val="en-CA"/>
        </w:rPr>
        <w:footnoteReference w:id="15"/>
      </w:r>
      <w:r w:rsidR="00B3535A" w:rsidRPr="00AA6144">
        <w:rPr>
          <w:color w:val="auto"/>
          <w:lang w:val="en-CA"/>
        </w:rPr>
        <w:t xml:space="preserve">  It</w:t>
      </w:r>
      <w:r w:rsidR="000107F4" w:rsidRPr="00AA6144">
        <w:rPr>
          <w:color w:val="auto"/>
          <w:lang w:val="en-CA"/>
        </w:rPr>
        <w:t xml:space="preserve"> is binding upon the parties to it and must be performed by them in good faith.</w:t>
      </w:r>
      <w:r w:rsidR="000107F4" w:rsidRPr="00AA6144">
        <w:rPr>
          <w:rStyle w:val="FootnoteReference"/>
          <w:color w:val="auto"/>
          <w:lang w:val="en-CA"/>
        </w:rPr>
        <w:footnoteReference w:id="16"/>
      </w:r>
      <w:r w:rsidR="001B1B54" w:rsidRPr="00AA6144">
        <w:rPr>
          <w:color w:val="auto"/>
          <w:lang w:val="en-CA"/>
        </w:rPr>
        <w:t xml:space="preserve"> </w:t>
      </w:r>
      <w:r w:rsidRPr="00AA6144">
        <w:rPr>
          <w:color w:val="auto"/>
          <w:lang w:val="en-CA"/>
        </w:rPr>
        <w:t>As such</w:t>
      </w:r>
      <w:r w:rsidR="001B1B54" w:rsidRPr="00AA6144">
        <w:rPr>
          <w:color w:val="auto"/>
          <w:lang w:val="en-CA"/>
        </w:rPr>
        <w:t>, Canada</w:t>
      </w:r>
      <w:r w:rsidR="000107F4" w:rsidRPr="00AA6144">
        <w:rPr>
          <w:color w:val="auto"/>
          <w:lang w:val="en-CA"/>
        </w:rPr>
        <w:t xml:space="preserve"> is expressly prohibited from invoking the provisions of its internal law as justification for its</w:t>
      </w:r>
      <w:r w:rsidR="00356280">
        <w:rPr>
          <w:color w:val="auto"/>
          <w:lang w:val="en-CA"/>
        </w:rPr>
        <w:t xml:space="preserve"> </w:t>
      </w:r>
      <w:r w:rsidR="000107F4" w:rsidRPr="00AA6144">
        <w:rPr>
          <w:color w:val="auto"/>
          <w:lang w:val="en-CA"/>
        </w:rPr>
        <w:t>failure to perform a treaty.</w:t>
      </w:r>
      <w:r w:rsidR="000107F4" w:rsidRPr="00AA6144">
        <w:rPr>
          <w:rStyle w:val="FootnoteReference"/>
          <w:color w:val="auto"/>
          <w:lang w:val="en-CA"/>
        </w:rPr>
        <w:footnoteReference w:id="17"/>
      </w:r>
      <w:r w:rsidR="000107F4" w:rsidRPr="00AA6144">
        <w:rPr>
          <w:color w:val="auto"/>
          <w:lang w:val="en-CA"/>
        </w:rPr>
        <w:t xml:space="preserve"> The same obligation to comply exists under customary international law with respect to both conventional and customary international law.</w:t>
      </w:r>
      <w:r w:rsidR="000107F4" w:rsidRPr="00AA6144">
        <w:rPr>
          <w:rStyle w:val="FootnoteReference"/>
          <w:color w:val="auto"/>
          <w:lang w:val="en-CA"/>
        </w:rPr>
        <w:footnoteReference w:id="18"/>
      </w:r>
      <w:r w:rsidR="001B1B54" w:rsidRPr="00AA6144">
        <w:rPr>
          <w:color w:val="auto"/>
          <w:lang w:val="en-CA"/>
        </w:rPr>
        <w:t xml:space="preserve"> Therefore, </w:t>
      </w:r>
      <w:r w:rsidRPr="00AA6144">
        <w:rPr>
          <w:color w:val="auto"/>
          <w:lang w:val="en-CA"/>
        </w:rPr>
        <w:t>in keeping with</w:t>
      </w:r>
      <w:r w:rsidR="000107F4" w:rsidRPr="00AA6144">
        <w:rPr>
          <w:color w:val="auto"/>
          <w:lang w:val="en-CA"/>
        </w:rPr>
        <w:t xml:space="preserve"> the </w:t>
      </w:r>
      <w:r w:rsidR="000107F4" w:rsidRPr="00AA6144">
        <w:rPr>
          <w:i/>
          <w:color w:val="auto"/>
          <w:lang w:val="en-CA"/>
        </w:rPr>
        <w:t>Vienna Convention</w:t>
      </w:r>
      <w:r w:rsidR="000107F4" w:rsidRPr="00AA6144">
        <w:rPr>
          <w:color w:val="auto"/>
          <w:lang w:val="en-CA"/>
        </w:rPr>
        <w:t xml:space="preserve"> and as a matter of customary international law</w:t>
      </w:r>
      <w:r w:rsidRPr="00AA6144">
        <w:rPr>
          <w:color w:val="auto"/>
          <w:lang w:val="en-CA"/>
        </w:rPr>
        <w:t xml:space="preserve">, Canada </w:t>
      </w:r>
      <w:r w:rsidR="001405C6" w:rsidRPr="00AA6144">
        <w:rPr>
          <w:color w:val="auto"/>
          <w:lang w:val="en-CA"/>
        </w:rPr>
        <w:t xml:space="preserve">is obliged </w:t>
      </w:r>
      <w:r w:rsidRPr="00AA6144">
        <w:rPr>
          <w:color w:val="auto"/>
          <w:lang w:val="en-CA"/>
        </w:rPr>
        <w:t>to</w:t>
      </w:r>
      <w:r w:rsidR="000107F4" w:rsidRPr="00AA6144">
        <w:rPr>
          <w:color w:val="auto"/>
          <w:lang w:val="en-CA"/>
        </w:rPr>
        <w:t xml:space="preserve"> undertake any legislative changes necessary to comply with its obligations under treaties and customary international law. </w:t>
      </w:r>
    </w:p>
    <w:p w14:paraId="31186935" w14:textId="77777777" w:rsidR="00283160" w:rsidRPr="00AA6144" w:rsidRDefault="00621810" w:rsidP="00283160">
      <w:pPr>
        <w:pStyle w:val="Heading2"/>
        <w:rPr>
          <w:color w:val="auto"/>
          <w:lang w:val="en-CA"/>
        </w:rPr>
      </w:pPr>
      <w:bookmarkStart w:id="15" w:name="_Toc229562981"/>
      <w:bookmarkStart w:id="16" w:name="_Toc43382710"/>
      <w:r w:rsidRPr="00AA6144">
        <w:rPr>
          <w:color w:val="auto"/>
          <w:lang w:val="en-CA"/>
        </w:rPr>
        <w:t>2.3 Court</w:t>
      </w:r>
      <w:r w:rsidR="00283160" w:rsidRPr="00AA6144">
        <w:rPr>
          <w:color w:val="auto"/>
          <w:lang w:val="en-CA"/>
        </w:rPr>
        <w:t xml:space="preserve"> system</w:t>
      </w:r>
      <w:bookmarkEnd w:id="15"/>
      <w:bookmarkEnd w:id="16"/>
    </w:p>
    <w:p w14:paraId="1088E442" w14:textId="77777777" w:rsidR="00437A3D" w:rsidRPr="00AA6144" w:rsidRDefault="00437A3D" w:rsidP="00437A3D">
      <w:pPr>
        <w:spacing w:after="0"/>
        <w:rPr>
          <w:lang w:val="en-CA"/>
        </w:rPr>
      </w:pPr>
    </w:p>
    <w:p w14:paraId="6EA96ED2" w14:textId="77777777" w:rsidR="007B3DE9" w:rsidRPr="00AA6144" w:rsidRDefault="001B1B54" w:rsidP="00283160">
      <w:pPr>
        <w:pStyle w:val="AIBodyText"/>
        <w:rPr>
          <w:color w:val="auto"/>
          <w:lang w:val="en-CA"/>
        </w:rPr>
      </w:pPr>
      <w:r w:rsidRPr="00AA6144">
        <w:rPr>
          <w:color w:val="auto"/>
          <w:lang w:val="en-CA"/>
        </w:rPr>
        <w:t xml:space="preserve">There </w:t>
      </w:r>
      <w:r w:rsidR="007B3DE9" w:rsidRPr="00AA6144">
        <w:rPr>
          <w:color w:val="auto"/>
          <w:lang w:val="en-CA"/>
        </w:rPr>
        <w:t>are civilian and military court systems</w:t>
      </w:r>
      <w:r w:rsidRPr="00AA6144">
        <w:rPr>
          <w:color w:val="auto"/>
          <w:lang w:val="en-CA"/>
        </w:rPr>
        <w:t xml:space="preserve"> in </w:t>
      </w:r>
      <w:r w:rsidR="00B82FC2" w:rsidRPr="00AA6144">
        <w:rPr>
          <w:color w:val="auto"/>
          <w:lang w:val="en-CA"/>
        </w:rPr>
        <w:t>Canada</w:t>
      </w:r>
      <w:r w:rsidR="007B3DE9" w:rsidRPr="00AA6144">
        <w:rPr>
          <w:color w:val="auto"/>
          <w:lang w:val="en-CA"/>
        </w:rPr>
        <w:t>.</w:t>
      </w:r>
    </w:p>
    <w:p w14:paraId="750D6CFD" w14:textId="77777777" w:rsidR="00061101" w:rsidRPr="00AA6144" w:rsidRDefault="00061101" w:rsidP="00061101">
      <w:pPr>
        <w:pStyle w:val="Heading3"/>
        <w:rPr>
          <w:color w:val="auto"/>
          <w:lang w:val="en-CA"/>
        </w:rPr>
      </w:pPr>
      <w:bookmarkStart w:id="17" w:name="_Toc43382711"/>
      <w:r w:rsidRPr="00AA6144">
        <w:rPr>
          <w:color w:val="auto"/>
          <w:lang w:val="en-CA"/>
        </w:rPr>
        <w:t xml:space="preserve">2.3.1. </w:t>
      </w:r>
      <w:r w:rsidR="007B3DE9" w:rsidRPr="00AA6144">
        <w:rPr>
          <w:color w:val="auto"/>
          <w:lang w:val="en-CA"/>
        </w:rPr>
        <w:t>Structure of the civilian court system</w:t>
      </w:r>
      <w:bookmarkEnd w:id="17"/>
      <w:r w:rsidR="007B3DE9" w:rsidRPr="00AA6144">
        <w:rPr>
          <w:color w:val="auto"/>
          <w:lang w:val="en-CA"/>
        </w:rPr>
        <w:t xml:space="preserve"> </w:t>
      </w:r>
    </w:p>
    <w:p w14:paraId="1F1B2C1C" w14:textId="77777777" w:rsidR="00437A3D" w:rsidRPr="00AA6144" w:rsidRDefault="00437A3D" w:rsidP="00437A3D">
      <w:pPr>
        <w:spacing w:after="0"/>
        <w:rPr>
          <w:lang w:val="en-CA"/>
        </w:rPr>
      </w:pPr>
    </w:p>
    <w:p w14:paraId="7077EDEF" w14:textId="77777777" w:rsidR="00CF6AE4" w:rsidRPr="00AA6144" w:rsidRDefault="00687253" w:rsidP="00C7741E">
      <w:pPr>
        <w:pStyle w:val="AIBodyText"/>
        <w:rPr>
          <w:color w:val="auto"/>
          <w:lang w:val="en-CA"/>
        </w:rPr>
      </w:pPr>
      <w:r w:rsidRPr="00AA6144">
        <w:rPr>
          <w:color w:val="auto"/>
          <w:lang w:val="en-CA"/>
        </w:rPr>
        <w:t>The civilian court system includes both provincial and federal courts</w:t>
      </w:r>
      <w:r w:rsidR="007B3DE9" w:rsidRPr="00AA6144">
        <w:rPr>
          <w:color w:val="auto"/>
          <w:lang w:val="en-CA"/>
        </w:rPr>
        <w:t xml:space="preserve">. </w:t>
      </w:r>
      <w:r w:rsidR="00CF6AE4" w:rsidRPr="00AA6144">
        <w:rPr>
          <w:color w:val="auto"/>
          <w:lang w:val="en-CA"/>
        </w:rPr>
        <w:t xml:space="preserve">The </w:t>
      </w:r>
      <w:r w:rsidR="00CF6AE4" w:rsidRPr="00AA6144">
        <w:rPr>
          <w:i/>
          <w:color w:val="auto"/>
          <w:lang w:val="en-CA"/>
        </w:rPr>
        <w:t>Constitution Act</w:t>
      </w:r>
      <w:r w:rsidR="00CF6AE4" w:rsidRPr="00AA6144">
        <w:rPr>
          <w:color w:val="auto"/>
          <w:lang w:val="en-CA"/>
        </w:rPr>
        <w:t xml:space="preserve">, </w:t>
      </w:r>
      <w:r w:rsidR="00CF6AE4" w:rsidRPr="00AA6144">
        <w:rPr>
          <w:i/>
          <w:color w:val="auto"/>
          <w:lang w:val="en-CA"/>
        </w:rPr>
        <w:t>1867</w:t>
      </w:r>
      <w:r w:rsidR="00CF6AE4" w:rsidRPr="00AA6144">
        <w:rPr>
          <w:color w:val="auto"/>
          <w:lang w:val="en-CA"/>
        </w:rPr>
        <w:t xml:space="preserve"> provides the provinces with jurisdiction over “the administration of justice,” including the “constitution, organization and maintenance” of the courts, both civil and criminal.</w:t>
      </w:r>
      <w:bookmarkStart w:id="18" w:name="_Ref267055438"/>
      <w:r w:rsidR="00CF6AE4" w:rsidRPr="00AA6144">
        <w:rPr>
          <w:color w:val="auto"/>
          <w:vertAlign w:val="superscript"/>
          <w:lang w:val="en-CA"/>
        </w:rPr>
        <w:footnoteReference w:id="19"/>
      </w:r>
      <w:bookmarkEnd w:id="18"/>
      <w:r w:rsidR="00CF6AE4" w:rsidRPr="00AA6144">
        <w:rPr>
          <w:color w:val="auto"/>
          <w:lang w:val="en-CA"/>
        </w:rPr>
        <w:t xml:space="preserve"> Under its authority to establish a “general court of appeal for Canada and any additional courts for the better administration of the laws of Canada,”</w:t>
      </w:r>
      <w:r w:rsidR="00CF6AE4" w:rsidRPr="00AA6144">
        <w:rPr>
          <w:color w:val="auto"/>
          <w:vertAlign w:val="superscript"/>
          <w:lang w:val="en-CA"/>
        </w:rPr>
        <w:footnoteReference w:id="20"/>
      </w:r>
      <w:r w:rsidR="00CF6AE4" w:rsidRPr="00AA6144">
        <w:rPr>
          <w:color w:val="auto"/>
          <w:lang w:val="en-CA"/>
        </w:rPr>
        <w:t xml:space="preserve"> the federal government has created the Supreme Court of Canada, the Federal Court of Appeal</w:t>
      </w:r>
      <w:r w:rsidR="002C7B41" w:rsidRPr="00AA6144">
        <w:rPr>
          <w:color w:val="auto"/>
          <w:lang w:val="en-CA"/>
        </w:rPr>
        <w:t xml:space="preserve"> </w:t>
      </w:r>
      <w:r w:rsidR="00CF6AE4" w:rsidRPr="00AA6144">
        <w:rPr>
          <w:color w:val="auto"/>
          <w:lang w:val="en-CA"/>
        </w:rPr>
        <w:t>and the Federal Court.</w:t>
      </w:r>
    </w:p>
    <w:p w14:paraId="43EFD9C4" w14:textId="77777777" w:rsidR="00687253" w:rsidRPr="00AA6144" w:rsidRDefault="005E199D" w:rsidP="00C7741E">
      <w:pPr>
        <w:pStyle w:val="AIBodyText"/>
        <w:rPr>
          <w:color w:val="auto"/>
          <w:lang w:val="en-CA"/>
        </w:rPr>
      </w:pPr>
      <w:r w:rsidRPr="00AA6144">
        <w:rPr>
          <w:color w:val="auto"/>
          <w:lang w:val="en-CA"/>
        </w:rPr>
        <w:t>The Federal C</w:t>
      </w:r>
      <w:r w:rsidR="00687253" w:rsidRPr="00AA6144">
        <w:rPr>
          <w:color w:val="auto"/>
          <w:lang w:val="en-CA"/>
        </w:rPr>
        <w:t>our</w:t>
      </w:r>
      <w:r w:rsidRPr="00AA6144">
        <w:rPr>
          <w:color w:val="auto"/>
          <w:lang w:val="en-CA"/>
        </w:rPr>
        <w:t xml:space="preserve">t is a </w:t>
      </w:r>
      <w:r w:rsidR="00862CF3" w:rsidRPr="00AA6144">
        <w:rPr>
          <w:color w:val="auto"/>
          <w:lang w:val="en-CA"/>
        </w:rPr>
        <w:t>statutory court</w:t>
      </w:r>
      <w:r w:rsidR="00416D39" w:rsidRPr="00AA6144">
        <w:rPr>
          <w:color w:val="auto"/>
          <w:lang w:val="en-CA"/>
        </w:rPr>
        <w:t xml:space="preserve"> created</w:t>
      </w:r>
      <w:r w:rsidR="00862CF3" w:rsidRPr="00AA6144">
        <w:rPr>
          <w:color w:val="auto"/>
          <w:lang w:val="en-CA"/>
        </w:rPr>
        <w:t xml:space="preserve"> by the </w:t>
      </w:r>
      <w:r w:rsidR="00862CF3" w:rsidRPr="00AA6144">
        <w:rPr>
          <w:i/>
          <w:color w:val="auto"/>
          <w:lang w:val="en-CA"/>
        </w:rPr>
        <w:t>Federal Courts Act</w:t>
      </w:r>
      <w:r w:rsidR="00862CF3" w:rsidRPr="00AA6144">
        <w:rPr>
          <w:color w:val="auto"/>
          <w:lang w:val="en-CA"/>
        </w:rPr>
        <w:t>.</w:t>
      </w:r>
      <w:r w:rsidR="00862CF3" w:rsidRPr="00AA6144">
        <w:rPr>
          <w:rStyle w:val="FootnoteReference"/>
          <w:color w:val="auto"/>
          <w:lang w:val="en-CA"/>
        </w:rPr>
        <w:footnoteReference w:id="21"/>
      </w:r>
      <w:r w:rsidR="00717239" w:rsidRPr="00AA6144">
        <w:rPr>
          <w:color w:val="auto"/>
          <w:lang w:val="en-CA"/>
        </w:rPr>
        <w:t xml:space="preserve"> The Federal Court has jurisdiction over</w:t>
      </w:r>
      <w:r w:rsidR="00B832F6" w:rsidRPr="00AA6144">
        <w:rPr>
          <w:color w:val="auto"/>
          <w:lang w:val="en-CA"/>
        </w:rPr>
        <w:t xml:space="preserve"> legal disputes in the federal domain, including claims against the Government of Canada, civil suits in federally-regulated areas and challenges to the decisions of federal tribunals.</w:t>
      </w:r>
      <w:r w:rsidRPr="00AA6144">
        <w:rPr>
          <w:color w:val="auto"/>
          <w:lang w:val="en-CA"/>
        </w:rPr>
        <w:t xml:space="preserve"> </w:t>
      </w:r>
      <w:r w:rsidR="00416D39" w:rsidRPr="00AA6144">
        <w:rPr>
          <w:color w:val="auto"/>
          <w:lang w:val="en-CA"/>
        </w:rPr>
        <w:t>For example</w:t>
      </w:r>
      <w:r w:rsidR="009512E0" w:rsidRPr="00AA6144">
        <w:rPr>
          <w:color w:val="auto"/>
          <w:lang w:val="en-CA"/>
        </w:rPr>
        <w:t xml:space="preserve">, the Federal Court has jurisdiction over </w:t>
      </w:r>
      <w:r w:rsidR="00416D39" w:rsidRPr="00AA6144">
        <w:rPr>
          <w:color w:val="auto"/>
          <w:lang w:val="en-CA"/>
        </w:rPr>
        <w:t xml:space="preserve">offences relating to </w:t>
      </w:r>
      <w:r w:rsidR="009512E0" w:rsidRPr="00AA6144">
        <w:rPr>
          <w:color w:val="auto"/>
          <w:lang w:val="en-CA"/>
        </w:rPr>
        <w:t>national security</w:t>
      </w:r>
      <w:r w:rsidR="00862CF3" w:rsidRPr="00AA6144">
        <w:rPr>
          <w:color w:val="auto"/>
          <w:lang w:val="en-CA"/>
        </w:rPr>
        <w:t xml:space="preserve"> and terrorism.</w:t>
      </w:r>
      <w:r w:rsidR="00862CF3" w:rsidRPr="00AA6144">
        <w:rPr>
          <w:rStyle w:val="FootnoteReference"/>
          <w:color w:val="auto"/>
          <w:lang w:val="en-CA"/>
        </w:rPr>
        <w:footnoteReference w:id="22"/>
      </w:r>
      <w:r w:rsidR="00FE009F" w:rsidRPr="00AA6144">
        <w:rPr>
          <w:color w:val="auto"/>
          <w:lang w:val="en-CA"/>
        </w:rPr>
        <w:t xml:space="preserve"> </w:t>
      </w:r>
      <w:r w:rsidR="00271372" w:rsidRPr="00AA6144">
        <w:rPr>
          <w:color w:val="auto"/>
          <w:lang w:val="en-CA"/>
        </w:rPr>
        <w:t>The</w:t>
      </w:r>
      <w:r w:rsidRPr="00AA6144">
        <w:rPr>
          <w:color w:val="auto"/>
          <w:lang w:val="en-CA"/>
        </w:rPr>
        <w:t xml:space="preserve"> Federal C</w:t>
      </w:r>
      <w:r w:rsidR="00271372" w:rsidRPr="00AA6144">
        <w:rPr>
          <w:color w:val="auto"/>
          <w:lang w:val="en-CA"/>
        </w:rPr>
        <w:t>ourt of A</w:t>
      </w:r>
      <w:r w:rsidR="00687253" w:rsidRPr="00AA6144">
        <w:rPr>
          <w:color w:val="auto"/>
          <w:lang w:val="en-CA"/>
        </w:rPr>
        <w:t>ppeal</w:t>
      </w:r>
      <w:r w:rsidR="00271372" w:rsidRPr="00AA6144">
        <w:rPr>
          <w:color w:val="auto"/>
          <w:lang w:val="en-CA"/>
        </w:rPr>
        <w:t xml:space="preserve"> hears appeals from decisions of the Federal Court</w:t>
      </w:r>
      <w:r w:rsidR="00920AC1" w:rsidRPr="00AA6144">
        <w:rPr>
          <w:color w:val="auto"/>
          <w:lang w:val="en-CA"/>
        </w:rPr>
        <w:t xml:space="preserve"> and</w:t>
      </w:r>
      <w:r w:rsidR="00E33AC1" w:rsidRPr="00AA6144">
        <w:rPr>
          <w:color w:val="auto"/>
          <w:lang w:val="en-CA"/>
        </w:rPr>
        <w:t xml:space="preserve"> Tax Court of Canada</w:t>
      </w:r>
      <w:r w:rsidR="00920AC1" w:rsidRPr="00AA6144">
        <w:rPr>
          <w:color w:val="auto"/>
          <w:lang w:val="en-CA"/>
        </w:rPr>
        <w:t xml:space="preserve">, as well as </w:t>
      </w:r>
      <w:r w:rsidR="003B0D54" w:rsidRPr="00AA6144">
        <w:rPr>
          <w:color w:val="auto"/>
          <w:lang w:val="en-CA"/>
        </w:rPr>
        <w:t>performing judicial</w:t>
      </w:r>
      <w:r w:rsidR="00920AC1" w:rsidRPr="00AA6144">
        <w:rPr>
          <w:color w:val="auto"/>
          <w:lang w:val="en-CA"/>
        </w:rPr>
        <w:t xml:space="preserve"> review and </w:t>
      </w:r>
      <w:r w:rsidR="003B0D54" w:rsidRPr="00AA6144">
        <w:rPr>
          <w:color w:val="auto"/>
          <w:lang w:val="en-CA"/>
        </w:rPr>
        <w:t xml:space="preserve">hearing </w:t>
      </w:r>
      <w:r w:rsidR="00920AC1" w:rsidRPr="00AA6144">
        <w:rPr>
          <w:color w:val="auto"/>
          <w:lang w:val="en-CA"/>
        </w:rPr>
        <w:t>appeals from several federal tribunals</w:t>
      </w:r>
      <w:r w:rsidR="003B0D54" w:rsidRPr="00AA6144">
        <w:rPr>
          <w:color w:val="auto"/>
          <w:lang w:val="en-CA"/>
        </w:rPr>
        <w:t xml:space="preserve"> and federal decision makers</w:t>
      </w:r>
      <w:r w:rsidR="002C7B41" w:rsidRPr="00AA6144">
        <w:rPr>
          <w:color w:val="auto"/>
          <w:lang w:val="en-CA"/>
        </w:rPr>
        <w:t>, including those dealing with immigration, refugee and citizenship matters.</w:t>
      </w:r>
      <w:r w:rsidR="00920AC1" w:rsidRPr="00AA6144">
        <w:rPr>
          <w:rStyle w:val="FootnoteReference"/>
          <w:color w:val="auto"/>
          <w:lang w:val="en-CA"/>
        </w:rPr>
        <w:footnoteReference w:id="23"/>
      </w:r>
      <w:r w:rsidR="00CF6AE4" w:rsidRPr="00AA6144">
        <w:rPr>
          <w:color w:val="auto"/>
          <w:lang w:val="en-CA"/>
        </w:rPr>
        <w:t xml:space="preserve"> </w:t>
      </w:r>
      <w:r w:rsidR="00235345" w:rsidRPr="00AA6144">
        <w:rPr>
          <w:color w:val="auto"/>
          <w:lang w:val="en-CA"/>
        </w:rPr>
        <w:t xml:space="preserve">Appeals from the Federal Court of Appeal are heard by the Supreme Court of </w:t>
      </w:r>
      <w:r w:rsidR="00235345" w:rsidRPr="00AA6144">
        <w:rPr>
          <w:color w:val="auto"/>
          <w:lang w:val="en-CA"/>
        </w:rPr>
        <w:lastRenderedPageBreak/>
        <w:t>Canada.</w:t>
      </w:r>
    </w:p>
    <w:p w14:paraId="63821C6D" w14:textId="77777777" w:rsidR="00283160" w:rsidRPr="00AA6144" w:rsidRDefault="00A446F5" w:rsidP="00C7741E">
      <w:pPr>
        <w:pStyle w:val="AIBodyText"/>
        <w:rPr>
          <w:color w:val="auto"/>
          <w:lang w:val="en-CA"/>
        </w:rPr>
      </w:pPr>
      <w:r w:rsidRPr="00AA6144">
        <w:rPr>
          <w:color w:val="auto"/>
          <w:lang w:val="en-CA"/>
        </w:rPr>
        <w:t xml:space="preserve">In each province and territory, </w:t>
      </w:r>
      <w:r w:rsidR="00B96F73" w:rsidRPr="00AA6144">
        <w:rPr>
          <w:color w:val="auto"/>
          <w:lang w:val="en-CA"/>
        </w:rPr>
        <w:t xml:space="preserve">superior courts have </w:t>
      </w:r>
      <w:r w:rsidR="00BC68AF" w:rsidRPr="00AA6144">
        <w:rPr>
          <w:color w:val="auto"/>
          <w:lang w:val="en-CA"/>
        </w:rPr>
        <w:t>inherent jurisdiction</w:t>
      </w:r>
      <w:r w:rsidR="00B96F73" w:rsidRPr="00AA6144">
        <w:rPr>
          <w:color w:val="auto"/>
          <w:lang w:val="en-CA"/>
        </w:rPr>
        <w:t xml:space="preserve"> pursuant to s. 96 of the </w:t>
      </w:r>
      <w:r w:rsidR="00B96F73" w:rsidRPr="00AA6144">
        <w:rPr>
          <w:i/>
          <w:color w:val="auto"/>
          <w:lang w:val="en-CA"/>
        </w:rPr>
        <w:t>Constitution Act</w:t>
      </w:r>
      <w:r w:rsidR="00BA7965" w:rsidRPr="00AA6144">
        <w:rPr>
          <w:i/>
          <w:color w:val="auto"/>
          <w:lang w:val="en-CA"/>
        </w:rPr>
        <w:t>,</w:t>
      </w:r>
      <w:r w:rsidR="00B96F73" w:rsidRPr="00AA6144">
        <w:rPr>
          <w:i/>
          <w:color w:val="auto"/>
          <w:lang w:val="en-CA"/>
        </w:rPr>
        <w:t xml:space="preserve"> 1867</w:t>
      </w:r>
      <w:r w:rsidR="00BC68AF" w:rsidRPr="00AA6144">
        <w:rPr>
          <w:color w:val="auto"/>
          <w:lang w:val="en-CA"/>
        </w:rPr>
        <w:t xml:space="preserve">, meaning they have </w:t>
      </w:r>
      <w:r w:rsidR="00B96F73" w:rsidRPr="00AA6144">
        <w:rPr>
          <w:color w:val="auto"/>
          <w:lang w:val="en-CA"/>
        </w:rPr>
        <w:t xml:space="preserve">jurisdiction to hear any cases unless a statute specifically assigns it to a different court. </w:t>
      </w:r>
      <w:r w:rsidRPr="00AA6144">
        <w:rPr>
          <w:color w:val="auto"/>
          <w:lang w:val="en-CA"/>
        </w:rPr>
        <w:t xml:space="preserve">Superior </w:t>
      </w:r>
      <w:r w:rsidR="00B96F73" w:rsidRPr="00AA6144">
        <w:rPr>
          <w:color w:val="auto"/>
          <w:lang w:val="en-CA"/>
        </w:rPr>
        <w:t>c</w:t>
      </w:r>
      <w:r w:rsidRPr="00AA6144">
        <w:rPr>
          <w:color w:val="auto"/>
          <w:lang w:val="en-CA"/>
        </w:rPr>
        <w:t>ourt</w:t>
      </w:r>
      <w:r w:rsidR="009512E0" w:rsidRPr="00AA6144">
        <w:rPr>
          <w:color w:val="auto"/>
          <w:lang w:val="en-CA"/>
        </w:rPr>
        <w:t>s</w:t>
      </w:r>
      <w:r w:rsidRPr="00AA6144">
        <w:rPr>
          <w:color w:val="auto"/>
          <w:lang w:val="en-CA"/>
        </w:rPr>
        <w:t xml:space="preserve"> </w:t>
      </w:r>
      <w:r w:rsidR="00031927" w:rsidRPr="00AA6144">
        <w:rPr>
          <w:color w:val="auto"/>
          <w:lang w:val="en-CA"/>
        </w:rPr>
        <w:t>act as court</w:t>
      </w:r>
      <w:r w:rsidR="00BC68AF" w:rsidRPr="00AA6144">
        <w:rPr>
          <w:color w:val="auto"/>
          <w:lang w:val="en-CA"/>
        </w:rPr>
        <w:t>s</w:t>
      </w:r>
      <w:r w:rsidR="00031927" w:rsidRPr="00AA6144">
        <w:rPr>
          <w:color w:val="auto"/>
          <w:lang w:val="en-CA"/>
        </w:rPr>
        <w:t xml:space="preserve"> of first inst</w:t>
      </w:r>
      <w:r w:rsidR="008C73D6" w:rsidRPr="00AA6144">
        <w:rPr>
          <w:color w:val="auto"/>
          <w:lang w:val="en-CA"/>
        </w:rPr>
        <w:t xml:space="preserve">ance for criminal offences of a </w:t>
      </w:r>
      <w:r w:rsidR="00031927" w:rsidRPr="00AA6144">
        <w:rPr>
          <w:color w:val="auto"/>
          <w:lang w:val="en-CA"/>
        </w:rPr>
        <w:t>certain gravity.</w:t>
      </w:r>
      <w:r w:rsidR="009512E0" w:rsidRPr="00AA6144">
        <w:rPr>
          <w:rStyle w:val="FootnoteReference"/>
          <w:color w:val="auto"/>
          <w:lang w:val="en-CA"/>
        </w:rPr>
        <w:footnoteReference w:id="24"/>
      </w:r>
      <w:r w:rsidR="00B96F73" w:rsidRPr="00AA6144">
        <w:rPr>
          <w:color w:val="auto"/>
          <w:lang w:val="en-CA"/>
        </w:rPr>
        <w:t xml:space="preserve"> Appeals from superior courts are</w:t>
      </w:r>
      <w:r w:rsidR="00984589" w:rsidRPr="00AA6144">
        <w:rPr>
          <w:color w:val="auto"/>
          <w:lang w:val="en-CA"/>
        </w:rPr>
        <w:t xml:space="preserve"> heard by </w:t>
      </w:r>
      <w:r w:rsidR="00235345" w:rsidRPr="00AA6144">
        <w:rPr>
          <w:color w:val="auto"/>
          <w:lang w:val="en-CA"/>
        </w:rPr>
        <w:t xml:space="preserve">provincial </w:t>
      </w:r>
      <w:r w:rsidR="00984589" w:rsidRPr="00AA6144">
        <w:rPr>
          <w:color w:val="auto"/>
          <w:lang w:val="en-CA"/>
        </w:rPr>
        <w:t>appellate courts</w:t>
      </w:r>
      <w:r w:rsidR="00717239" w:rsidRPr="00AA6144">
        <w:rPr>
          <w:color w:val="auto"/>
          <w:lang w:val="en-CA"/>
        </w:rPr>
        <w:t>, for example</w:t>
      </w:r>
      <w:r w:rsidR="00B96F73" w:rsidRPr="00AA6144">
        <w:rPr>
          <w:color w:val="auto"/>
          <w:lang w:val="en-CA"/>
        </w:rPr>
        <w:t xml:space="preserve"> an appeal from the </w:t>
      </w:r>
      <w:r w:rsidR="005F4EC3" w:rsidRPr="00AA6144">
        <w:rPr>
          <w:color w:val="auto"/>
          <w:lang w:val="en-CA"/>
        </w:rPr>
        <w:t>Ontario</w:t>
      </w:r>
      <w:r w:rsidR="00B96F73" w:rsidRPr="00AA6144">
        <w:rPr>
          <w:color w:val="auto"/>
          <w:lang w:val="en-CA"/>
        </w:rPr>
        <w:t xml:space="preserve"> Superior Court would be heard by</w:t>
      </w:r>
      <w:r w:rsidR="00717239" w:rsidRPr="00AA6144">
        <w:rPr>
          <w:color w:val="auto"/>
          <w:lang w:val="en-CA"/>
        </w:rPr>
        <w:t xml:space="preserve"> the </w:t>
      </w:r>
      <w:r w:rsidR="005F4EC3" w:rsidRPr="00AA6144">
        <w:rPr>
          <w:color w:val="auto"/>
          <w:lang w:val="en-CA"/>
        </w:rPr>
        <w:t>Ontario</w:t>
      </w:r>
      <w:r w:rsidR="00717239" w:rsidRPr="00AA6144">
        <w:rPr>
          <w:color w:val="auto"/>
          <w:lang w:val="en-CA"/>
        </w:rPr>
        <w:t xml:space="preserve"> Court of Appeal</w:t>
      </w:r>
      <w:r w:rsidR="00984589" w:rsidRPr="00AA6144">
        <w:rPr>
          <w:color w:val="auto"/>
          <w:lang w:val="en-CA"/>
        </w:rPr>
        <w:t>. Appeals from these appel</w:t>
      </w:r>
      <w:r w:rsidR="0011018B" w:rsidRPr="00AA6144">
        <w:rPr>
          <w:color w:val="auto"/>
          <w:lang w:val="en-CA"/>
        </w:rPr>
        <w:t>late courts are heard by the Supreme Court of Canada.</w:t>
      </w:r>
      <w:r w:rsidR="00984589" w:rsidRPr="00AA6144">
        <w:rPr>
          <w:color w:val="auto"/>
          <w:lang w:val="en-CA"/>
        </w:rPr>
        <w:t xml:space="preserve"> </w:t>
      </w:r>
    </w:p>
    <w:p w14:paraId="118974D7" w14:textId="77777777" w:rsidR="005F4EC3" w:rsidRPr="00AA6144" w:rsidRDefault="005F4EC3" w:rsidP="00C7741E">
      <w:pPr>
        <w:pStyle w:val="AIBodyText"/>
        <w:rPr>
          <w:color w:val="auto"/>
          <w:lang w:val="en-CA"/>
        </w:rPr>
      </w:pPr>
      <w:r w:rsidRPr="00AA6144">
        <w:rPr>
          <w:color w:val="auto"/>
          <w:lang w:val="en-CA"/>
        </w:rPr>
        <w:t xml:space="preserve">There are also provincial courts in each province which are established by statute. </w:t>
      </w:r>
      <w:r w:rsidR="00BC68AF" w:rsidRPr="00AA6144">
        <w:rPr>
          <w:color w:val="auto"/>
          <w:lang w:val="en-CA"/>
        </w:rPr>
        <w:t>C</w:t>
      </w:r>
      <w:r w:rsidR="00681897" w:rsidRPr="00AA6144">
        <w:rPr>
          <w:color w:val="auto"/>
          <w:lang w:val="en-CA"/>
        </w:rPr>
        <w:t>riminal</w:t>
      </w:r>
      <w:r w:rsidRPr="00AA6144">
        <w:rPr>
          <w:color w:val="auto"/>
          <w:lang w:val="en-CA"/>
        </w:rPr>
        <w:t xml:space="preserve"> offences </w:t>
      </w:r>
      <w:r w:rsidR="00BC68AF" w:rsidRPr="00AA6144">
        <w:rPr>
          <w:color w:val="auto"/>
          <w:lang w:val="en-CA"/>
        </w:rPr>
        <w:t xml:space="preserve">below </w:t>
      </w:r>
      <w:r w:rsidRPr="00AA6144">
        <w:rPr>
          <w:color w:val="auto"/>
          <w:lang w:val="en-CA"/>
        </w:rPr>
        <w:t xml:space="preserve">a certain gravity are heard by </w:t>
      </w:r>
      <w:r w:rsidR="00BC68AF" w:rsidRPr="00AA6144">
        <w:rPr>
          <w:color w:val="auto"/>
          <w:lang w:val="en-CA"/>
        </w:rPr>
        <w:t>these courts</w:t>
      </w:r>
      <w:r w:rsidR="00A924A9" w:rsidRPr="00AA6144">
        <w:rPr>
          <w:color w:val="auto"/>
          <w:lang w:val="en-CA"/>
        </w:rPr>
        <w:t>.</w:t>
      </w:r>
      <w:r w:rsidRPr="00AA6144">
        <w:rPr>
          <w:color w:val="auto"/>
          <w:lang w:val="en-CA"/>
        </w:rPr>
        <w:t xml:space="preserve"> </w:t>
      </w:r>
    </w:p>
    <w:p w14:paraId="61541D84" w14:textId="77777777" w:rsidR="00CA7D92" w:rsidRPr="00AA6144" w:rsidRDefault="00865412" w:rsidP="00CA7D92">
      <w:pPr>
        <w:pStyle w:val="Heading3"/>
        <w:rPr>
          <w:color w:val="auto"/>
          <w:lang w:val="en-CA"/>
        </w:rPr>
      </w:pPr>
      <w:bookmarkStart w:id="19" w:name="_Toc43382712"/>
      <w:r w:rsidRPr="00AA6144">
        <w:rPr>
          <w:color w:val="auto"/>
          <w:lang w:val="en-CA"/>
        </w:rPr>
        <w:t>2</w:t>
      </w:r>
      <w:r w:rsidR="00CA7D92" w:rsidRPr="00AA6144">
        <w:rPr>
          <w:color w:val="auto"/>
          <w:lang w:val="en-CA"/>
        </w:rPr>
        <w:t xml:space="preserve">.3.2. </w:t>
      </w:r>
      <w:r w:rsidR="00297309" w:rsidRPr="00AA6144">
        <w:rPr>
          <w:color w:val="auto"/>
          <w:lang w:val="en-CA"/>
        </w:rPr>
        <w:t>Structure of the military court system</w:t>
      </w:r>
      <w:bookmarkEnd w:id="19"/>
      <w:r w:rsidR="00297309" w:rsidRPr="00AA6144">
        <w:rPr>
          <w:color w:val="auto"/>
          <w:lang w:val="en-CA"/>
        </w:rPr>
        <w:t xml:space="preserve"> </w:t>
      </w:r>
    </w:p>
    <w:p w14:paraId="72FD40BE" w14:textId="77777777" w:rsidR="00437A3D" w:rsidRPr="00AA6144" w:rsidRDefault="00437A3D" w:rsidP="00437A3D">
      <w:pPr>
        <w:spacing w:after="0"/>
        <w:rPr>
          <w:lang w:val="en-CA"/>
        </w:rPr>
      </w:pPr>
    </w:p>
    <w:p w14:paraId="78A9B986" w14:textId="77777777" w:rsidR="000F6820" w:rsidRPr="00AA6144" w:rsidRDefault="00574C37" w:rsidP="00297309">
      <w:pPr>
        <w:pStyle w:val="AIBodyText"/>
        <w:rPr>
          <w:color w:val="auto"/>
          <w:lang w:val="en-CA"/>
        </w:rPr>
      </w:pPr>
      <w:r w:rsidRPr="00AA6144">
        <w:rPr>
          <w:color w:val="auto"/>
          <w:lang w:val="en-CA"/>
        </w:rPr>
        <w:t xml:space="preserve">Martial courts are military courts that were established under the </w:t>
      </w:r>
      <w:r w:rsidRPr="00AA6144">
        <w:rPr>
          <w:i/>
          <w:color w:val="auto"/>
          <w:lang w:val="en-CA"/>
        </w:rPr>
        <w:t>National Defence Act</w:t>
      </w:r>
      <w:r w:rsidRPr="00AA6144">
        <w:rPr>
          <w:color w:val="auto"/>
          <w:lang w:val="en-CA"/>
        </w:rPr>
        <w:t xml:space="preserve"> (‘‘NDA’’) to address breaches of the </w:t>
      </w:r>
      <w:r w:rsidRPr="00AA6144">
        <w:rPr>
          <w:i/>
          <w:color w:val="auto"/>
          <w:lang w:val="en-CA"/>
        </w:rPr>
        <w:t>Code of Service Discipline</w:t>
      </w:r>
      <w:r w:rsidRPr="00AA6144">
        <w:rPr>
          <w:color w:val="auto"/>
          <w:lang w:val="en-CA"/>
        </w:rPr>
        <w:t xml:space="preserve"> (</w:t>
      </w:r>
      <w:r w:rsidR="006D45ED" w:rsidRPr="00AA6144">
        <w:rPr>
          <w:color w:val="auto"/>
          <w:lang w:val="en-CA"/>
        </w:rPr>
        <w:t>“</w:t>
      </w:r>
      <w:r w:rsidRPr="00AA6144">
        <w:rPr>
          <w:color w:val="auto"/>
          <w:lang w:val="en-CA"/>
        </w:rPr>
        <w:t>CSD</w:t>
      </w:r>
      <w:r w:rsidR="006D45ED" w:rsidRPr="00AA6144">
        <w:rPr>
          <w:color w:val="auto"/>
          <w:lang w:val="en-CA"/>
        </w:rPr>
        <w:t>”</w:t>
      </w:r>
      <w:r w:rsidRPr="00AA6144">
        <w:rPr>
          <w:color w:val="auto"/>
          <w:lang w:val="en-CA"/>
        </w:rPr>
        <w:t>).</w:t>
      </w:r>
      <w:bookmarkStart w:id="20" w:name="_Ref267054540"/>
      <w:r w:rsidRPr="00AA6144">
        <w:rPr>
          <w:color w:val="auto"/>
          <w:vertAlign w:val="superscript"/>
          <w:lang w:val="en-CA"/>
        </w:rPr>
        <w:footnoteReference w:id="25"/>
      </w:r>
      <w:bookmarkEnd w:id="20"/>
      <w:r w:rsidRPr="00AA6144">
        <w:rPr>
          <w:color w:val="auto"/>
          <w:lang w:val="en-CA"/>
        </w:rPr>
        <w:t xml:space="preserve"> The CSD</w:t>
      </w:r>
      <w:r w:rsidR="002D5C9E" w:rsidRPr="00AA6144">
        <w:rPr>
          <w:color w:val="auto"/>
          <w:lang w:val="en-CA"/>
        </w:rPr>
        <w:t>, which provides for specific extraterritorial jurisdiction to some extent,</w:t>
      </w:r>
      <w:r w:rsidR="00511803" w:rsidRPr="00AA6144">
        <w:rPr>
          <w:rStyle w:val="FootnoteReference"/>
          <w:color w:val="auto"/>
          <w:lang w:val="en-CA"/>
        </w:rPr>
        <w:footnoteReference w:id="26"/>
      </w:r>
      <w:r w:rsidRPr="00AA6144">
        <w:rPr>
          <w:color w:val="auto"/>
          <w:lang w:val="en-CA"/>
        </w:rPr>
        <w:t xml:space="preserve"> applies to members of the Canadian Forces at all times and to members of the reserve force in specified circumstances</w:t>
      </w:r>
      <w:r w:rsidR="00BC68AF" w:rsidRPr="00AA6144">
        <w:rPr>
          <w:color w:val="auto"/>
          <w:lang w:val="en-CA"/>
        </w:rPr>
        <w:t>,</w:t>
      </w:r>
      <w:r w:rsidRPr="00AA6144">
        <w:rPr>
          <w:color w:val="auto"/>
          <w:lang w:val="en-CA"/>
        </w:rPr>
        <w:t xml:space="preserve"> such as</w:t>
      </w:r>
      <w:r w:rsidR="00BC68AF" w:rsidRPr="00AA6144">
        <w:rPr>
          <w:color w:val="auto"/>
          <w:lang w:val="en-CA"/>
        </w:rPr>
        <w:t>:</w:t>
      </w:r>
      <w:r w:rsidRPr="00AA6144">
        <w:rPr>
          <w:color w:val="auto"/>
          <w:lang w:val="en-CA"/>
        </w:rPr>
        <w:t xml:space="preserve"> when on duty, in uniform, in any Canadian Forces vehicle, etc.</w:t>
      </w:r>
      <w:r w:rsidRPr="00AA6144">
        <w:rPr>
          <w:color w:val="auto"/>
          <w:vertAlign w:val="superscript"/>
          <w:lang w:val="en-CA"/>
        </w:rPr>
        <w:footnoteReference w:id="27"/>
      </w:r>
      <w:r w:rsidRPr="00AA6144">
        <w:rPr>
          <w:color w:val="auto"/>
          <w:lang w:val="en-CA"/>
        </w:rPr>
        <w:t> In addition, the CSD can also apply to civilians in limited circumstances, such as a person who accompanies any unit or other element of the Canadian Forces that is on service or active service and participates with that unit in carrying out its operations.</w:t>
      </w:r>
      <w:r w:rsidRPr="00AA6144">
        <w:rPr>
          <w:color w:val="auto"/>
          <w:vertAlign w:val="superscript"/>
          <w:lang w:val="en-CA"/>
        </w:rPr>
        <w:footnoteReference w:id="28"/>
      </w:r>
    </w:p>
    <w:p w14:paraId="223F374D" w14:textId="2DF59B12" w:rsidR="00FB51C9" w:rsidRPr="00AA6144" w:rsidRDefault="00B4322D" w:rsidP="00FB51C9">
      <w:pPr>
        <w:pStyle w:val="AIBodyText"/>
        <w:rPr>
          <w:color w:val="auto"/>
          <w:lang w:val="en-CA"/>
        </w:rPr>
      </w:pPr>
      <w:r w:rsidRPr="00AA6144">
        <w:rPr>
          <w:color w:val="auto"/>
          <w:lang w:val="en-CA"/>
        </w:rPr>
        <w:t>The NDA gives the military justice sy</w:t>
      </w:r>
      <w:r w:rsidR="0044438D" w:rsidRPr="00AA6144">
        <w:rPr>
          <w:color w:val="auto"/>
          <w:lang w:val="en-CA"/>
        </w:rPr>
        <w:t>s</w:t>
      </w:r>
      <w:r w:rsidRPr="00AA6144">
        <w:rPr>
          <w:color w:val="auto"/>
          <w:lang w:val="en-CA"/>
        </w:rPr>
        <w:t xml:space="preserve">tem the jurisdiction to deal with a matter where </w:t>
      </w:r>
      <w:r w:rsidR="00574C37" w:rsidRPr="00AA6144">
        <w:rPr>
          <w:color w:val="auto"/>
          <w:lang w:val="en-CA"/>
        </w:rPr>
        <w:t>a person</w:t>
      </w:r>
      <w:r w:rsidRPr="00AA6144">
        <w:rPr>
          <w:color w:val="auto"/>
          <w:lang w:val="en-CA"/>
        </w:rPr>
        <w:t xml:space="preserve"> who is</w:t>
      </w:r>
      <w:r w:rsidR="00574C37" w:rsidRPr="00AA6144">
        <w:rPr>
          <w:color w:val="auto"/>
          <w:lang w:val="en-CA"/>
        </w:rPr>
        <w:t xml:space="preserve"> subject to the CSD commits an offence</w:t>
      </w:r>
      <w:r w:rsidR="00562781" w:rsidRPr="00AA6144">
        <w:rPr>
          <w:color w:val="auto"/>
          <w:lang w:val="en-CA"/>
        </w:rPr>
        <w:t xml:space="preserve"> punishable</w:t>
      </w:r>
      <w:r w:rsidR="00574C37" w:rsidRPr="00AA6144">
        <w:rPr>
          <w:color w:val="auto"/>
          <w:lang w:val="en-CA"/>
        </w:rPr>
        <w:t xml:space="preserve"> under the </w:t>
      </w:r>
      <w:r w:rsidR="00574C37" w:rsidRPr="00AA6144">
        <w:rPr>
          <w:i/>
          <w:color w:val="auto"/>
          <w:lang w:val="en-CA"/>
        </w:rPr>
        <w:t>Criminal Code</w:t>
      </w:r>
      <w:r w:rsidR="006D45ED" w:rsidRPr="00AA6144">
        <w:rPr>
          <w:color w:val="auto"/>
          <w:lang w:val="en-CA"/>
        </w:rPr>
        <w:t>,</w:t>
      </w:r>
      <w:r w:rsidR="00562781" w:rsidRPr="00AA6144">
        <w:rPr>
          <w:color w:val="auto"/>
          <w:lang w:val="en-CA"/>
        </w:rPr>
        <w:t xml:space="preserve"> or any other Act of </w:t>
      </w:r>
      <w:r w:rsidR="00954926" w:rsidRPr="00AA6144">
        <w:rPr>
          <w:color w:val="auto"/>
          <w:lang w:val="en-CA"/>
        </w:rPr>
        <w:t>Parliament (</w:t>
      </w:r>
      <w:r w:rsidR="00574C37" w:rsidRPr="00AA6144">
        <w:rPr>
          <w:color w:val="auto"/>
          <w:lang w:val="en-CA"/>
        </w:rPr>
        <w:t>other than those noted above that have been excluded)</w:t>
      </w:r>
      <w:r w:rsidR="00954926" w:rsidRPr="00AA6144">
        <w:rPr>
          <w:color w:val="auto"/>
          <w:lang w:val="en-CA"/>
        </w:rPr>
        <w:t>. Similarly</w:t>
      </w:r>
      <w:r w:rsidR="00574C37" w:rsidRPr="00AA6144">
        <w:rPr>
          <w:color w:val="auto"/>
          <w:lang w:val="en-CA"/>
        </w:rPr>
        <w:t>, jurisdiction under the NDA may also be extended to offences committed outside Canada</w:t>
      </w:r>
      <w:r w:rsidR="004A23C6" w:rsidRPr="00AA6144">
        <w:rPr>
          <w:color w:val="auto"/>
          <w:lang w:val="en-CA"/>
        </w:rPr>
        <w:t xml:space="preserve"> by persons subject to the CSD</w:t>
      </w:r>
      <w:r w:rsidR="00574C37" w:rsidRPr="00AA6144">
        <w:rPr>
          <w:color w:val="auto"/>
          <w:lang w:val="en-CA"/>
        </w:rPr>
        <w:t xml:space="preserve"> that are punishable under the </w:t>
      </w:r>
      <w:r w:rsidR="00574C37" w:rsidRPr="00AA6144">
        <w:rPr>
          <w:i/>
          <w:color w:val="auto"/>
          <w:lang w:val="en-CA"/>
        </w:rPr>
        <w:t>Criminal Code</w:t>
      </w:r>
      <w:r w:rsidR="00574C37" w:rsidRPr="00AA6144">
        <w:rPr>
          <w:color w:val="auto"/>
          <w:lang w:val="en-CA"/>
        </w:rPr>
        <w:t xml:space="preserve"> or any other Act of Parliament.</w:t>
      </w:r>
      <w:r w:rsidR="00574C37" w:rsidRPr="00AA6144">
        <w:rPr>
          <w:color w:val="auto"/>
          <w:vertAlign w:val="superscript"/>
          <w:lang w:val="en-CA"/>
        </w:rPr>
        <w:footnoteReference w:id="29"/>
      </w:r>
      <w:r w:rsidR="00574C37" w:rsidRPr="00AA6144">
        <w:rPr>
          <w:color w:val="auto"/>
          <w:lang w:val="en-CA"/>
        </w:rPr>
        <w:t xml:space="preserve"> </w:t>
      </w:r>
      <w:r w:rsidR="003F0241">
        <w:rPr>
          <w:color w:val="auto"/>
          <w:lang w:val="en-CA"/>
        </w:rPr>
        <w:t xml:space="preserve">Although several </w:t>
      </w:r>
      <w:r w:rsidR="003F0241" w:rsidRPr="003F0241">
        <w:rPr>
          <w:color w:val="auto"/>
          <w:lang w:val="en-CA"/>
        </w:rPr>
        <w:t>UN treaty bodies and experts share the view that military ju</w:t>
      </w:r>
      <w:r w:rsidR="003F0241">
        <w:rPr>
          <w:color w:val="auto"/>
          <w:lang w:val="en-CA"/>
        </w:rPr>
        <w:t>stice system</w:t>
      </w:r>
      <w:r w:rsidR="003A7B72">
        <w:rPr>
          <w:color w:val="auto"/>
          <w:lang w:val="en-CA"/>
        </w:rPr>
        <w:t>s</w:t>
      </w:r>
      <w:r w:rsidR="003F0241">
        <w:rPr>
          <w:color w:val="auto"/>
          <w:lang w:val="en-CA"/>
        </w:rPr>
        <w:t xml:space="preserve"> </w:t>
      </w:r>
      <w:r w:rsidR="003F0241" w:rsidRPr="003F0241">
        <w:rPr>
          <w:color w:val="auto"/>
          <w:lang w:val="en-CA"/>
        </w:rPr>
        <w:t>should be prevented from exercising jurisdiction over crimes against humanity and, more in general, human rights violations</w:t>
      </w:r>
      <w:r w:rsidR="003F0241">
        <w:rPr>
          <w:color w:val="auto"/>
          <w:lang w:val="en-CA"/>
        </w:rPr>
        <w:t xml:space="preserve">, </w:t>
      </w:r>
      <w:r w:rsidRPr="00AA6144">
        <w:rPr>
          <w:color w:val="auto"/>
          <w:lang w:val="en-CA"/>
        </w:rPr>
        <w:t>m</w:t>
      </w:r>
      <w:r w:rsidR="00574C37" w:rsidRPr="00AA6144">
        <w:rPr>
          <w:color w:val="auto"/>
          <w:lang w:val="en-CA"/>
        </w:rPr>
        <w:t xml:space="preserve">artial </w:t>
      </w:r>
      <w:r w:rsidRPr="00AA6144">
        <w:rPr>
          <w:color w:val="auto"/>
          <w:lang w:val="en-CA"/>
        </w:rPr>
        <w:t>c</w:t>
      </w:r>
      <w:r w:rsidR="00574C37" w:rsidRPr="00AA6144">
        <w:rPr>
          <w:color w:val="auto"/>
          <w:lang w:val="en-CA"/>
        </w:rPr>
        <w:t xml:space="preserve">ourts </w:t>
      </w:r>
      <w:r w:rsidR="003F0241">
        <w:rPr>
          <w:color w:val="auto"/>
          <w:lang w:val="en-CA"/>
        </w:rPr>
        <w:t xml:space="preserve">in Canada </w:t>
      </w:r>
      <w:r w:rsidR="00574C37" w:rsidRPr="00AA6144">
        <w:rPr>
          <w:color w:val="auto"/>
          <w:lang w:val="en-CA"/>
        </w:rPr>
        <w:t>have jurisdiction over crimes</w:t>
      </w:r>
      <w:r w:rsidR="003D440D" w:rsidRPr="00AA6144">
        <w:rPr>
          <w:color w:val="auto"/>
          <w:lang w:val="en-CA"/>
        </w:rPr>
        <w:t xml:space="preserve"> under international law, </w:t>
      </w:r>
      <w:r w:rsidRPr="00AA6144">
        <w:rPr>
          <w:color w:val="auto"/>
          <w:lang w:val="en-CA"/>
        </w:rPr>
        <w:t>as well as those listed in</w:t>
      </w:r>
      <w:r w:rsidR="003D440D" w:rsidRPr="00AA6144">
        <w:rPr>
          <w:color w:val="auto"/>
          <w:lang w:val="en-CA"/>
        </w:rPr>
        <w:t xml:space="preserve"> </w:t>
      </w:r>
      <w:r w:rsidR="00574C37" w:rsidRPr="00AA6144">
        <w:rPr>
          <w:color w:val="auto"/>
          <w:lang w:val="en-CA"/>
        </w:rPr>
        <w:t xml:space="preserve">the </w:t>
      </w:r>
      <w:r w:rsidR="00574C37" w:rsidRPr="00AA6144">
        <w:rPr>
          <w:i/>
          <w:color w:val="auto"/>
          <w:lang w:val="en-CA"/>
        </w:rPr>
        <w:t>Crimes Against Humanity and War Crimes Act</w:t>
      </w:r>
      <w:r w:rsidR="003D440D" w:rsidRPr="00AA6144">
        <w:rPr>
          <w:color w:val="auto"/>
          <w:lang w:val="en-CA"/>
        </w:rPr>
        <w:t xml:space="preserve">. </w:t>
      </w:r>
      <w:r w:rsidR="001E1462">
        <w:rPr>
          <w:color w:val="auto"/>
          <w:lang w:val="en-CA"/>
        </w:rPr>
        <w:t>In</w:t>
      </w:r>
      <w:r w:rsidR="00C40B47" w:rsidRPr="00AA6144">
        <w:rPr>
          <w:color w:val="auto"/>
          <w:lang w:val="en-CA"/>
        </w:rPr>
        <w:t xml:space="preserve"> some cases,</w:t>
      </w:r>
      <w:r w:rsidR="001E1462">
        <w:rPr>
          <w:color w:val="auto"/>
          <w:lang w:val="en-CA"/>
        </w:rPr>
        <w:t xml:space="preserve"> martial courts may be</w:t>
      </w:r>
      <w:r w:rsidR="00C40B47" w:rsidRPr="00AA6144">
        <w:rPr>
          <w:color w:val="auto"/>
          <w:lang w:val="en-CA"/>
        </w:rPr>
        <w:t xml:space="preserve"> the only Can</w:t>
      </w:r>
      <w:r w:rsidR="00A74BA0" w:rsidRPr="00AA6144">
        <w:rPr>
          <w:color w:val="auto"/>
          <w:lang w:val="en-CA"/>
        </w:rPr>
        <w:t>a</w:t>
      </w:r>
      <w:r w:rsidR="00C40B47" w:rsidRPr="00AA6144">
        <w:rPr>
          <w:color w:val="auto"/>
          <w:lang w:val="en-CA"/>
        </w:rPr>
        <w:t>dian court</w:t>
      </w:r>
      <w:r w:rsidR="001E1462">
        <w:rPr>
          <w:color w:val="auto"/>
          <w:lang w:val="en-CA"/>
        </w:rPr>
        <w:t xml:space="preserve"> </w:t>
      </w:r>
      <w:r w:rsidR="00C40B47" w:rsidRPr="00AA6144">
        <w:rPr>
          <w:color w:val="auto"/>
          <w:lang w:val="en-CA"/>
        </w:rPr>
        <w:t xml:space="preserve">with jurisdiction to adjudicate offences involving human rights violations or crimes under international law committed by military members or by civilians who have direct connections </w:t>
      </w:r>
      <w:r w:rsidR="00C40B47" w:rsidRPr="00AA6144">
        <w:rPr>
          <w:color w:val="auto"/>
          <w:lang w:val="en-CA"/>
        </w:rPr>
        <w:lastRenderedPageBreak/>
        <w:t>with Canadian Armed Forces that are not otherwise subject to universal jurisdiction.</w:t>
      </w:r>
    </w:p>
    <w:p w14:paraId="6E3954EB" w14:textId="103070CB" w:rsidR="003D440D" w:rsidRDefault="003D440D" w:rsidP="00297309">
      <w:pPr>
        <w:pStyle w:val="AIBodyText"/>
        <w:rPr>
          <w:color w:val="auto"/>
          <w:lang w:val="en-CA"/>
        </w:rPr>
      </w:pPr>
      <w:r w:rsidRPr="00AA6144">
        <w:rPr>
          <w:color w:val="auto"/>
          <w:lang w:val="en-CA"/>
        </w:rPr>
        <w:t xml:space="preserve">The Court Martial Appeal Court (‘‘CMAC’’) hears appeals from </w:t>
      </w:r>
      <w:r w:rsidR="00B4322D" w:rsidRPr="00AA6144">
        <w:rPr>
          <w:color w:val="auto"/>
          <w:lang w:val="en-CA"/>
        </w:rPr>
        <w:t>m</w:t>
      </w:r>
      <w:r w:rsidRPr="00AA6144">
        <w:rPr>
          <w:color w:val="auto"/>
          <w:lang w:val="en-CA"/>
        </w:rPr>
        <w:t xml:space="preserve">artial </w:t>
      </w:r>
      <w:r w:rsidR="00B4322D" w:rsidRPr="00AA6144">
        <w:rPr>
          <w:color w:val="auto"/>
          <w:lang w:val="en-CA"/>
        </w:rPr>
        <w:t>c</w:t>
      </w:r>
      <w:r w:rsidRPr="00AA6144">
        <w:rPr>
          <w:color w:val="auto"/>
          <w:lang w:val="en-CA"/>
        </w:rPr>
        <w:t>ourts’ decisions.</w:t>
      </w:r>
      <w:r w:rsidRPr="00AA6144">
        <w:rPr>
          <w:color w:val="auto"/>
          <w:vertAlign w:val="superscript"/>
          <w:lang w:val="en-CA"/>
        </w:rPr>
        <w:footnoteReference w:id="30"/>
      </w:r>
      <w:r w:rsidR="00FB51C9" w:rsidRPr="00AA6144">
        <w:rPr>
          <w:color w:val="auto"/>
          <w:lang w:val="en-CA"/>
        </w:rPr>
        <w:t xml:space="preserve"> </w:t>
      </w:r>
      <w:r w:rsidR="00B4322D" w:rsidRPr="00AA6144">
        <w:rPr>
          <w:color w:val="auto"/>
          <w:lang w:val="en-CA"/>
        </w:rPr>
        <w:t>T</w:t>
      </w:r>
      <w:r w:rsidR="00FB51C9" w:rsidRPr="00AA6144">
        <w:rPr>
          <w:color w:val="auto"/>
          <w:lang w:val="en-CA"/>
        </w:rPr>
        <w:t xml:space="preserve">here is a right of appeal to the Supreme Court of Canada from the CMAC where one of the CMAC judges </w:t>
      </w:r>
      <w:r w:rsidR="006271B2" w:rsidRPr="00AA6144">
        <w:rPr>
          <w:color w:val="auto"/>
          <w:lang w:val="en-CA"/>
        </w:rPr>
        <w:t xml:space="preserve">dissents </w:t>
      </w:r>
      <w:r w:rsidR="00FB51C9" w:rsidRPr="00AA6144">
        <w:rPr>
          <w:color w:val="auto"/>
          <w:lang w:val="en-CA"/>
        </w:rPr>
        <w:t xml:space="preserve">on </w:t>
      </w:r>
      <w:r w:rsidR="00B4322D" w:rsidRPr="00AA6144">
        <w:rPr>
          <w:color w:val="auto"/>
          <w:lang w:val="en-CA"/>
        </w:rPr>
        <w:t xml:space="preserve">a </w:t>
      </w:r>
      <w:r w:rsidR="00FB51C9" w:rsidRPr="00AA6144">
        <w:rPr>
          <w:color w:val="auto"/>
          <w:lang w:val="en-CA"/>
        </w:rPr>
        <w:t>question</w:t>
      </w:r>
      <w:r w:rsidR="00B4322D" w:rsidRPr="00AA6144">
        <w:rPr>
          <w:color w:val="auto"/>
          <w:lang w:val="en-CA"/>
        </w:rPr>
        <w:t xml:space="preserve"> of law</w:t>
      </w:r>
      <w:r w:rsidR="00FB51C9" w:rsidRPr="00AA6144">
        <w:rPr>
          <w:color w:val="auto"/>
          <w:lang w:val="en-CA"/>
        </w:rPr>
        <w:t>, and an appeal with leave if the CMAC judges were unanimous.</w:t>
      </w:r>
      <w:r w:rsidR="00FB51C9" w:rsidRPr="00AA6144">
        <w:rPr>
          <w:color w:val="auto"/>
          <w:vertAlign w:val="superscript"/>
          <w:lang w:val="en-CA"/>
        </w:rPr>
        <w:footnoteReference w:id="31"/>
      </w:r>
    </w:p>
    <w:p w14:paraId="2D63E494" w14:textId="69A11388" w:rsidR="001E1462" w:rsidRPr="00AA6144" w:rsidRDefault="001E1462" w:rsidP="00297309">
      <w:pPr>
        <w:pStyle w:val="AIBodyText"/>
        <w:rPr>
          <w:color w:val="auto"/>
          <w:lang w:val="en-CA"/>
        </w:rPr>
      </w:pPr>
      <w:r>
        <w:rPr>
          <w:color w:val="auto"/>
          <w:lang w:val="en-CA"/>
        </w:rPr>
        <w:t>While t</w:t>
      </w:r>
      <w:r w:rsidRPr="00AA6144">
        <w:rPr>
          <w:color w:val="auto"/>
          <w:lang w:val="en-CA"/>
        </w:rPr>
        <w:t xml:space="preserve">rials by courts martial </w:t>
      </w:r>
      <w:r w:rsidRPr="001E1462">
        <w:rPr>
          <w:color w:val="auto"/>
          <w:lang w:val="en-CA"/>
        </w:rPr>
        <w:t xml:space="preserve">within this system are heard before military judges </w:t>
      </w:r>
      <w:r w:rsidRPr="00FF597A">
        <w:rPr>
          <w:color w:val="auto"/>
          <w:lang w:val="en-CA"/>
        </w:rPr>
        <w:t>with the same degree of constitutional independence as their civilian counterparts</w:t>
      </w:r>
      <w:r w:rsidRPr="001E1462">
        <w:rPr>
          <w:color w:val="auto"/>
          <w:lang w:val="en-CA"/>
        </w:rPr>
        <w:t xml:space="preserve"> and are </w:t>
      </w:r>
      <w:r>
        <w:rPr>
          <w:color w:val="auto"/>
          <w:lang w:val="en-CA"/>
        </w:rPr>
        <w:t>subject to</w:t>
      </w:r>
      <w:r w:rsidRPr="001E1462">
        <w:rPr>
          <w:color w:val="auto"/>
          <w:lang w:val="en-CA"/>
        </w:rPr>
        <w:t xml:space="preserve"> Charter protections and international law that is binding on Canada, </w:t>
      </w:r>
      <w:r w:rsidRPr="001E1462">
        <w:rPr>
          <w:rFonts w:eastAsia="SimSun"/>
          <w:color w:val="auto"/>
          <w:szCs w:val="18"/>
          <w:lang w:val="en-CA" w:eastAsia="zh-CN"/>
        </w:rPr>
        <w:t>It is</w:t>
      </w:r>
      <w:r w:rsidRPr="00AA6144">
        <w:rPr>
          <w:rFonts w:eastAsia="SimSun"/>
          <w:color w:val="auto"/>
          <w:szCs w:val="18"/>
          <w:lang w:val="en-CA" w:eastAsia="zh-CN"/>
        </w:rPr>
        <w:t xml:space="preserve"> increasingly recognized that military courts should not have jurisdiction over members of the armed forces or civilians in cases involving human rights violations or crimes under international law (See below Section 4.3.1.).</w:t>
      </w:r>
    </w:p>
    <w:p w14:paraId="2CC0F4C5" w14:textId="77777777" w:rsidR="00F64817" w:rsidRPr="00AA6144" w:rsidRDefault="00A62DC9" w:rsidP="00A62DC9">
      <w:pPr>
        <w:pStyle w:val="AIBodyText"/>
        <w:rPr>
          <w:color w:val="auto"/>
          <w:lang w:val="en-CA"/>
        </w:rPr>
      </w:pPr>
      <w:r w:rsidRPr="00AA6144">
        <w:rPr>
          <w:b/>
          <w:bCs/>
          <w:i/>
          <w:iCs/>
          <w:color w:val="auto"/>
          <w:lang w:val="en-CA"/>
        </w:rPr>
        <w:t xml:space="preserve">Precedent. </w:t>
      </w:r>
      <w:r w:rsidRPr="00AA6144">
        <w:rPr>
          <w:color w:val="auto"/>
          <w:lang w:val="en-CA"/>
        </w:rPr>
        <w:t>A</w:t>
      </w:r>
      <w:r w:rsidR="00283160" w:rsidRPr="00AA6144">
        <w:rPr>
          <w:color w:val="auto"/>
          <w:lang w:val="en-CA"/>
        </w:rPr>
        <w:t xml:space="preserve">s </w:t>
      </w:r>
      <w:r w:rsidRPr="00AA6144">
        <w:rPr>
          <w:color w:val="auto"/>
          <w:lang w:val="en-CA"/>
        </w:rPr>
        <w:t xml:space="preserve">in most common law countries, all courts, </w:t>
      </w:r>
      <w:r w:rsidR="00235345" w:rsidRPr="00AA6144">
        <w:rPr>
          <w:color w:val="auto"/>
          <w:lang w:val="en-CA"/>
        </w:rPr>
        <w:t>including the Supreme Court of Canada</w:t>
      </w:r>
      <w:r w:rsidR="00E96083" w:rsidRPr="00AA6144">
        <w:rPr>
          <w:color w:val="auto"/>
          <w:lang w:val="en-CA"/>
        </w:rPr>
        <w:t>,</w:t>
      </w:r>
      <w:r w:rsidR="00235345" w:rsidRPr="00AA6144">
        <w:rPr>
          <w:color w:val="auto"/>
          <w:lang w:val="en-CA"/>
        </w:rPr>
        <w:t xml:space="preserve"> </w:t>
      </w:r>
      <w:r w:rsidRPr="00AA6144">
        <w:rPr>
          <w:color w:val="auto"/>
          <w:lang w:val="en-CA"/>
        </w:rPr>
        <w:t xml:space="preserve">are bound by the rule of </w:t>
      </w:r>
      <w:r w:rsidRPr="00AA6144">
        <w:rPr>
          <w:i/>
          <w:color w:val="auto"/>
          <w:lang w:val="en-CA"/>
        </w:rPr>
        <w:t>stare decisis</w:t>
      </w:r>
      <w:r w:rsidRPr="00AA6144">
        <w:rPr>
          <w:color w:val="auto"/>
          <w:lang w:val="en-CA"/>
        </w:rPr>
        <w:t xml:space="preserve"> (binding precedent).  A court </w:t>
      </w:r>
      <w:r w:rsidR="00681897" w:rsidRPr="00AA6144">
        <w:rPr>
          <w:color w:val="auto"/>
          <w:lang w:val="en-CA"/>
        </w:rPr>
        <w:t>may</w:t>
      </w:r>
      <w:r w:rsidRPr="00AA6144">
        <w:rPr>
          <w:color w:val="auto"/>
          <w:lang w:val="en-CA"/>
        </w:rPr>
        <w:t xml:space="preserve"> disregard one of its previous rulings or a ruling of a higher court if </w:t>
      </w:r>
      <w:r w:rsidR="00681897" w:rsidRPr="00AA6144">
        <w:rPr>
          <w:color w:val="auto"/>
          <w:lang w:val="en-CA"/>
        </w:rPr>
        <w:t>there are compelling reasons to do so.</w:t>
      </w:r>
      <w:r w:rsidR="00B07EBC" w:rsidRPr="00AA6144">
        <w:rPr>
          <w:rStyle w:val="FootnoteReference"/>
          <w:color w:val="auto"/>
          <w:lang w:val="en-CA"/>
        </w:rPr>
        <w:footnoteReference w:id="32"/>
      </w:r>
      <w:r w:rsidR="0081349D" w:rsidRPr="00AA6144">
        <w:rPr>
          <w:color w:val="auto"/>
          <w:lang w:val="en-CA"/>
        </w:rPr>
        <w:t xml:space="preserve"> These reasons include: the prior decision departed from the purpose of a </w:t>
      </w:r>
      <w:r w:rsidR="0081349D" w:rsidRPr="00AA6144">
        <w:rPr>
          <w:i/>
          <w:color w:val="auto"/>
          <w:lang w:val="en-CA"/>
        </w:rPr>
        <w:t xml:space="preserve">Charter </w:t>
      </w:r>
      <w:r w:rsidR="0081349D" w:rsidRPr="00AA6144">
        <w:rPr>
          <w:color w:val="auto"/>
          <w:lang w:val="en-CA"/>
        </w:rPr>
        <w:t>provision as articulated in an earlier precedent; experience shows that the prior decision is unworkable as its application is unnecessarily complex and technical; the prior decision is contrary to sound principle; or</w:t>
      </w:r>
      <w:r w:rsidR="00831867" w:rsidRPr="00AA6144">
        <w:rPr>
          <w:color w:val="auto"/>
          <w:lang w:val="en-CA"/>
        </w:rPr>
        <w:t>,</w:t>
      </w:r>
      <w:r w:rsidR="0081349D" w:rsidRPr="00AA6144">
        <w:rPr>
          <w:color w:val="auto"/>
          <w:lang w:val="en-CA"/>
        </w:rPr>
        <w:t xml:space="preserve"> the p</w:t>
      </w:r>
      <w:r w:rsidR="00AB530D" w:rsidRPr="00AA6144">
        <w:rPr>
          <w:color w:val="auto"/>
          <w:lang w:val="en-CA"/>
        </w:rPr>
        <w:t>rior decision results in unfair</w:t>
      </w:r>
      <w:r w:rsidR="0081349D" w:rsidRPr="00AA6144">
        <w:rPr>
          <w:color w:val="auto"/>
          <w:lang w:val="en-CA"/>
        </w:rPr>
        <w:t>n</w:t>
      </w:r>
      <w:r w:rsidR="00AB530D" w:rsidRPr="00AA6144">
        <w:rPr>
          <w:color w:val="auto"/>
          <w:lang w:val="en-CA"/>
        </w:rPr>
        <w:t>e</w:t>
      </w:r>
      <w:r w:rsidR="0081349D" w:rsidRPr="00AA6144">
        <w:rPr>
          <w:color w:val="auto"/>
          <w:lang w:val="en-CA"/>
        </w:rPr>
        <w:t>ss.</w:t>
      </w:r>
      <w:r w:rsidR="00234F3C" w:rsidRPr="00AA6144">
        <w:rPr>
          <w:rStyle w:val="FootnoteReference"/>
          <w:color w:val="auto"/>
          <w:lang w:val="en-CA"/>
        </w:rPr>
        <w:footnoteReference w:id="33"/>
      </w:r>
      <w:r w:rsidRPr="00AA6144">
        <w:rPr>
          <w:color w:val="auto"/>
          <w:lang w:val="en-CA"/>
        </w:rPr>
        <w:t xml:space="preserve">  </w:t>
      </w:r>
      <w:r w:rsidR="0081349D" w:rsidRPr="00AA6144">
        <w:rPr>
          <w:color w:val="auto"/>
          <w:lang w:val="en-CA"/>
        </w:rPr>
        <w:t>A court may also overrule itself where precedent was wrongly decided.</w:t>
      </w:r>
      <w:r w:rsidR="0081349D" w:rsidRPr="00AA6144">
        <w:rPr>
          <w:rStyle w:val="FootnoteReference"/>
          <w:color w:val="auto"/>
          <w:lang w:val="en-CA"/>
        </w:rPr>
        <w:footnoteReference w:id="34"/>
      </w:r>
      <w:r w:rsidR="0081349D" w:rsidRPr="00AA6144">
        <w:rPr>
          <w:color w:val="auto"/>
          <w:lang w:val="en-CA"/>
        </w:rPr>
        <w:t xml:space="preserve"> </w:t>
      </w:r>
      <w:r w:rsidR="00831867" w:rsidRPr="00AA6144">
        <w:rPr>
          <w:color w:val="auto"/>
          <w:lang w:val="en-CA"/>
        </w:rPr>
        <w:t xml:space="preserve">A decision </w:t>
      </w:r>
      <w:r w:rsidR="00B03BD2" w:rsidRPr="00AA6144">
        <w:rPr>
          <w:color w:val="auto"/>
          <w:lang w:val="en-CA"/>
        </w:rPr>
        <w:t xml:space="preserve">to depart from precedent </w:t>
      </w:r>
      <w:r w:rsidR="00412A03" w:rsidRPr="00AA6144">
        <w:rPr>
          <w:color w:val="auto"/>
          <w:lang w:val="en-CA"/>
        </w:rPr>
        <w:t xml:space="preserve">requires </w:t>
      </w:r>
      <w:r w:rsidR="008D0061" w:rsidRPr="00AA6144">
        <w:rPr>
          <w:color w:val="auto"/>
          <w:lang w:val="en-CA"/>
        </w:rPr>
        <w:t xml:space="preserve">a </w:t>
      </w:r>
      <w:r w:rsidR="00412A03" w:rsidRPr="00AA6144">
        <w:rPr>
          <w:color w:val="auto"/>
          <w:lang w:val="en-CA"/>
        </w:rPr>
        <w:t xml:space="preserve">balancing </w:t>
      </w:r>
      <w:r w:rsidR="007D085E" w:rsidRPr="00AA6144">
        <w:rPr>
          <w:color w:val="auto"/>
          <w:lang w:val="en-CA"/>
        </w:rPr>
        <w:t>between correctness and certainty</w:t>
      </w:r>
      <w:r w:rsidR="008D0061" w:rsidRPr="00AA6144">
        <w:rPr>
          <w:color w:val="auto"/>
          <w:lang w:val="en-CA"/>
        </w:rPr>
        <w:t>.</w:t>
      </w:r>
      <w:r w:rsidR="008D0061" w:rsidRPr="00AA6144">
        <w:rPr>
          <w:rStyle w:val="FootnoteReference"/>
          <w:color w:val="auto"/>
          <w:lang w:val="en-CA"/>
        </w:rPr>
        <w:footnoteReference w:id="35"/>
      </w:r>
    </w:p>
    <w:p w14:paraId="017AFAA5" w14:textId="77777777" w:rsidR="00283160" w:rsidRPr="00AA6144" w:rsidRDefault="00621810" w:rsidP="00283160">
      <w:pPr>
        <w:pStyle w:val="Heading2"/>
        <w:numPr>
          <w:ilvl w:val="0"/>
          <w:numId w:val="0"/>
        </w:numPr>
        <w:rPr>
          <w:color w:val="auto"/>
          <w:lang w:val="en-CA"/>
        </w:rPr>
      </w:pPr>
      <w:bookmarkStart w:id="21" w:name="_Toc229562982"/>
      <w:bookmarkStart w:id="22" w:name="_Toc43382713"/>
      <w:r w:rsidRPr="00AA6144">
        <w:rPr>
          <w:color w:val="auto"/>
          <w:lang w:val="en-CA"/>
        </w:rPr>
        <w:t>2.4 Other</w:t>
      </w:r>
      <w:r w:rsidR="00283160" w:rsidRPr="00AA6144">
        <w:rPr>
          <w:color w:val="auto"/>
          <w:lang w:val="en-CA"/>
        </w:rPr>
        <w:t xml:space="preserve"> </w:t>
      </w:r>
      <w:r w:rsidR="00267DEB" w:rsidRPr="00AA6144">
        <w:rPr>
          <w:color w:val="auto"/>
          <w:lang w:val="en-CA"/>
        </w:rPr>
        <w:t xml:space="preserve">components </w:t>
      </w:r>
      <w:r w:rsidRPr="00AA6144">
        <w:rPr>
          <w:color w:val="auto"/>
          <w:lang w:val="en-CA"/>
        </w:rPr>
        <w:t>of the</w:t>
      </w:r>
      <w:r w:rsidR="00283160" w:rsidRPr="00AA6144">
        <w:rPr>
          <w:color w:val="auto"/>
          <w:lang w:val="en-CA"/>
        </w:rPr>
        <w:t xml:space="preserve"> </w:t>
      </w:r>
      <w:bookmarkEnd w:id="21"/>
      <w:r w:rsidR="00267DEB" w:rsidRPr="00AA6144">
        <w:rPr>
          <w:color w:val="auto"/>
          <w:lang w:val="en-CA"/>
        </w:rPr>
        <w:t>judicial system</w:t>
      </w:r>
      <w:bookmarkEnd w:id="22"/>
    </w:p>
    <w:p w14:paraId="65EE2D95" w14:textId="77777777" w:rsidR="00437A3D" w:rsidRPr="00AA6144" w:rsidRDefault="00437A3D" w:rsidP="00437A3D">
      <w:pPr>
        <w:spacing w:after="0"/>
        <w:rPr>
          <w:lang w:val="en-CA"/>
        </w:rPr>
      </w:pPr>
    </w:p>
    <w:p w14:paraId="7D579C52" w14:textId="77777777" w:rsidR="00A61DE2" w:rsidRPr="00AA6144" w:rsidRDefault="00A61DE2" w:rsidP="00283160">
      <w:pPr>
        <w:pStyle w:val="AIBodyText"/>
        <w:rPr>
          <w:color w:val="auto"/>
          <w:lang w:val="en-CA"/>
        </w:rPr>
      </w:pPr>
      <w:r w:rsidRPr="00AA6144">
        <w:rPr>
          <w:color w:val="auto"/>
          <w:lang w:val="en-CA"/>
        </w:rPr>
        <w:t>In addition to the courts, o</w:t>
      </w:r>
      <w:r w:rsidR="00283160" w:rsidRPr="00AA6144">
        <w:rPr>
          <w:color w:val="auto"/>
          <w:lang w:val="en-CA"/>
        </w:rPr>
        <w:t xml:space="preserve">ther actors in the judicial </w:t>
      </w:r>
      <w:r w:rsidRPr="00AA6144">
        <w:rPr>
          <w:color w:val="auto"/>
          <w:lang w:val="en-CA"/>
        </w:rPr>
        <w:t xml:space="preserve">system </w:t>
      </w:r>
      <w:r w:rsidR="0099003E" w:rsidRPr="00AA6144">
        <w:rPr>
          <w:color w:val="auto"/>
          <w:lang w:val="en-CA"/>
        </w:rPr>
        <w:t xml:space="preserve">include </w:t>
      </w:r>
      <w:r w:rsidRPr="00AA6144">
        <w:rPr>
          <w:color w:val="auto"/>
          <w:lang w:val="en-CA"/>
        </w:rPr>
        <w:t>police and prosecutors</w:t>
      </w:r>
      <w:r w:rsidR="00D7213B" w:rsidRPr="00AA6144">
        <w:rPr>
          <w:color w:val="auto"/>
          <w:lang w:val="en-CA"/>
        </w:rPr>
        <w:t xml:space="preserve"> </w:t>
      </w:r>
      <w:r w:rsidRPr="00AA6144">
        <w:rPr>
          <w:color w:val="auto"/>
          <w:lang w:val="en-CA"/>
        </w:rPr>
        <w:t xml:space="preserve">as well as </w:t>
      </w:r>
      <w:proofErr w:type="gramStart"/>
      <w:r w:rsidRPr="00AA6144">
        <w:rPr>
          <w:color w:val="auto"/>
          <w:lang w:val="en-CA"/>
        </w:rPr>
        <w:t>a number of</w:t>
      </w:r>
      <w:proofErr w:type="gramEnd"/>
      <w:r w:rsidRPr="00AA6144">
        <w:rPr>
          <w:color w:val="auto"/>
          <w:lang w:val="en-CA"/>
        </w:rPr>
        <w:t xml:space="preserve"> ot</w:t>
      </w:r>
      <w:r w:rsidR="00D7213B" w:rsidRPr="00AA6144">
        <w:rPr>
          <w:color w:val="auto"/>
          <w:lang w:val="en-CA"/>
        </w:rPr>
        <w:t xml:space="preserve">her institutions, such as </w:t>
      </w:r>
      <w:r w:rsidR="00E417A4" w:rsidRPr="00AA6144">
        <w:rPr>
          <w:color w:val="auto"/>
          <w:lang w:val="en-CA"/>
        </w:rPr>
        <w:t>immigration screening units</w:t>
      </w:r>
      <w:r w:rsidR="0099003E" w:rsidRPr="00AA6144">
        <w:rPr>
          <w:color w:val="auto"/>
          <w:lang w:val="en-CA"/>
        </w:rPr>
        <w:t>.</w:t>
      </w:r>
      <w:r w:rsidR="00D7213B" w:rsidRPr="00AA6144">
        <w:rPr>
          <w:color w:val="auto"/>
          <w:lang w:val="en-CA"/>
        </w:rPr>
        <w:t xml:space="preserve"> </w:t>
      </w:r>
      <w:r w:rsidR="0099003E" w:rsidRPr="00AA6144">
        <w:rPr>
          <w:color w:val="auto"/>
          <w:lang w:val="en-CA"/>
        </w:rPr>
        <w:t xml:space="preserve">These </w:t>
      </w:r>
      <w:r w:rsidR="003847B6" w:rsidRPr="00AA6144">
        <w:rPr>
          <w:color w:val="auto"/>
          <w:lang w:val="en-CA"/>
        </w:rPr>
        <w:t xml:space="preserve">latter </w:t>
      </w:r>
      <w:r w:rsidR="0099003E" w:rsidRPr="00AA6144">
        <w:rPr>
          <w:color w:val="auto"/>
          <w:lang w:val="en-CA"/>
        </w:rPr>
        <w:t xml:space="preserve">actors </w:t>
      </w:r>
      <w:r w:rsidR="00267DEB" w:rsidRPr="00AA6144">
        <w:rPr>
          <w:color w:val="auto"/>
          <w:lang w:val="en-CA"/>
        </w:rPr>
        <w:t>are not formally part o</w:t>
      </w:r>
      <w:r w:rsidR="00E417A4" w:rsidRPr="00AA6144">
        <w:rPr>
          <w:color w:val="auto"/>
          <w:lang w:val="en-CA"/>
        </w:rPr>
        <w:t xml:space="preserve">f the judicial </w:t>
      </w:r>
      <w:proofErr w:type="gramStart"/>
      <w:r w:rsidR="00E417A4" w:rsidRPr="00AA6144">
        <w:rPr>
          <w:color w:val="auto"/>
          <w:lang w:val="en-CA"/>
        </w:rPr>
        <w:t>system</w:t>
      </w:r>
      <w:r w:rsidR="007C39F2" w:rsidRPr="00AA6144">
        <w:rPr>
          <w:color w:val="auto"/>
          <w:lang w:val="en-CA"/>
        </w:rPr>
        <w:t>,</w:t>
      </w:r>
      <w:r w:rsidR="00E417A4" w:rsidRPr="00AA6144">
        <w:rPr>
          <w:color w:val="auto"/>
          <w:lang w:val="en-CA"/>
        </w:rPr>
        <w:t xml:space="preserve"> </w:t>
      </w:r>
      <w:r w:rsidR="007C39F2" w:rsidRPr="00AA6144">
        <w:rPr>
          <w:color w:val="auto"/>
          <w:lang w:val="en-CA"/>
        </w:rPr>
        <w:t>but</w:t>
      </w:r>
      <w:proofErr w:type="gramEnd"/>
      <w:r w:rsidR="007C39F2" w:rsidRPr="00AA6144">
        <w:rPr>
          <w:color w:val="auto"/>
          <w:lang w:val="en-CA"/>
        </w:rPr>
        <w:t xml:space="preserve"> </w:t>
      </w:r>
      <w:r w:rsidR="00267DEB" w:rsidRPr="00AA6144">
        <w:rPr>
          <w:color w:val="auto"/>
          <w:lang w:val="en-CA"/>
        </w:rPr>
        <w:t xml:space="preserve">can play an important role </w:t>
      </w:r>
      <w:r w:rsidR="007C39F2" w:rsidRPr="00AA6144">
        <w:rPr>
          <w:color w:val="auto"/>
          <w:lang w:val="en-CA"/>
        </w:rPr>
        <w:t xml:space="preserve">in </w:t>
      </w:r>
      <w:r w:rsidR="00267DEB" w:rsidRPr="00AA6144">
        <w:rPr>
          <w:color w:val="auto"/>
          <w:lang w:val="en-CA"/>
        </w:rPr>
        <w:t xml:space="preserve">law reform </w:t>
      </w:r>
      <w:r w:rsidRPr="00AA6144">
        <w:rPr>
          <w:color w:val="auto"/>
          <w:lang w:val="en-CA"/>
        </w:rPr>
        <w:t>(see Section 2.6 below).</w:t>
      </w:r>
    </w:p>
    <w:p w14:paraId="2514F060" w14:textId="77777777" w:rsidR="00267DEB" w:rsidRPr="00AA6144" w:rsidRDefault="00267DEB" w:rsidP="00283160">
      <w:pPr>
        <w:pStyle w:val="AIBodyText"/>
        <w:rPr>
          <w:color w:val="auto"/>
          <w:lang w:val="en-CA"/>
        </w:rPr>
      </w:pPr>
      <w:r w:rsidRPr="00AA6144">
        <w:rPr>
          <w:b/>
          <w:i/>
          <w:color w:val="auto"/>
          <w:lang w:val="en-CA"/>
        </w:rPr>
        <w:t xml:space="preserve">Immigration screening unit. </w:t>
      </w:r>
      <w:r w:rsidR="00D7213B" w:rsidRPr="00AA6144">
        <w:rPr>
          <w:color w:val="auto"/>
          <w:lang w:val="en-CA"/>
        </w:rPr>
        <w:t>Citizenship and Immigration Canada</w:t>
      </w:r>
      <w:r w:rsidR="00B4322D" w:rsidRPr="00AA6144">
        <w:rPr>
          <w:color w:val="auto"/>
          <w:lang w:val="en-CA"/>
        </w:rPr>
        <w:t xml:space="preserve"> (</w:t>
      </w:r>
      <w:r w:rsidR="008A161E" w:rsidRPr="00AA6144">
        <w:rPr>
          <w:color w:val="auto"/>
          <w:lang w:val="en-CA"/>
        </w:rPr>
        <w:t>“</w:t>
      </w:r>
      <w:r w:rsidR="00B4322D" w:rsidRPr="00AA6144">
        <w:rPr>
          <w:color w:val="auto"/>
          <w:lang w:val="en-CA"/>
        </w:rPr>
        <w:t>CIC</w:t>
      </w:r>
      <w:r w:rsidR="008A161E" w:rsidRPr="00AA6144">
        <w:rPr>
          <w:color w:val="auto"/>
          <w:lang w:val="en-CA"/>
        </w:rPr>
        <w:t>”</w:t>
      </w:r>
      <w:r w:rsidR="00B4322D" w:rsidRPr="00AA6144">
        <w:rPr>
          <w:color w:val="auto"/>
          <w:lang w:val="en-CA"/>
        </w:rPr>
        <w:t>)</w:t>
      </w:r>
      <w:r w:rsidR="00100114" w:rsidRPr="00AA6144">
        <w:rPr>
          <w:color w:val="auto"/>
          <w:lang w:val="en-CA"/>
        </w:rPr>
        <w:t xml:space="preserve"> and Canada Border Services Agency</w:t>
      </w:r>
      <w:r w:rsidR="00B4322D" w:rsidRPr="00AA6144">
        <w:rPr>
          <w:color w:val="auto"/>
          <w:lang w:val="en-CA"/>
        </w:rPr>
        <w:t xml:space="preserve"> (</w:t>
      </w:r>
      <w:r w:rsidR="008A161E" w:rsidRPr="00AA6144">
        <w:rPr>
          <w:color w:val="auto"/>
          <w:lang w:val="en-CA"/>
        </w:rPr>
        <w:t>“</w:t>
      </w:r>
      <w:r w:rsidR="00B4322D" w:rsidRPr="00AA6144">
        <w:rPr>
          <w:color w:val="auto"/>
          <w:lang w:val="en-CA"/>
        </w:rPr>
        <w:t>CBSA</w:t>
      </w:r>
      <w:r w:rsidR="008A161E" w:rsidRPr="00AA6144">
        <w:rPr>
          <w:color w:val="auto"/>
          <w:lang w:val="en-CA"/>
        </w:rPr>
        <w:t>”</w:t>
      </w:r>
      <w:r w:rsidR="00B4322D" w:rsidRPr="00AA6144">
        <w:rPr>
          <w:color w:val="auto"/>
          <w:lang w:val="en-CA"/>
        </w:rPr>
        <w:t>)</w:t>
      </w:r>
      <w:r w:rsidR="00D7213B" w:rsidRPr="00AA6144">
        <w:rPr>
          <w:color w:val="auto"/>
          <w:lang w:val="en-CA"/>
        </w:rPr>
        <w:t xml:space="preserve"> </w:t>
      </w:r>
      <w:r w:rsidR="00100114" w:rsidRPr="00AA6144">
        <w:rPr>
          <w:color w:val="auto"/>
          <w:lang w:val="en-CA"/>
        </w:rPr>
        <w:t>screen</w:t>
      </w:r>
      <w:r w:rsidRPr="00AA6144">
        <w:rPr>
          <w:color w:val="auto"/>
          <w:lang w:val="en-CA"/>
        </w:rPr>
        <w:t xml:space="preserve"> persons </w:t>
      </w:r>
      <w:r w:rsidR="00472FD0" w:rsidRPr="00AA6144">
        <w:rPr>
          <w:color w:val="auto"/>
          <w:lang w:val="en-CA"/>
        </w:rPr>
        <w:t xml:space="preserve">and seek to bar entry into Canada of those who are suspected of having </w:t>
      </w:r>
      <w:r w:rsidRPr="00AA6144">
        <w:rPr>
          <w:color w:val="auto"/>
          <w:lang w:val="en-CA"/>
        </w:rPr>
        <w:t>committed crimes under international law</w:t>
      </w:r>
      <w:r w:rsidR="008734D1" w:rsidRPr="00AA6144">
        <w:rPr>
          <w:color w:val="auto"/>
          <w:lang w:val="en-CA"/>
        </w:rPr>
        <w:t xml:space="preserve">. </w:t>
      </w:r>
      <w:r w:rsidRPr="00AA6144">
        <w:rPr>
          <w:color w:val="auto"/>
          <w:lang w:val="en-CA"/>
        </w:rPr>
        <w:t>Alt</w:t>
      </w:r>
      <w:r w:rsidR="008734D1" w:rsidRPr="00AA6144">
        <w:rPr>
          <w:color w:val="auto"/>
          <w:lang w:val="en-CA"/>
        </w:rPr>
        <w:t>hough the immigration</w:t>
      </w:r>
      <w:r w:rsidRPr="00AA6144">
        <w:rPr>
          <w:color w:val="auto"/>
          <w:lang w:val="en-CA"/>
        </w:rPr>
        <w:t xml:space="preserve"> unit is not formally part of the judicial system, </w:t>
      </w:r>
      <w:r w:rsidR="008734D1" w:rsidRPr="00AA6144">
        <w:rPr>
          <w:color w:val="auto"/>
          <w:lang w:val="en-CA"/>
        </w:rPr>
        <w:t>it play</w:t>
      </w:r>
      <w:r w:rsidR="007C39F2" w:rsidRPr="00AA6144">
        <w:rPr>
          <w:color w:val="auto"/>
          <w:lang w:val="en-CA"/>
        </w:rPr>
        <w:t>s</w:t>
      </w:r>
      <w:r w:rsidRPr="00AA6144">
        <w:rPr>
          <w:color w:val="auto"/>
          <w:lang w:val="en-CA"/>
        </w:rPr>
        <w:t xml:space="preserve"> a crucial role in identifying possible suspects and informing pol</w:t>
      </w:r>
      <w:r w:rsidR="008734D1" w:rsidRPr="00AA6144">
        <w:rPr>
          <w:color w:val="auto"/>
          <w:lang w:val="en-CA"/>
        </w:rPr>
        <w:t>ice or prosecuting authorities.</w:t>
      </w:r>
    </w:p>
    <w:p w14:paraId="2F564CA5" w14:textId="77777777" w:rsidR="00FB6B23" w:rsidRPr="00AA6144" w:rsidRDefault="00A61DE2" w:rsidP="008734D1">
      <w:pPr>
        <w:pStyle w:val="AIBodyText"/>
        <w:rPr>
          <w:color w:val="auto"/>
          <w:lang w:val="en-CA"/>
        </w:rPr>
      </w:pPr>
      <w:r w:rsidRPr="00AA6144">
        <w:rPr>
          <w:b/>
          <w:i/>
          <w:color w:val="auto"/>
          <w:lang w:val="en-CA"/>
        </w:rPr>
        <w:t>Police.</w:t>
      </w:r>
      <w:r w:rsidRPr="00AA6144">
        <w:rPr>
          <w:color w:val="auto"/>
          <w:lang w:val="en-CA"/>
        </w:rPr>
        <w:t xml:space="preserve"> </w:t>
      </w:r>
      <w:r w:rsidR="008734D1" w:rsidRPr="00AA6144">
        <w:rPr>
          <w:color w:val="auto"/>
          <w:lang w:val="en-CA"/>
        </w:rPr>
        <w:t xml:space="preserve">The Royal Canadian Mounted Police (“RCMP”) is </w:t>
      </w:r>
      <w:r w:rsidR="00FB6B23" w:rsidRPr="00AA6144">
        <w:rPr>
          <w:color w:val="auto"/>
          <w:lang w:val="en-CA"/>
        </w:rPr>
        <w:t xml:space="preserve">Canada's national police force and </w:t>
      </w:r>
      <w:r w:rsidR="008734D1" w:rsidRPr="00AA6144">
        <w:rPr>
          <w:color w:val="auto"/>
          <w:lang w:val="en-CA"/>
        </w:rPr>
        <w:t>enforces Canadian federal</w:t>
      </w:r>
      <w:r w:rsidR="00FB6B23" w:rsidRPr="00AA6144">
        <w:rPr>
          <w:color w:val="auto"/>
          <w:lang w:val="en-CA"/>
        </w:rPr>
        <w:t xml:space="preserve"> laws</w:t>
      </w:r>
      <w:r w:rsidR="00DC0CF7" w:rsidRPr="00AA6144">
        <w:rPr>
          <w:color w:val="auto"/>
          <w:lang w:val="en-CA"/>
        </w:rPr>
        <w:t>.</w:t>
      </w:r>
      <w:r w:rsidR="008734D1" w:rsidRPr="00AA6144">
        <w:rPr>
          <w:color w:val="auto"/>
          <w:lang w:val="en-CA"/>
        </w:rPr>
        <w:t xml:space="preserve"> In addition to its federal policing responsibilities, the RCMP provides support to all police forces in Canada through its </w:t>
      </w:r>
      <w:r w:rsidR="00FB6B23" w:rsidRPr="00AA6144">
        <w:rPr>
          <w:color w:val="auto"/>
          <w:lang w:val="en-CA"/>
        </w:rPr>
        <w:t>National Police Services branch, except</w:t>
      </w:r>
      <w:r w:rsidR="00100F0A" w:rsidRPr="00AA6144">
        <w:rPr>
          <w:color w:val="auto"/>
          <w:lang w:val="en-CA"/>
        </w:rPr>
        <w:t xml:space="preserve"> those</w:t>
      </w:r>
      <w:r w:rsidR="00FB6B23" w:rsidRPr="00AA6144">
        <w:rPr>
          <w:color w:val="auto"/>
          <w:lang w:val="en-CA"/>
        </w:rPr>
        <w:t xml:space="preserve"> in </w:t>
      </w:r>
      <w:r w:rsidR="008734D1" w:rsidRPr="00AA6144">
        <w:rPr>
          <w:color w:val="auto"/>
          <w:lang w:val="en-CA"/>
        </w:rPr>
        <w:t>Ontario and Quebec.</w:t>
      </w:r>
      <w:r w:rsidR="008734D1" w:rsidRPr="00AA6144">
        <w:rPr>
          <w:color w:val="auto"/>
          <w:vertAlign w:val="superscript"/>
          <w:lang w:val="en-CA"/>
        </w:rPr>
        <w:footnoteReference w:id="36"/>
      </w:r>
      <w:r w:rsidR="008734D1" w:rsidRPr="00AA6144">
        <w:rPr>
          <w:color w:val="auto"/>
          <w:lang w:val="en-CA"/>
        </w:rPr>
        <w:t xml:space="preserve"> </w:t>
      </w:r>
      <w:r w:rsidR="00DC0CF7" w:rsidRPr="00AA6144">
        <w:rPr>
          <w:bCs/>
          <w:color w:val="auto"/>
          <w:lang w:val="en-CA"/>
        </w:rPr>
        <w:t>In these</w:t>
      </w:r>
      <w:r w:rsidR="00100F0A" w:rsidRPr="00AA6144">
        <w:rPr>
          <w:bCs/>
          <w:color w:val="auto"/>
          <w:lang w:val="en-CA"/>
        </w:rPr>
        <w:t xml:space="preserve"> two</w:t>
      </w:r>
      <w:r w:rsidR="00DC0CF7" w:rsidRPr="00AA6144">
        <w:rPr>
          <w:bCs/>
          <w:color w:val="auto"/>
          <w:lang w:val="en-CA"/>
        </w:rPr>
        <w:t xml:space="preserve"> provinces, the RCMP focuses exclusively on investigations relating to</w:t>
      </w:r>
      <w:r w:rsidR="00FB6B23" w:rsidRPr="00AA6144">
        <w:rPr>
          <w:bCs/>
          <w:color w:val="auto"/>
          <w:lang w:val="en-CA"/>
        </w:rPr>
        <w:t xml:space="preserve"> a defined set of federal</w:t>
      </w:r>
      <w:r w:rsidR="00DC0CF7" w:rsidRPr="00AA6144">
        <w:rPr>
          <w:bCs/>
          <w:color w:val="auto"/>
          <w:lang w:val="en-CA"/>
        </w:rPr>
        <w:t xml:space="preserve"> offences.</w:t>
      </w:r>
      <w:r w:rsidR="00DC0CF7" w:rsidRPr="00AA6144">
        <w:rPr>
          <w:color w:val="auto"/>
          <w:lang w:val="en-CA"/>
        </w:rPr>
        <w:t xml:space="preserve"> </w:t>
      </w:r>
      <w:r w:rsidR="008734D1" w:rsidRPr="00AA6144">
        <w:rPr>
          <w:color w:val="auto"/>
          <w:lang w:val="en-CA"/>
        </w:rPr>
        <w:t xml:space="preserve">Most provinces also </w:t>
      </w:r>
      <w:r w:rsidR="007C39F2" w:rsidRPr="00AA6144">
        <w:rPr>
          <w:color w:val="auto"/>
          <w:lang w:val="en-CA"/>
        </w:rPr>
        <w:t>have</w:t>
      </w:r>
      <w:r w:rsidR="008734D1" w:rsidRPr="00AA6144">
        <w:rPr>
          <w:color w:val="auto"/>
          <w:lang w:val="en-CA"/>
        </w:rPr>
        <w:t xml:space="preserve"> their own provincial police forces. Their </w:t>
      </w:r>
      <w:r w:rsidR="008734D1" w:rsidRPr="00AA6144">
        <w:rPr>
          <w:color w:val="auto"/>
          <w:lang w:val="en-CA"/>
        </w:rPr>
        <w:lastRenderedPageBreak/>
        <w:t xml:space="preserve">mandates are </w:t>
      </w:r>
      <w:r w:rsidR="007C39F2" w:rsidRPr="00AA6144">
        <w:rPr>
          <w:color w:val="auto"/>
          <w:lang w:val="en-CA"/>
        </w:rPr>
        <w:t xml:space="preserve">varied </w:t>
      </w:r>
      <w:r w:rsidR="008734D1" w:rsidRPr="00AA6144">
        <w:rPr>
          <w:color w:val="auto"/>
          <w:lang w:val="en-CA"/>
        </w:rPr>
        <w:t xml:space="preserve">and extensive: traffic safety, crime prevention, criminal and organized crime investigation, child sexual exploitation investigation, etc. Joint investigations between the RCMP and provincial </w:t>
      </w:r>
      <w:r w:rsidR="008A161E" w:rsidRPr="00AA6144">
        <w:rPr>
          <w:color w:val="auto"/>
          <w:lang w:val="en-CA"/>
        </w:rPr>
        <w:t>police</w:t>
      </w:r>
      <w:r w:rsidR="00AF3DE3" w:rsidRPr="00AA6144">
        <w:rPr>
          <w:color w:val="auto"/>
          <w:lang w:val="en-CA"/>
        </w:rPr>
        <w:t xml:space="preserve"> forces</w:t>
      </w:r>
      <w:r w:rsidR="008A161E" w:rsidRPr="00AA6144">
        <w:rPr>
          <w:color w:val="auto"/>
          <w:lang w:val="en-CA"/>
        </w:rPr>
        <w:t xml:space="preserve"> </w:t>
      </w:r>
      <w:r w:rsidR="008734D1" w:rsidRPr="00AA6144">
        <w:rPr>
          <w:color w:val="auto"/>
          <w:lang w:val="en-CA"/>
        </w:rPr>
        <w:t xml:space="preserve">are common. </w:t>
      </w:r>
      <w:r w:rsidR="00FB6B23" w:rsidRPr="00AA6144">
        <w:rPr>
          <w:color w:val="auto"/>
          <w:lang w:val="en-CA"/>
        </w:rPr>
        <w:t xml:space="preserve">However, the RCMP has exclusive jurisdiction over </w:t>
      </w:r>
      <w:r w:rsidR="008734D1" w:rsidRPr="00AA6144">
        <w:rPr>
          <w:color w:val="auto"/>
          <w:lang w:val="en-CA"/>
        </w:rPr>
        <w:t>cases involving crimes against hu</w:t>
      </w:r>
      <w:r w:rsidR="00FB6B23" w:rsidRPr="00AA6144">
        <w:rPr>
          <w:color w:val="auto"/>
          <w:lang w:val="en-CA"/>
        </w:rPr>
        <w:t xml:space="preserve">manity, </w:t>
      </w:r>
      <w:proofErr w:type="gramStart"/>
      <w:r w:rsidR="00FB6B23" w:rsidRPr="00AA6144">
        <w:rPr>
          <w:color w:val="auto"/>
          <w:lang w:val="en-CA"/>
        </w:rPr>
        <w:t>genocide</w:t>
      </w:r>
      <w:proofErr w:type="gramEnd"/>
      <w:r w:rsidR="00FB6B23" w:rsidRPr="00AA6144">
        <w:rPr>
          <w:color w:val="auto"/>
          <w:lang w:val="en-CA"/>
        </w:rPr>
        <w:t xml:space="preserve"> and war crimes</w:t>
      </w:r>
      <w:r w:rsidR="007C39F2" w:rsidRPr="00AA6144">
        <w:rPr>
          <w:color w:val="auto"/>
          <w:lang w:val="en-CA"/>
        </w:rPr>
        <w:t>.</w:t>
      </w:r>
      <w:r w:rsidR="00FB6B23" w:rsidRPr="00AA6144">
        <w:rPr>
          <w:color w:val="auto"/>
          <w:lang w:val="en-CA"/>
        </w:rPr>
        <w:t xml:space="preserve"> </w:t>
      </w:r>
      <w:r w:rsidR="007C39F2" w:rsidRPr="00AA6144">
        <w:rPr>
          <w:color w:val="auto"/>
          <w:lang w:val="en-CA"/>
        </w:rPr>
        <w:t>The RCMP</w:t>
      </w:r>
      <w:r w:rsidR="00AF3DE3" w:rsidRPr="00AA6144">
        <w:rPr>
          <w:color w:val="auto"/>
          <w:lang w:val="en-CA"/>
        </w:rPr>
        <w:t xml:space="preserve"> National Division Services includes the Sensitive and International Investigations Unit, which conducts investigations related to war crimes</w:t>
      </w:r>
      <w:r w:rsidR="008734D1" w:rsidRPr="00AA6144">
        <w:rPr>
          <w:color w:val="auto"/>
          <w:lang w:val="en-CA"/>
        </w:rPr>
        <w:t xml:space="preserve"> in partnership with </w:t>
      </w:r>
      <w:r w:rsidR="00100F0A" w:rsidRPr="00AA6144">
        <w:rPr>
          <w:color w:val="auto"/>
          <w:lang w:val="en-CA"/>
        </w:rPr>
        <w:t>CBSA</w:t>
      </w:r>
      <w:r w:rsidR="008734D1" w:rsidRPr="00AA6144">
        <w:rPr>
          <w:color w:val="auto"/>
          <w:lang w:val="en-CA"/>
        </w:rPr>
        <w:t xml:space="preserve">, </w:t>
      </w:r>
      <w:r w:rsidR="00100F0A" w:rsidRPr="00AA6144">
        <w:rPr>
          <w:color w:val="auto"/>
          <w:lang w:val="en-CA"/>
        </w:rPr>
        <w:t>CIC</w:t>
      </w:r>
      <w:r w:rsidR="008734D1" w:rsidRPr="00AA6144">
        <w:rPr>
          <w:color w:val="auto"/>
          <w:lang w:val="en-CA"/>
        </w:rPr>
        <w:t xml:space="preserve"> and the Department of Justice in the context of Canada’s Crimes Against Humanity and War Crimes Program. </w:t>
      </w:r>
    </w:p>
    <w:p w14:paraId="1CC73182" w14:textId="646855FF" w:rsidR="00A61DE2" w:rsidRPr="00AA6144" w:rsidRDefault="00A61DE2" w:rsidP="00283160">
      <w:pPr>
        <w:pStyle w:val="AIBodyText"/>
        <w:rPr>
          <w:color w:val="auto"/>
          <w:lang w:val="en-CA"/>
        </w:rPr>
      </w:pPr>
      <w:r w:rsidRPr="00AA6144">
        <w:rPr>
          <w:b/>
          <w:i/>
          <w:color w:val="auto"/>
          <w:lang w:val="en-CA"/>
        </w:rPr>
        <w:t>Prosecut</w:t>
      </w:r>
      <w:r w:rsidR="00287BB5" w:rsidRPr="00AA6144">
        <w:rPr>
          <w:b/>
          <w:i/>
          <w:color w:val="auto"/>
          <w:lang w:val="en-CA"/>
        </w:rPr>
        <w:t>ing authorities</w:t>
      </w:r>
      <w:r w:rsidRPr="00AA6144">
        <w:rPr>
          <w:b/>
          <w:i/>
          <w:color w:val="auto"/>
          <w:lang w:val="en-CA"/>
        </w:rPr>
        <w:t>.</w:t>
      </w:r>
      <w:r w:rsidR="00776DD1" w:rsidRPr="00AA6144">
        <w:rPr>
          <w:color w:val="auto"/>
          <w:lang w:val="en-CA"/>
        </w:rPr>
        <w:t xml:space="preserve"> In Canada, </w:t>
      </w:r>
      <w:r w:rsidR="00170D2A" w:rsidRPr="00AA6144">
        <w:rPr>
          <w:color w:val="auto"/>
          <w:lang w:val="en-CA"/>
        </w:rPr>
        <w:t xml:space="preserve">police conduct investigations and decide whether to lay a charge. Once a charge has been laid, </w:t>
      </w:r>
      <w:r w:rsidR="00D978B4" w:rsidRPr="00AA6144">
        <w:rPr>
          <w:color w:val="auto"/>
          <w:lang w:val="en-CA"/>
        </w:rPr>
        <w:t>one of the</w:t>
      </w:r>
      <w:r w:rsidR="00170D2A" w:rsidRPr="00AA6144">
        <w:rPr>
          <w:color w:val="auto"/>
          <w:lang w:val="en-CA"/>
        </w:rPr>
        <w:t xml:space="preserve"> provincial Attorney</w:t>
      </w:r>
      <w:r w:rsidR="00D978B4" w:rsidRPr="00AA6144">
        <w:rPr>
          <w:color w:val="auto"/>
          <w:lang w:val="en-CA"/>
        </w:rPr>
        <w:t>s</w:t>
      </w:r>
      <w:r w:rsidR="00170D2A" w:rsidRPr="00AA6144">
        <w:rPr>
          <w:color w:val="auto"/>
          <w:lang w:val="en-CA"/>
        </w:rPr>
        <w:t xml:space="preserve"> General </w:t>
      </w:r>
      <w:r w:rsidR="00D978B4" w:rsidRPr="00AA6144">
        <w:rPr>
          <w:color w:val="auto"/>
          <w:lang w:val="en-CA"/>
        </w:rPr>
        <w:t>(or, in the case of offences subject exclusively to federal jurisdiction, the Attorney General</w:t>
      </w:r>
      <w:r w:rsidR="00D74CA6" w:rsidRPr="00AA6144">
        <w:rPr>
          <w:color w:val="auto"/>
          <w:lang w:val="en-CA"/>
        </w:rPr>
        <w:t xml:space="preserve"> of Canada</w:t>
      </w:r>
      <w:r w:rsidR="00D978B4" w:rsidRPr="00AA6144">
        <w:rPr>
          <w:color w:val="auto"/>
          <w:lang w:val="en-CA"/>
        </w:rPr>
        <w:t xml:space="preserve">) </w:t>
      </w:r>
      <w:r w:rsidR="00170D2A" w:rsidRPr="00AA6144">
        <w:rPr>
          <w:color w:val="auto"/>
          <w:lang w:val="en-CA"/>
        </w:rPr>
        <w:t>decides whether to proceed with a prosecution.</w:t>
      </w:r>
      <w:r w:rsidR="00D44FA8" w:rsidRPr="00AA6144">
        <w:rPr>
          <w:color w:val="auto"/>
          <w:lang w:val="en-CA"/>
        </w:rPr>
        <w:t xml:space="preserve"> </w:t>
      </w:r>
      <w:r w:rsidR="00170D2A" w:rsidRPr="00AA6144">
        <w:rPr>
          <w:color w:val="auto"/>
          <w:lang w:val="en-CA"/>
        </w:rPr>
        <w:t>Attorney</w:t>
      </w:r>
      <w:r w:rsidR="00D978B4" w:rsidRPr="00AA6144">
        <w:rPr>
          <w:color w:val="auto"/>
          <w:lang w:val="en-CA"/>
        </w:rPr>
        <w:t>s</w:t>
      </w:r>
      <w:r w:rsidR="00170D2A" w:rsidRPr="00AA6144">
        <w:rPr>
          <w:color w:val="auto"/>
          <w:lang w:val="en-CA"/>
        </w:rPr>
        <w:t xml:space="preserve"> General serve dual role</w:t>
      </w:r>
      <w:r w:rsidR="00D74CA6" w:rsidRPr="00AA6144">
        <w:rPr>
          <w:color w:val="auto"/>
          <w:lang w:val="en-CA"/>
        </w:rPr>
        <w:t>s</w:t>
      </w:r>
      <w:r w:rsidR="00170D2A" w:rsidRPr="00AA6144">
        <w:rPr>
          <w:color w:val="auto"/>
          <w:lang w:val="en-CA"/>
        </w:rPr>
        <w:t xml:space="preserve"> as both </w:t>
      </w:r>
      <w:r w:rsidR="00D978B4" w:rsidRPr="00AA6144">
        <w:rPr>
          <w:color w:val="auto"/>
          <w:lang w:val="en-CA"/>
        </w:rPr>
        <w:t>cabinet</w:t>
      </w:r>
      <w:r w:rsidR="00170D2A" w:rsidRPr="00AA6144">
        <w:rPr>
          <w:color w:val="auto"/>
          <w:lang w:val="en-CA"/>
        </w:rPr>
        <w:t xml:space="preserve"> minister</w:t>
      </w:r>
      <w:r w:rsidR="00D74CA6" w:rsidRPr="00AA6144">
        <w:rPr>
          <w:color w:val="auto"/>
          <w:lang w:val="en-CA"/>
        </w:rPr>
        <w:t>s</w:t>
      </w:r>
      <w:r w:rsidR="00170D2A" w:rsidRPr="00AA6144">
        <w:rPr>
          <w:color w:val="auto"/>
          <w:lang w:val="en-CA"/>
        </w:rPr>
        <w:t xml:space="preserve"> and the person</w:t>
      </w:r>
      <w:r w:rsidR="00D74CA6" w:rsidRPr="00AA6144">
        <w:rPr>
          <w:color w:val="auto"/>
          <w:lang w:val="en-CA"/>
        </w:rPr>
        <w:t>s</w:t>
      </w:r>
      <w:r w:rsidR="00170D2A" w:rsidRPr="00AA6144">
        <w:rPr>
          <w:color w:val="auto"/>
          <w:lang w:val="en-CA"/>
        </w:rPr>
        <w:t xml:space="preserve"> responsible for criminal prosecutions. </w:t>
      </w:r>
      <w:r w:rsidR="00D74CA6" w:rsidRPr="00AA6144">
        <w:rPr>
          <w:color w:val="auto"/>
          <w:lang w:val="en-CA"/>
        </w:rPr>
        <w:t xml:space="preserve">Federal and provincial </w:t>
      </w:r>
      <w:r w:rsidR="00170D2A" w:rsidRPr="00AA6144">
        <w:rPr>
          <w:color w:val="auto"/>
          <w:lang w:val="en-CA"/>
        </w:rPr>
        <w:t>Crown attorneys are agents of the</w:t>
      </w:r>
      <w:r w:rsidR="00D74CA6" w:rsidRPr="00AA6144">
        <w:rPr>
          <w:color w:val="auto"/>
          <w:lang w:val="en-CA"/>
        </w:rPr>
        <w:t>ir respective</w:t>
      </w:r>
      <w:r w:rsidR="00170D2A" w:rsidRPr="00AA6144">
        <w:rPr>
          <w:color w:val="auto"/>
          <w:lang w:val="en-CA"/>
        </w:rPr>
        <w:t xml:space="preserve"> </w:t>
      </w:r>
      <w:proofErr w:type="gramStart"/>
      <w:r w:rsidR="00170D2A" w:rsidRPr="00AA6144">
        <w:rPr>
          <w:color w:val="auto"/>
          <w:lang w:val="en-CA"/>
        </w:rPr>
        <w:t>Attorney</w:t>
      </w:r>
      <w:r w:rsidR="00D74CA6" w:rsidRPr="00AA6144">
        <w:rPr>
          <w:color w:val="auto"/>
          <w:lang w:val="en-CA"/>
        </w:rPr>
        <w:t>s</w:t>
      </w:r>
      <w:r w:rsidR="00170D2A" w:rsidRPr="00AA6144">
        <w:rPr>
          <w:color w:val="auto"/>
          <w:lang w:val="en-CA"/>
        </w:rPr>
        <w:t xml:space="preserve"> General</w:t>
      </w:r>
      <w:r w:rsidR="00D74CA6" w:rsidRPr="00AA6144">
        <w:rPr>
          <w:color w:val="auto"/>
          <w:lang w:val="en-CA"/>
        </w:rPr>
        <w:t>,</w:t>
      </w:r>
      <w:r w:rsidR="00170D2A" w:rsidRPr="00AA6144">
        <w:rPr>
          <w:color w:val="auto"/>
          <w:lang w:val="en-CA"/>
        </w:rPr>
        <w:t xml:space="preserve"> and</w:t>
      </w:r>
      <w:proofErr w:type="gramEnd"/>
      <w:r w:rsidR="00170D2A" w:rsidRPr="00AA6144">
        <w:rPr>
          <w:color w:val="auto"/>
          <w:lang w:val="en-CA"/>
        </w:rPr>
        <w:t xml:space="preserve"> carry out the day-to-day decision making of the Attorney</w:t>
      </w:r>
      <w:r w:rsidR="00D74CA6" w:rsidRPr="00AA6144">
        <w:rPr>
          <w:color w:val="auto"/>
          <w:lang w:val="en-CA"/>
        </w:rPr>
        <w:t>s</w:t>
      </w:r>
      <w:r w:rsidR="00170D2A" w:rsidRPr="00AA6144">
        <w:rPr>
          <w:color w:val="auto"/>
          <w:lang w:val="en-CA"/>
        </w:rPr>
        <w:t xml:space="preserve"> General. They are lawyers who prosecute criminal matters on behalf of the Crown. The “Crown” </w:t>
      </w:r>
      <w:r w:rsidR="00D978B4" w:rsidRPr="00AA6144">
        <w:rPr>
          <w:color w:val="auto"/>
          <w:lang w:val="en-CA"/>
        </w:rPr>
        <w:t>refers to the</w:t>
      </w:r>
      <w:r w:rsidR="00170D2A" w:rsidRPr="00AA6144">
        <w:rPr>
          <w:color w:val="auto"/>
          <w:lang w:val="en-CA"/>
        </w:rPr>
        <w:t xml:space="preserve"> English Monarch who is the head of state of Canada. </w:t>
      </w:r>
      <w:r w:rsidR="00677CFC" w:rsidRPr="00AA6144">
        <w:rPr>
          <w:color w:val="auto"/>
          <w:lang w:val="en-CA"/>
        </w:rPr>
        <w:t xml:space="preserve">For offences </w:t>
      </w:r>
      <w:r w:rsidR="00D74CA6" w:rsidRPr="00AA6144">
        <w:rPr>
          <w:color w:val="auto"/>
          <w:lang w:val="en-CA"/>
        </w:rPr>
        <w:t>under</w:t>
      </w:r>
      <w:r w:rsidR="00C73960" w:rsidRPr="00AA6144">
        <w:rPr>
          <w:color w:val="auto"/>
          <w:lang w:val="en-CA"/>
        </w:rPr>
        <w:t xml:space="preserve"> </w:t>
      </w:r>
      <w:r w:rsidR="00677CFC" w:rsidRPr="00AA6144">
        <w:rPr>
          <w:color w:val="auto"/>
          <w:lang w:val="en-CA"/>
        </w:rPr>
        <w:t xml:space="preserve">the </w:t>
      </w:r>
      <w:r w:rsidR="00677CFC" w:rsidRPr="00AA6144">
        <w:rPr>
          <w:i/>
          <w:iCs/>
          <w:color w:val="auto"/>
          <w:lang w:val="en-CA"/>
        </w:rPr>
        <w:t>Crimes Against Humanity and War Crimes Act,</w:t>
      </w:r>
      <w:r w:rsidR="004B3F8E" w:rsidRPr="00AA6144">
        <w:rPr>
          <w:color w:val="auto"/>
          <w:lang w:val="en-CA"/>
        </w:rPr>
        <w:t xml:space="preserve"> the Department of Justice and the Public Prosecution Service of Canada decide whether to recommend criminal prosecution to the Attorney</w:t>
      </w:r>
      <w:r w:rsidR="00170D2A" w:rsidRPr="00AA6144">
        <w:rPr>
          <w:color w:val="auto"/>
          <w:lang w:val="en-CA"/>
        </w:rPr>
        <w:t xml:space="preserve"> </w:t>
      </w:r>
      <w:r w:rsidR="004B3F8E" w:rsidRPr="00AA6144">
        <w:rPr>
          <w:color w:val="auto"/>
          <w:lang w:val="en-CA"/>
        </w:rPr>
        <w:t>General</w:t>
      </w:r>
      <w:r w:rsidR="00D74CA6" w:rsidRPr="00AA6144">
        <w:rPr>
          <w:color w:val="auto"/>
          <w:lang w:val="en-CA"/>
        </w:rPr>
        <w:t xml:space="preserve"> </w:t>
      </w:r>
      <w:r w:rsidR="00C15548" w:rsidRPr="00AA6144">
        <w:rPr>
          <w:lang w:val="en-CA"/>
        </w:rPr>
        <w:t xml:space="preserve">or Deputy Attorney General </w:t>
      </w:r>
      <w:r w:rsidR="00C15548" w:rsidRPr="00AA6144">
        <w:rPr>
          <w:color w:val="auto"/>
          <w:lang w:val="en-CA"/>
        </w:rPr>
        <w:t>of Canada</w:t>
      </w:r>
      <w:r w:rsidR="004B3F8E" w:rsidRPr="00AA6144">
        <w:rPr>
          <w:color w:val="auto"/>
          <w:lang w:val="en-CA"/>
        </w:rPr>
        <w:t>, who must provide his</w:t>
      </w:r>
      <w:r w:rsidR="00D74CA6" w:rsidRPr="00AA6144">
        <w:rPr>
          <w:color w:val="auto"/>
          <w:lang w:val="en-CA"/>
        </w:rPr>
        <w:t xml:space="preserve"> or her</w:t>
      </w:r>
      <w:r w:rsidR="004B3F8E" w:rsidRPr="00AA6144">
        <w:rPr>
          <w:color w:val="auto"/>
          <w:lang w:val="en-CA"/>
        </w:rPr>
        <w:t xml:space="preserve"> </w:t>
      </w:r>
      <w:r w:rsidR="00C15548" w:rsidRPr="00AA6144">
        <w:rPr>
          <w:color w:val="auto"/>
          <w:lang w:val="en-CA"/>
        </w:rPr>
        <w:t xml:space="preserve">personal </w:t>
      </w:r>
      <w:r w:rsidR="004B3F8E" w:rsidRPr="00AA6144">
        <w:rPr>
          <w:color w:val="auto"/>
          <w:lang w:val="en-CA"/>
        </w:rPr>
        <w:t xml:space="preserve">consent </w:t>
      </w:r>
      <w:r w:rsidR="00C15548" w:rsidRPr="00AA6144">
        <w:rPr>
          <w:color w:val="auto"/>
          <w:lang w:val="en-CA"/>
        </w:rPr>
        <w:t xml:space="preserve">in writing </w:t>
      </w:r>
      <w:r w:rsidR="004B3F8E" w:rsidRPr="00AA6144">
        <w:rPr>
          <w:color w:val="auto"/>
          <w:lang w:val="en-CA"/>
        </w:rPr>
        <w:t>before charges can be laid (see Section 8 below).</w:t>
      </w:r>
      <w:r w:rsidR="004B3F8E" w:rsidRPr="00AA6144">
        <w:rPr>
          <w:color w:val="auto"/>
          <w:vertAlign w:val="superscript"/>
          <w:lang w:val="en-CA"/>
        </w:rPr>
        <w:footnoteReference w:id="37"/>
      </w:r>
      <w:r w:rsidR="004B3F8E" w:rsidRPr="00AA6144">
        <w:rPr>
          <w:color w:val="auto"/>
          <w:lang w:val="en-CA"/>
        </w:rPr>
        <w:t xml:space="preserve"> To guide </w:t>
      </w:r>
      <w:r w:rsidR="007C39F2" w:rsidRPr="00AA6144">
        <w:rPr>
          <w:color w:val="auto"/>
          <w:lang w:val="en-CA"/>
        </w:rPr>
        <w:t>the Attorney</w:t>
      </w:r>
      <w:r w:rsidR="00C73960" w:rsidRPr="00AA6144">
        <w:rPr>
          <w:color w:val="auto"/>
          <w:lang w:val="en-CA"/>
        </w:rPr>
        <w:t xml:space="preserve"> </w:t>
      </w:r>
      <w:r w:rsidR="007C39F2" w:rsidRPr="00AA6144">
        <w:rPr>
          <w:color w:val="auto"/>
          <w:lang w:val="en-CA"/>
        </w:rPr>
        <w:t>General</w:t>
      </w:r>
      <w:r w:rsidR="00D74CA6" w:rsidRPr="00AA6144">
        <w:rPr>
          <w:color w:val="auto"/>
          <w:lang w:val="en-CA"/>
        </w:rPr>
        <w:t xml:space="preserve"> of Canada</w:t>
      </w:r>
      <w:r w:rsidR="007C39F2" w:rsidRPr="00AA6144">
        <w:rPr>
          <w:color w:val="auto"/>
          <w:lang w:val="en-CA"/>
        </w:rPr>
        <w:t xml:space="preserve"> </w:t>
      </w:r>
      <w:r w:rsidR="004B3F8E" w:rsidRPr="00AA6144">
        <w:rPr>
          <w:color w:val="auto"/>
          <w:lang w:val="en-CA"/>
        </w:rPr>
        <w:t xml:space="preserve">and other agents in matters of prosecution policy, the Public Prosecution Service of Canada has developed the Federal Prosecution Service </w:t>
      </w:r>
      <w:proofErr w:type="spellStart"/>
      <w:r w:rsidR="004B3F8E" w:rsidRPr="00AA6144">
        <w:rPr>
          <w:color w:val="auto"/>
          <w:lang w:val="en-CA"/>
        </w:rPr>
        <w:t>Deskbook</w:t>
      </w:r>
      <w:proofErr w:type="spellEnd"/>
      <w:r w:rsidR="00D74CA6" w:rsidRPr="00AA6144">
        <w:rPr>
          <w:color w:val="auto"/>
          <w:lang w:val="en-CA"/>
        </w:rPr>
        <w:t>,</w:t>
      </w:r>
      <w:bookmarkStart w:id="23" w:name="_Ref266965664"/>
      <w:r w:rsidR="004B3F8E" w:rsidRPr="00AA6144">
        <w:rPr>
          <w:color w:val="auto"/>
          <w:vertAlign w:val="superscript"/>
          <w:lang w:val="en-CA"/>
        </w:rPr>
        <w:footnoteReference w:id="38"/>
      </w:r>
      <w:bookmarkEnd w:id="23"/>
      <w:r w:rsidR="004B3F8E" w:rsidRPr="00AA6144">
        <w:rPr>
          <w:color w:val="auto"/>
          <w:lang w:val="en-CA"/>
        </w:rPr>
        <w:t xml:space="preserve"> which </w:t>
      </w:r>
      <w:r w:rsidR="004B3F8E" w:rsidRPr="00AA6144">
        <w:rPr>
          <w:iCs/>
          <w:color w:val="auto"/>
          <w:lang w:val="en-CA"/>
        </w:rPr>
        <w:t xml:space="preserve">elaborates </w:t>
      </w:r>
      <w:r w:rsidR="00D74CA6" w:rsidRPr="00AA6144">
        <w:rPr>
          <w:iCs/>
          <w:color w:val="auto"/>
          <w:lang w:val="en-CA"/>
        </w:rPr>
        <w:t>the</w:t>
      </w:r>
      <w:r w:rsidR="004B3F8E" w:rsidRPr="00AA6144">
        <w:rPr>
          <w:iCs/>
          <w:color w:val="auto"/>
          <w:lang w:val="en-CA"/>
        </w:rPr>
        <w:t xml:space="preserve"> criteria that may guide prosecutors in the exercise of their discretion.</w:t>
      </w:r>
      <w:r w:rsidR="00170D2A" w:rsidRPr="00AA6144">
        <w:rPr>
          <w:iCs/>
          <w:color w:val="auto"/>
          <w:lang w:val="en-CA"/>
        </w:rPr>
        <w:t xml:space="preserve"> The possibility to review prosecutorial discretion of the Attorney General of Canada</w:t>
      </w:r>
      <w:r w:rsidR="00424AEC">
        <w:rPr>
          <w:iCs/>
          <w:color w:val="auto"/>
          <w:lang w:val="en-CA"/>
        </w:rPr>
        <w:t>, even regarding crimes under international law,</w:t>
      </w:r>
      <w:r w:rsidR="00170D2A" w:rsidRPr="00AA6144">
        <w:rPr>
          <w:iCs/>
          <w:color w:val="auto"/>
          <w:lang w:val="en-CA"/>
        </w:rPr>
        <w:t xml:space="preserve"> is limited</w:t>
      </w:r>
      <w:r w:rsidR="00740C17" w:rsidRPr="00AA6144">
        <w:rPr>
          <w:iCs/>
          <w:color w:val="auto"/>
          <w:lang w:val="en-CA"/>
        </w:rPr>
        <w:t>.</w:t>
      </w:r>
      <w:bookmarkStart w:id="24" w:name="_Ref267055101"/>
      <w:r w:rsidR="00740C17" w:rsidRPr="00AA6144">
        <w:rPr>
          <w:rStyle w:val="FootnoteReference"/>
          <w:iCs/>
          <w:color w:val="auto"/>
          <w:lang w:val="en-CA"/>
        </w:rPr>
        <w:footnoteReference w:id="39"/>
      </w:r>
      <w:bookmarkEnd w:id="24"/>
      <w:r w:rsidR="00170D2A" w:rsidRPr="00AA6144">
        <w:rPr>
          <w:iCs/>
          <w:color w:val="auto"/>
          <w:lang w:val="en-CA"/>
        </w:rPr>
        <w:t>.</w:t>
      </w:r>
    </w:p>
    <w:p w14:paraId="20C2FA5B" w14:textId="77777777" w:rsidR="005824F8" w:rsidRPr="00AA6144" w:rsidRDefault="00283160" w:rsidP="00283160">
      <w:pPr>
        <w:pStyle w:val="Heading2"/>
        <w:numPr>
          <w:ilvl w:val="0"/>
          <w:numId w:val="0"/>
        </w:numPr>
        <w:rPr>
          <w:color w:val="auto"/>
          <w:lang w:val="en-CA"/>
        </w:rPr>
      </w:pPr>
      <w:bookmarkStart w:id="25" w:name="_Toc229562983"/>
      <w:bookmarkStart w:id="26" w:name="_Toc43382714"/>
      <w:r w:rsidRPr="00AA6144">
        <w:rPr>
          <w:color w:val="auto"/>
          <w:lang w:val="en-CA"/>
        </w:rPr>
        <w:t xml:space="preserve">2.5 </w:t>
      </w:r>
      <w:r w:rsidR="00C73960" w:rsidRPr="00AA6144">
        <w:rPr>
          <w:color w:val="auto"/>
          <w:lang w:val="en-CA"/>
        </w:rPr>
        <w:t xml:space="preserve">Role </w:t>
      </w:r>
      <w:r w:rsidRPr="00AA6144">
        <w:rPr>
          <w:color w:val="auto"/>
          <w:lang w:val="en-CA"/>
        </w:rPr>
        <w:t>of victims and organizations acting in the public interest in criminal proceedings</w:t>
      </w:r>
      <w:bookmarkEnd w:id="25"/>
      <w:bookmarkEnd w:id="26"/>
    </w:p>
    <w:p w14:paraId="730B3C63" w14:textId="77777777" w:rsidR="00437A3D" w:rsidRPr="00AA6144" w:rsidRDefault="00437A3D" w:rsidP="00437A3D">
      <w:pPr>
        <w:spacing w:after="0"/>
        <w:rPr>
          <w:lang w:val="en-CA"/>
        </w:rPr>
      </w:pPr>
    </w:p>
    <w:p w14:paraId="11189F2C" w14:textId="77777777" w:rsidR="00283160" w:rsidRPr="00AA6144" w:rsidRDefault="005824F8" w:rsidP="005824F8">
      <w:pPr>
        <w:pStyle w:val="AIBodyText"/>
        <w:rPr>
          <w:color w:val="auto"/>
          <w:lang w:val="en-CA"/>
        </w:rPr>
      </w:pPr>
      <w:r w:rsidRPr="00AA6144">
        <w:rPr>
          <w:color w:val="auto"/>
          <w:lang w:val="en-CA"/>
        </w:rPr>
        <w:t xml:space="preserve">In addition to government prosecutors, victims, </w:t>
      </w:r>
      <w:proofErr w:type="gramStart"/>
      <w:r w:rsidRPr="00AA6144">
        <w:rPr>
          <w:color w:val="auto"/>
          <w:lang w:val="en-CA"/>
        </w:rPr>
        <w:t>individuals</w:t>
      </w:r>
      <w:proofErr w:type="gramEnd"/>
      <w:r w:rsidRPr="00AA6144">
        <w:rPr>
          <w:color w:val="auto"/>
          <w:lang w:val="en-CA"/>
        </w:rPr>
        <w:t xml:space="preserve"> or legal persons acting on their behalf, individuals or legal persons acting on beh</w:t>
      </w:r>
      <w:r w:rsidR="00A95830" w:rsidRPr="00AA6144">
        <w:rPr>
          <w:color w:val="auto"/>
          <w:lang w:val="en-CA"/>
        </w:rPr>
        <w:t>alf of the public interest can</w:t>
      </w:r>
      <w:r w:rsidRPr="00AA6144">
        <w:rPr>
          <w:color w:val="auto"/>
          <w:lang w:val="en-CA"/>
        </w:rPr>
        <w:t xml:space="preserve"> initiate criminal prosecutions.</w:t>
      </w:r>
      <w:r w:rsidR="00363AB5" w:rsidRPr="00AA6144">
        <w:rPr>
          <w:color w:val="auto"/>
          <w:lang w:val="en-CA"/>
        </w:rPr>
        <w:t xml:space="preserve"> </w:t>
      </w:r>
      <w:r w:rsidR="00A95830" w:rsidRPr="00AA6144">
        <w:rPr>
          <w:color w:val="auto"/>
          <w:lang w:val="en-CA"/>
        </w:rPr>
        <w:t xml:space="preserve">Police and prosecutors have </w:t>
      </w:r>
      <w:r w:rsidR="00850818" w:rsidRPr="00AA6144">
        <w:rPr>
          <w:color w:val="auto"/>
          <w:lang w:val="en-CA"/>
        </w:rPr>
        <w:t xml:space="preserve">experts on crimes of sexual violence and crimes against members of marginalized groups, such as minorities and children as victims, </w:t>
      </w:r>
      <w:proofErr w:type="gramStart"/>
      <w:r w:rsidR="00850818" w:rsidRPr="00AA6144">
        <w:rPr>
          <w:color w:val="auto"/>
          <w:lang w:val="en-CA"/>
        </w:rPr>
        <w:t>witnesses</w:t>
      </w:r>
      <w:proofErr w:type="gramEnd"/>
      <w:r w:rsidR="00850818" w:rsidRPr="00AA6144">
        <w:rPr>
          <w:color w:val="auto"/>
          <w:lang w:val="en-CA"/>
        </w:rPr>
        <w:t xml:space="preserve"> or suspects.</w:t>
      </w:r>
    </w:p>
    <w:p w14:paraId="789F228A" w14:textId="77777777" w:rsidR="00283160" w:rsidRPr="00AA6144" w:rsidRDefault="00283160" w:rsidP="00283160">
      <w:pPr>
        <w:pStyle w:val="Heading3"/>
        <w:rPr>
          <w:color w:val="auto"/>
          <w:lang w:val="en-CA"/>
        </w:rPr>
      </w:pPr>
      <w:bookmarkStart w:id="27" w:name="_Toc229562984"/>
      <w:bookmarkStart w:id="28" w:name="_Toc43382715"/>
      <w:r w:rsidRPr="00AA6144">
        <w:rPr>
          <w:color w:val="auto"/>
          <w:lang w:val="en-CA"/>
        </w:rPr>
        <w:t>2.5.1 civil claims in criminal proceedings</w:t>
      </w:r>
      <w:bookmarkEnd w:id="27"/>
      <w:bookmarkEnd w:id="28"/>
      <w:r w:rsidR="00626D0B" w:rsidRPr="00AA6144">
        <w:rPr>
          <w:color w:val="auto"/>
          <w:lang w:val="en-CA"/>
        </w:rPr>
        <w:t xml:space="preserve"> </w:t>
      </w:r>
    </w:p>
    <w:p w14:paraId="0BFCF3E2" w14:textId="77777777" w:rsidR="00437A3D" w:rsidRPr="00AA6144" w:rsidRDefault="00437A3D" w:rsidP="00437A3D">
      <w:pPr>
        <w:spacing w:after="0"/>
        <w:rPr>
          <w:lang w:val="en-CA"/>
        </w:rPr>
      </w:pPr>
    </w:p>
    <w:p w14:paraId="0224E060" w14:textId="77777777" w:rsidR="00283160" w:rsidRPr="00AA6144" w:rsidRDefault="0004418C" w:rsidP="00283160">
      <w:pPr>
        <w:pStyle w:val="AIBodyText"/>
        <w:rPr>
          <w:color w:val="auto"/>
          <w:lang w:val="en-CA"/>
        </w:rPr>
      </w:pPr>
      <w:r w:rsidRPr="00AA6144">
        <w:rPr>
          <w:color w:val="auto"/>
          <w:lang w:val="en-CA" w:bidi="he-IL"/>
        </w:rPr>
        <w:t>T</w:t>
      </w:r>
      <w:r w:rsidR="00167EB2" w:rsidRPr="00AA6144">
        <w:rPr>
          <w:color w:val="auto"/>
          <w:lang w:val="en-CA" w:bidi="he-IL"/>
        </w:rPr>
        <w:t xml:space="preserve">he right to reparation and to </w:t>
      </w:r>
      <w:r w:rsidR="00954520" w:rsidRPr="00AA6144">
        <w:rPr>
          <w:color w:val="auto"/>
          <w:lang w:val="en-CA" w:bidi="he-IL"/>
        </w:rPr>
        <w:t>civil claims in criminal</w:t>
      </w:r>
      <w:r w:rsidR="00167EB2" w:rsidRPr="00AA6144">
        <w:rPr>
          <w:color w:val="auto"/>
          <w:lang w:val="en-CA" w:bidi="he-IL"/>
        </w:rPr>
        <w:t>, as well as in civil</w:t>
      </w:r>
      <w:r w:rsidR="00954520" w:rsidRPr="00AA6144">
        <w:rPr>
          <w:color w:val="auto"/>
          <w:lang w:val="en-CA" w:bidi="he-IL"/>
        </w:rPr>
        <w:t xml:space="preserve"> proceedings</w:t>
      </w:r>
      <w:r w:rsidRPr="00AA6144">
        <w:rPr>
          <w:color w:val="auto"/>
          <w:lang w:val="en-CA" w:bidi="he-IL"/>
        </w:rPr>
        <w:t xml:space="preserve"> is discussed in Section 5 below.</w:t>
      </w:r>
      <w:r w:rsidR="005824F8" w:rsidRPr="00AA6144">
        <w:rPr>
          <w:color w:val="auto"/>
          <w:lang w:val="en-CA" w:bidi="he-IL"/>
        </w:rPr>
        <w:t xml:space="preserve"> </w:t>
      </w:r>
    </w:p>
    <w:p w14:paraId="5BC069FC" w14:textId="77777777" w:rsidR="00283160" w:rsidRPr="00AA6144" w:rsidRDefault="00283160" w:rsidP="00626D0B">
      <w:pPr>
        <w:pStyle w:val="Heading3"/>
        <w:numPr>
          <w:ilvl w:val="0"/>
          <w:numId w:val="0"/>
        </w:numPr>
        <w:rPr>
          <w:rFonts w:eastAsia="Times-Roman"/>
          <w:color w:val="auto"/>
          <w:lang w:val="en-CA"/>
        </w:rPr>
      </w:pPr>
      <w:bookmarkStart w:id="29" w:name="_Toc229562985"/>
      <w:bookmarkStart w:id="30" w:name="_Toc43382716"/>
      <w:r w:rsidRPr="00AA6144">
        <w:rPr>
          <w:rFonts w:eastAsia="Times-Roman"/>
          <w:color w:val="auto"/>
          <w:lang w:val="en-CA"/>
        </w:rPr>
        <w:t xml:space="preserve">2.5.2 Criminal proceedings initiated by victims or </w:t>
      </w:r>
      <w:r w:rsidR="00C73960" w:rsidRPr="00AA6144">
        <w:rPr>
          <w:rFonts w:eastAsia="Times-Roman"/>
          <w:color w:val="auto"/>
          <w:lang w:val="en-CA"/>
        </w:rPr>
        <w:t>O</w:t>
      </w:r>
      <w:r w:rsidRPr="00AA6144">
        <w:rPr>
          <w:rFonts w:eastAsia="Times-Roman"/>
          <w:color w:val="auto"/>
          <w:lang w:val="en-CA"/>
        </w:rPr>
        <w:t>n their behalf</w:t>
      </w:r>
      <w:bookmarkEnd w:id="29"/>
      <w:bookmarkEnd w:id="30"/>
    </w:p>
    <w:p w14:paraId="7FAEE1B4" w14:textId="77777777" w:rsidR="00437A3D" w:rsidRPr="00AA6144" w:rsidRDefault="00437A3D" w:rsidP="00437A3D">
      <w:pPr>
        <w:spacing w:after="0"/>
        <w:rPr>
          <w:rFonts w:eastAsia="Times-Roman"/>
          <w:lang w:val="en-CA"/>
        </w:rPr>
      </w:pPr>
    </w:p>
    <w:p w14:paraId="7315C294" w14:textId="77777777" w:rsidR="00283160" w:rsidRPr="00AA6144" w:rsidRDefault="00283160" w:rsidP="009C67C7">
      <w:pPr>
        <w:pStyle w:val="AIBodyText"/>
        <w:rPr>
          <w:rFonts w:eastAsia="Times-Roman"/>
          <w:color w:val="auto"/>
          <w:lang w:val="en-CA"/>
        </w:rPr>
      </w:pPr>
      <w:r w:rsidRPr="00AA6144">
        <w:rPr>
          <w:rFonts w:eastAsia="Times-Roman"/>
          <w:color w:val="auto"/>
          <w:lang w:val="en-CA"/>
        </w:rPr>
        <w:t>A</w:t>
      </w:r>
      <w:r w:rsidR="00954520" w:rsidRPr="00AA6144">
        <w:rPr>
          <w:rFonts w:eastAsia="Times-Roman"/>
          <w:color w:val="auto"/>
          <w:lang w:val="en-CA"/>
        </w:rPr>
        <w:t>s discussed below, victims</w:t>
      </w:r>
      <w:r w:rsidR="00363AB5" w:rsidRPr="00AA6144">
        <w:rPr>
          <w:rFonts w:eastAsia="Times-Roman"/>
          <w:color w:val="auto"/>
          <w:lang w:val="en-CA"/>
        </w:rPr>
        <w:t>,</w:t>
      </w:r>
      <w:r w:rsidR="00954520" w:rsidRPr="00AA6144">
        <w:rPr>
          <w:rFonts w:eastAsia="Times-Roman"/>
          <w:color w:val="auto"/>
          <w:lang w:val="en-CA"/>
        </w:rPr>
        <w:t xml:space="preserve"> </w:t>
      </w:r>
      <w:r w:rsidR="00954520" w:rsidRPr="00AA6144">
        <w:rPr>
          <w:color w:val="auto"/>
          <w:lang w:val="en-CA"/>
        </w:rPr>
        <w:t>individuals or legal persons acting on their behalf</w:t>
      </w:r>
      <w:r w:rsidR="00363AB5" w:rsidRPr="00AA6144">
        <w:rPr>
          <w:color w:val="auto"/>
          <w:lang w:val="en-CA"/>
        </w:rPr>
        <w:t xml:space="preserve"> </w:t>
      </w:r>
      <w:r w:rsidR="00954520" w:rsidRPr="00AA6144">
        <w:rPr>
          <w:color w:val="auto"/>
          <w:lang w:val="en-CA"/>
        </w:rPr>
        <w:t>can</w:t>
      </w:r>
      <w:r w:rsidR="00D575C2" w:rsidRPr="00AA6144">
        <w:rPr>
          <w:color w:val="auto"/>
          <w:lang w:val="en-CA"/>
        </w:rPr>
        <w:t xml:space="preserve"> </w:t>
      </w:r>
      <w:r w:rsidR="00954520" w:rsidRPr="00AA6144">
        <w:rPr>
          <w:color w:val="auto"/>
          <w:lang w:val="en-CA"/>
        </w:rPr>
        <w:t xml:space="preserve">initiate criminal </w:t>
      </w:r>
      <w:r w:rsidR="00954520" w:rsidRPr="00AA6144">
        <w:rPr>
          <w:color w:val="auto"/>
          <w:lang w:val="en-CA"/>
        </w:rPr>
        <w:lastRenderedPageBreak/>
        <w:t>prosecutions.</w:t>
      </w:r>
    </w:p>
    <w:p w14:paraId="24D6A246" w14:textId="77777777" w:rsidR="00283160" w:rsidRPr="00AA6144" w:rsidRDefault="002C5461" w:rsidP="002C5461">
      <w:pPr>
        <w:pStyle w:val="Heading4"/>
        <w:rPr>
          <w:rFonts w:eastAsia="Times-Roman"/>
          <w:color w:val="auto"/>
          <w:lang w:val="en-CA"/>
        </w:rPr>
      </w:pPr>
      <w:bookmarkStart w:id="31" w:name="_Toc43382717"/>
      <w:r w:rsidRPr="00AA6144">
        <w:rPr>
          <w:rFonts w:eastAsia="Times-Roman"/>
          <w:color w:val="auto"/>
          <w:lang w:val="en-CA"/>
        </w:rPr>
        <w:t xml:space="preserve">2.5.2.1. </w:t>
      </w:r>
      <w:r w:rsidR="00D45D08" w:rsidRPr="00AA6144">
        <w:rPr>
          <w:rFonts w:eastAsia="Times-Roman"/>
          <w:color w:val="auto"/>
          <w:lang w:val="en-CA"/>
        </w:rPr>
        <w:t>Criminal proceedings initiated by victims</w:t>
      </w:r>
      <w:bookmarkEnd w:id="31"/>
    </w:p>
    <w:p w14:paraId="591C30AB" w14:textId="0BE9802B" w:rsidR="00283160" w:rsidRPr="00AA6144" w:rsidRDefault="00267C10" w:rsidP="009C67C7">
      <w:pPr>
        <w:pStyle w:val="AIBodyText"/>
        <w:rPr>
          <w:color w:val="auto"/>
          <w:lang w:val="en-CA"/>
        </w:rPr>
      </w:pPr>
      <w:r w:rsidRPr="00AA6144">
        <w:rPr>
          <w:color w:val="auto"/>
          <w:lang w:val="en-CA"/>
        </w:rPr>
        <w:t>A</w:t>
      </w:r>
      <w:r w:rsidR="00D575C2" w:rsidRPr="00AA6144">
        <w:rPr>
          <w:color w:val="auto"/>
          <w:lang w:val="en-CA"/>
        </w:rPr>
        <w:t xml:space="preserve"> citizen’s right to initiate a private prosecution </w:t>
      </w:r>
      <w:r w:rsidR="003A5720" w:rsidRPr="00AA6144">
        <w:rPr>
          <w:color w:val="auto"/>
          <w:lang w:val="en-CA"/>
        </w:rPr>
        <w:t>exists</w:t>
      </w:r>
      <w:r w:rsidR="00D575C2" w:rsidRPr="00AA6144">
        <w:rPr>
          <w:color w:val="auto"/>
          <w:lang w:val="en-CA"/>
        </w:rPr>
        <w:t xml:space="preserve"> </w:t>
      </w:r>
      <w:r w:rsidR="003A5720" w:rsidRPr="00AA6144">
        <w:rPr>
          <w:color w:val="auto"/>
          <w:lang w:val="en-CA"/>
        </w:rPr>
        <w:t xml:space="preserve">in common law. While </w:t>
      </w:r>
      <w:r w:rsidR="00D575C2" w:rsidRPr="00AA6144">
        <w:rPr>
          <w:color w:val="auto"/>
          <w:lang w:val="en-CA"/>
        </w:rPr>
        <w:t xml:space="preserve">there is no </w:t>
      </w:r>
      <w:r w:rsidR="00D575C2" w:rsidRPr="00AA6144">
        <w:rPr>
          <w:i/>
          <w:color w:val="auto"/>
          <w:lang w:val="en-CA"/>
        </w:rPr>
        <w:t xml:space="preserve">Criminal Code </w:t>
      </w:r>
      <w:r w:rsidR="00D575C2" w:rsidRPr="00AA6144">
        <w:rPr>
          <w:color w:val="auto"/>
          <w:lang w:val="en-CA"/>
        </w:rPr>
        <w:t xml:space="preserve">provision </w:t>
      </w:r>
      <w:r w:rsidR="003A5720" w:rsidRPr="00AA6144">
        <w:rPr>
          <w:color w:val="auto"/>
          <w:lang w:val="en-CA"/>
        </w:rPr>
        <w:t>that</w:t>
      </w:r>
      <w:r w:rsidR="00D575C2" w:rsidRPr="00AA6144">
        <w:rPr>
          <w:color w:val="auto"/>
          <w:lang w:val="en-CA"/>
        </w:rPr>
        <w:t xml:space="preserve"> expressly</w:t>
      </w:r>
      <w:r w:rsidR="003A5720" w:rsidRPr="00AA6144">
        <w:rPr>
          <w:color w:val="auto"/>
          <w:lang w:val="en-CA"/>
        </w:rPr>
        <w:t xml:space="preserve"> authorizes private prosecution, several provisions impliedly recognize its possibility.</w:t>
      </w:r>
      <w:r w:rsidR="00D575C2" w:rsidRPr="00AA6144">
        <w:rPr>
          <w:rStyle w:val="FootnoteReference"/>
          <w:color w:val="auto"/>
          <w:lang w:val="en-CA"/>
        </w:rPr>
        <w:footnoteReference w:id="40"/>
      </w:r>
      <w:r w:rsidR="00D575C2" w:rsidRPr="00AA6144">
        <w:rPr>
          <w:color w:val="auto"/>
          <w:lang w:val="en-CA"/>
        </w:rPr>
        <w:t xml:space="preserve"> </w:t>
      </w:r>
      <w:r w:rsidRPr="00AA6144">
        <w:rPr>
          <w:color w:val="auto"/>
          <w:lang w:val="en-CA"/>
        </w:rPr>
        <w:t xml:space="preserve">However, </w:t>
      </w:r>
      <w:r w:rsidR="009F1014" w:rsidRPr="00AA6144">
        <w:rPr>
          <w:color w:val="auto"/>
          <w:lang w:val="en-CA"/>
        </w:rPr>
        <w:t xml:space="preserve">the </w:t>
      </w:r>
      <w:r w:rsidRPr="00AA6144">
        <w:rPr>
          <w:color w:val="auto"/>
          <w:lang w:val="en-CA"/>
        </w:rPr>
        <w:t>decision to continue a private prosecution</w:t>
      </w:r>
      <w:r w:rsidR="009F1014" w:rsidRPr="00AA6144">
        <w:rPr>
          <w:color w:val="auto"/>
          <w:lang w:val="en-CA"/>
        </w:rPr>
        <w:t>, once it has been initiated,</w:t>
      </w:r>
      <w:r w:rsidRPr="00AA6144">
        <w:rPr>
          <w:color w:val="auto"/>
          <w:lang w:val="en-CA"/>
        </w:rPr>
        <w:t xml:space="preserve"> remain</w:t>
      </w:r>
      <w:r w:rsidR="009F1014" w:rsidRPr="00AA6144">
        <w:rPr>
          <w:color w:val="auto"/>
          <w:lang w:val="en-CA"/>
        </w:rPr>
        <w:t>s</w:t>
      </w:r>
      <w:r w:rsidRPr="00AA6144">
        <w:rPr>
          <w:color w:val="auto"/>
          <w:lang w:val="en-CA"/>
        </w:rPr>
        <w:t xml:space="preserve"> the prerogative of the Attorneys General. </w:t>
      </w:r>
      <w:r w:rsidR="00D575C2" w:rsidRPr="00AA6144">
        <w:rPr>
          <w:color w:val="auto"/>
          <w:lang w:val="en-CA"/>
        </w:rPr>
        <w:t>The Attorney</w:t>
      </w:r>
      <w:r w:rsidRPr="00AA6144">
        <w:rPr>
          <w:color w:val="auto"/>
          <w:lang w:val="en-CA"/>
        </w:rPr>
        <w:t>s</w:t>
      </w:r>
      <w:r w:rsidR="00363AB5" w:rsidRPr="00AA6144">
        <w:rPr>
          <w:color w:val="auto"/>
          <w:lang w:val="en-CA"/>
        </w:rPr>
        <w:t xml:space="preserve"> </w:t>
      </w:r>
      <w:r w:rsidR="00D575C2" w:rsidRPr="00AA6144">
        <w:rPr>
          <w:color w:val="auto"/>
          <w:lang w:val="en-CA"/>
        </w:rPr>
        <w:t xml:space="preserve">General </w:t>
      </w:r>
      <w:r w:rsidR="003A5720" w:rsidRPr="00AA6144">
        <w:rPr>
          <w:color w:val="auto"/>
          <w:lang w:val="en-CA"/>
        </w:rPr>
        <w:t>reserve the right to</w:t>
      </w:r>
      <w:r w:rsidR="00D575C2" w:rsidRPr="00AA6144">
        <w:rPr>
          <w:color w:val="auto"/>
          <w:lang w:val="en-CA"/>
        </w:rPr>
        <w:t xml:space="preserve"> intervene in private prosecutions and can either </w:t>
      </w:r>
      <w:r w:rsidR="003A5720" w:rsidRPr="00AA6144">
        <w:rPr>
          <w:color w:val="auto"/>
          <w:lang w:val="en-CA"/>
        </w:rPr>
        <w:t xml:space="preserve">take control of </w:t>
      </w:r>
      <w:r w:rsidR="00291190" w:rsidRPr="00AA6144">
        <w:rPr>
          <w:color w:val="auto"/>
          <w:lang w:val="en-CA"/>
        </w:rPr>
        <w:t>proceedings or</w:t>
      </w:r>
      <w:r w:rsidR="003A5720" w:rsidRPr="00AA6144">
        <w:rPr>
          <w:color w:val="auto"/>
          <w:lang w:val="en-CA"/>
        </w:rPr>
        <w:t xml:space="preserve"> stop them entirely</w:t>
      </w:r>
      <w:r w:rsidR="00D575C2" w:rsidRPr="00AA6144">
        <w:rPr>
          <w:color w:val="auto"/>
          <w:lang w:val="en-CA"/>
        </w:rPr>
        <w:t>.</w:t>
      </w:r>
      <w:r w:rsidR="00D575C2" w:rsidRPr="00AA6144">
        <w:rPr>
          <w:rStyle w:val="FootnoteReference"/>
          <w:color w:val="auto"/>
          <w:lang w:val="en-CA"/>
        </w:rPr>
        <w:footnoteReference w:id="41"/>
      </w:r>
      <w:r w:rsidR="00D575C2" w:rsidRPr="00AA6144">
        <w:rPr>
          <w:color w:val="auto"/>
          <w:lang w:val="en-CA"/>
        </w:rPr>
        <w:t xml:space="preserve"> </w:t>
      </w:r>
    </w:p>
    <w:p w14:paraId="2983F6C6" w14:textId="77777777" w:rsidR="00332DFE" w:rsidRPr="00AA6144" w:rsidRDefault="00332DFE" w:rsidP="009C67C7">
      <w:pPr>
        <w:pStyle w:val="AIBodyText"/>
        <w:rPr>
          <w:color w:val="auto"/>
          <w:lang w:val="en-CA"/>
        </w:rPr>
      </w:pPr>
      <w:r w:rsidRPr="00AA6144">
        <w:rPr>
          <w:color w:val="auto"/>
          <w:lang w:val="en-CA"/>
        </w:rPr>
        <w:t xml:space="preserve">In </w:t>
      </w:r>
      <w:r w:rsidRPr="00AA6144">
        <w:rPr>
          <w:i/>
          <w:color w:val="auto"/>
          <w:lang w:val="en-CA"/>
        </w:rPr>
        <w:t>Davidson v. British Columbia (Attorney General)</w:t>
      </w:r>
      <w:r w:rsidRPr="00AA6144">
        <w:rPr>
          <w:color w:val="auto"/>
          <w:lang w:val="en-CA"/>
        </w:rPr>
        <w:t>, an individual and a public interest group sought to bring a</w:t>
      </w:r>
      <w:r w:rsidR="001703D1" w:rsidRPr="00AA6144">
        <w:rPr>
          <w:color w:val="auto"/>
          <w:lang w:val="en-CA"/>
        </w:rPr>
        <w:t xml:space="preserve"> private </w:t>
      </w:r>
      <w:r w:rsidRPr="00AA6144">
        <w:rPr>
          <w:color w:val="auto"/>
          <w:lang w:val="en-CA"/>
        </w:rPr>
        <w:t xml:space="preserve">prosecution against George W. Bush under </w:t>
      </w:r>
      <w:r w:rsidR="001703D1" w:rsidRPr="00AA6144">
        <w:rPr>
          <w:color w:val="auto"/>
          <w:lang w:val="en-CA"/>
        </w:rPr>
        <w:t xml:space="preserve">section 269.1 of the </w:t>
      </w:r>
      <w:r w:rsidRPr="00AA6144">
        <w:rPr>
          <w:i/>
          <w:color w:val="auto"/>
          <w:lang w:val="en-CA"/>
        </w:rPr>
        <w:t xml:space="preserve">Criminal Code </w:t>
      </w:r>
      <w:r w:rsidRPr="00AA6144">
        <w:rPr>
          <w:color w:val="auto"/>
          <w:lang w:val="en-CA"/>
        </w:rPr>
        <w:t xml:space="preserve">for counselling, aiding and abetting torture in Abu Ghraib prison in Iraq and at Guantanamo. They were unsuccessful at the trial level, where a Provincial Court judge and trial judge dismissed their proceedings. On appeal to the British Columbia Court of Appeal, they were also unsuccessful, with the court </w:t>
      </w:r>
      <w:r w:rsidR="001703D1" w:rsidRPr="00AA6144">
        <w:rPr>
          <w:color w:val="auto"/>
          <w:lang w:val="en-CA"/>
        </w:rPr>
        <w:t>adopting</w:t>
      </w:r>
      <w:r w:rsidRPr="00AA6144">
        <w:rPr>
          <w:color w:val="auto"/>
          <w:lang w:val="en-CA"/>
        </w:rPr>
        <w:t xml:space="preserve"> the Crown’s </w:t>
      </w:r>
      <w:r w:rsidR="001703D1" w:rsidRPr="00AA6144">
        <w:rPr>
          <w:color w:val="auto"/>
          <w:lang w:val="en-CA"/>
        </w:rPr>
        <w:t>argument</w:t>
      </w:r>
      <w:r w:rsidRPr="00AA6144">
        <w:rPr>
          <w:color w:val="auto"/>
          <w:lang w:val="en-CA"/>
        </w:rPr>
        <w:t xml:space="preserve"> that </w:t>
      </w:r>
      <w:r w:rsidR="001703D1" w:rsidRPr="00AA6144">
        <w:rPr>
          <w:color w:val="auto"/>
          <w:lang w:val="en-CA"/>
        </w:rPr>
        <w:t>it</w:t>
      </w:r>
      <w:r w:rsidR="008B7FCB" w:rsidRPr="00AA6144">
        <w:rPr>
          <w:color w:val="auto"/>
          <w:lang w:val="en-CA"/>
        </w:rPr>
        <w:t xml:space="preserve"> </w:t>
      </w:r>
      <w:r w:rsidRPr="00AA6144">
        <w:rPr>
          <w:color w:val="auto"/>
          <w:lang w:val="en-CA"/>
        </w:rPr>
        <w:t xml:space="preserve">lacked jurisdiction to hear such a matter because the Attorney General of Canada had not consented to the prosecution as required by section 7(7) of the </w:t>
      </w:r>
      <w:r w:rsidRPr="00AA6144">
        <w:rPr>
          <w:i/>
          <w:color w:val="auto"/>
          <w:lang w:val="en-CA"/>
        </w:rPr>
        <w:t>Criminal Code</w:t>
      </w:r>
      <w:r w:rsidRPr="00AA6144">
        <w:rPr>
          <w:color w:val="auto"/>
          <w:lang w:val="en-CA"/>
        </w:rPr>
        <w:t>.</w:t>
      </w:r>
      <w:r w:rsidRPr="00AA6144">
        <w:rPr>
          <w:rStyle w:val="FootnoteReference"/>
          <w:color w:val="auto"/>
          <w:lang w:val="en-CA"/>
        </w:rPr>
        <w:footnoteReference w:id="42"/>
      </w:r>
      <w:r w:rsidRPr="00AA6144">
        <w:rPr>
          <w:color w:val="auto"/>
          <w:lang w:val="en-CA"/>
        </w:rPr>
        <w:t xml:space="preserve"> </w:t>
      </w:r>
    </w:p>
    <w:p w14:paraId="469EDDED" w14:textId="77777777" w:rsidR="001609FA" w:rsidRPr="00AA6144" w:rsidRDefault="001609FA" w:rsidP="009C67C7">
      <w:pPr>
        <w:pStyle w:val="AIBodyText"/>
        <w:rPr>
          <w:color w:val="auto"/>
          <w:lang w:val="en-CA"/>
        </w:rPr>
      </w:pPr>
      <w:r w:rsidRPr="00AA6144">
        <w:rPr>
          <w:color w:val="auto"/>
          <w:lang w:val="en-CA"/>
        </w:rPr>
        <w:t xml:space="preserve">In </w:t>
      </w:r>
      <w:r w:rsidRPr="00AA6144">
        <w:rPr>
          <w:i/>
          <w:color w:val="auto"/>
          <w:lang w:val="en-CA"/>
        </w:rPr>
        <w:t xml:space="preserve">Zhang v. </w:t>
      </w:r>
      <w:r w:rsidR="008E0F32" w:rsidRPr="00AA6144">
        <w:rPr>
          <w:i/>
          <w:color w:val="auto"/>
          <w:lang w:val="en-CA"/>
        </w:rPr>
        <w:t>Canada (Attorney General)</w:t>
      </w:r>
      <w:r w:rsidR="008E0F32" w:rsidRPr="00AA6144">
        <w:rPr>
          <w:color w:val="auto"/>
          <w:lang w:val="en-CA"/>
        </w:rPr>
        <w:t xml:space="preserve">, </w:t>
      </w:r>
      <w:r w:rsidR="00C34BF6" w:rsidRPr="00AA6144">
        <w:rPr>
          <w:color w:val="auto"/>
          <w:lang w:val="en-CA"/>
        </w:rPr>
        <w:t xml:space="preserve">an individual sought consent from the Attorney General of Canada to allow a private prosecution of 22 individuals in China responsible for his alleged torture. The acting Attorney General of Canada denied the request and did not consent to the prosecution. </w:t>
      </w:r>
      <w:r w:rsidR="00154B14" w:rsidRPr="00AA6144">
        <w:rPr>
          <w:color w:val="auto"/>
          <w:lang w:val="en-CA"/>
        </w:rPr>
        <w:t xml:space="preserve">The applicant sought judicial review </w:t>
      </w:r>
      <w:r w:rsidR="001703D1" w:rsidRPr="00AA6144">
        <w:rPr>
          <w:color w:val="auto"/>
          <w:lang w:val="en-CA"/>
        </w:rPr>
        <w:t>of</w:t>
      </w:r>
      <w:r w:rsidR="00154B14" w:rsidRPr="00AA6144">
        <w:rPr>
          <w:color w:val="auto"/>
          <w:lang w:val="en-CA"/>
        </w:rPr>
        <w:t xml:space="preserve"> the acting Attorney General’s decision</w:t>
      </w:r>
      <w:r w:rsidR="004C3258" w:rsidRPr="00AA6144">
        <w:rPr>
          <w:color w:val="auto"/>
          <w:lang w:val="en-CA"/>
        </w:rPr>
        <w:t xml:space="preserve">. The Federal Court found that the acting Attorney General’s decision was properly within her discretion and that the decision not to grant consent did not violate the applicant’s section 7 or section 15 </w:t>
      </w:r>
      <w:r w:rsidR="004C3258" w:rsidRPr="00AA6144">
        <w:rPr>
          <w:i/>
          <w:color w:val="auto"/>
          <w:lang w:val="en-CA"/>
        </w:rPr>
        <w:t xml:space="preserve">Charter </w:t>
      </w:r>
      <w:r w:rsidR="004C3258" w:rsidRPr="00AA6144">
        <w:rPr>
          <w:color w:val="auto"/>
          <w:lang w:val="en-CA"/>
        </w:rPr>
        <w:t>rights.</w:t>
      </w:r>
      <w:r w:rsidR="00CF7A65" w:rsidRPr="00AA6144">
        <w:rPr>
          <w:rStyle w:val="FootnoteReference"/>
          <w:color w:val="auto"/>
          <w:lang w:val="en-CA"/>
        </w:rPr>
        <w:footnoteReference w:id="43"/>
      </w:r>
      <w:r w:rsidR="004C3258" w:rsidRPr="00AA6144">
        <w:rPr>
          <w:color w:val="auto"/>
          <w:lang w:val="en-CA"/>
        </w:rPr>
        <w:t xml:space="preserve"> </w:t>
      </w:r>
      <w:r w:rsidR="001703D1" w:rsidRPr="00AA6144">
        <w:rPr>
          <w:color w:val="auto"/>
          <w:lang w:val="en-CA"/>
        </w:rPr>
        <w:t>Thus, the action failed to materialize.</w:t>
      </w:r>
      <w:r w:rsidR="006179BA" w:rsidRPr="00AA6144">
        <w:rPr>
          <w:color w:val="auto"/>
          <w:lang w:val="en-CA"/>
        </w:rPr>
        <w:t xml:space="preserve"> This was confirmed by the Court of Appeal.</w:t>
      </w:r>
      <w:r w:rsidR="006179BA" w:rsidRPr="00AA6144">
        <w:rPr>
          <w:rStyle w:val="FootnoteReference"/>
          <w:color w:val="auto"/>
          <w:lang w:val="en-CA"/>
        </w:rPr>
        <w:footnoteReference w:id="44"/>
      </w:r>
    </w:p>
    <w:p w14:paraId="57B49853" w14:textId="77777777" w:rsidR="00283160" w:rsidRPr="00AA6144" w:rsidRDefault="002C5461" w:rsidP="002C5461">
      <w:pPr>
        <w:pStyle w:val="Heading4"/>
        <w:rPr>
          <w:rFonts w:eastAsia="Times-Roman"/>
          <w:color w:val="auto"/>
          <w:szCs w:val="18"/>
          <w:lang w:val="en-CA"/>
        </w:rPr>
      </w:pPr>
      <w:bookmarkStart w:id="32" w:name="_Toc43382718"/>
      <w:r w:rsidRPr="00AA6144">
        <w:rPr>
          <w:color w:val="auto"/>
          <w:lang w:val="en-CA"/>
        </w:rPr>
        <w:t xml:space="preserve">2.5.2.2. </w:t>
      </w:r>
      <w:r w:rsidR="00D45D08" w:rsidRPr="00AA6144">
        <w:rPr>
          <w:rFonts w:eastAsia="Times-Roman"/>
          <w:color w:val="auto"/>
          <w:szCs w:val="18"/>
          <w:lang w:val="en-CA"/>
        </w:rPr>
        <w:t>Criminal proceedings initiated on behalf of the victims or the public interest</w:t>
      </w:r>
      <w:bookmarkEnd w:id="32"/>
    </w:p>
    <w:p w14:paraId="46449014" w14:textId="77777777" w:rsidR="00D644D8" w:rsidRPr="00AA6144" w:rsidRDefault="00D45D08" w:rsidP="009C67C7">
      <w:pPr>
        <w:pStyle w:val="AIBodyText"/>
        <w:rPr>
          <w:caps/>
          <w:color w:val="auto"/>
          <w:lang w:val="en-CA" w:bidi="he-IL"/>
        </w:rPr>
      </w:pPr>
      <w:r w:rsidRPr="00AA6144">
        <w:rPr>
          <w:color w:val="auto"/>
          <w:lang w:val="en-CA"/>
        </w:rPr>
        <w:t xml:space="preserve">Individuals or legal persons </w:t>
      </w:r>
      <w:r w:rsidR="00F7319D" w:rsidRPr="00AA6144">
        <w:rPr>
          <w:color w:val="auto"/>
          <w:lang w:val="en-CA"/>
        </w:rPr>
        <w:t xml:space="preserve">can also </w:t>
      </w:r>
      <w:r w:rsidRPr="00AA6144">
        <w:rPr>
          <w:color w:val="auto"/>
          <w:lang w:val="en-CA"/>
        </w:rPr>
        <w:t>initiate criminal proce</w:t>
      </w:r>
      <w:r w:rsidR="00135643" w:rsidRPr="00AA6144">
        <w:rPr>
          <w:color w:val="auto"/>
          <w:lang w:val="en-CA"/>
        </w:rPr>
        <w:t>edings on behalf of victims or the</w:t>
      </w:r>
      <w:r w:rsidRPr="00AA6144">
        <w:rPr>
          <w:color w:val="auto"/>
          <w:lang w:val="en-CA"/>
        </w:rPr>
        <w:t xml:space="preserve"> </w:t>
      </w:r>
      <w:proofErr w:type="gramStart"/>
      <w:r w:rsidRPr="00AA6144">
        <w:rPr>
          <w:color w:val="auto"/>
          <w:lang w:val="en-CA"/>
        </w:rPr>
        <w:t>general public</w:t>
      </w:r>
      <w:proofErr w:type="gramEnd"/>
      <w:r w:rsidRPr="00AA6144">
        <w:rPr>
          <w:color w:val="auto"/>
          <w:lang w:val="en-CA"/>
        </w:rPr>
        <w:t xml:space="preserve"> interest</w:t>
      </w:r>
      <w:r w:rsidR="00F7319D" w:rsidRPr="00AA6144">
        <w:rPr>
          <w:color w:val="auto"/>
          <w:lang w:val="en-CA"/>
        </w:rPr>
        <w:t xml:space="preserve"> pursuant to</w:t>
      </w:r>
      <w:r w:rsidR="00EC32D1" w:rsidRPr="00AA6144">
        <w:rPr>
          <w:color w:val="auto"/>
          <w:lang w:val="en-CA"/>
        </w:rPr>
        <w:t xml:space="preserve"> section 504</w:t>
      </w:r>
      <w:r w:rsidR="00F7319D" w:rsidRPr="00AA6144">
        <w:rPr>
          <w:color w:val="auto"/>
          <w:lang w:val="en-CA"/>
        </w:rPr>
        <w:t xml:space="preserve"> of the </w:t>
      </w:r>
      <w:r w:rsidR="00F7319D" w:rsidRPr="00AA6144">
        <w:rPr>
          <w:i/>
          <w:color w:val="auto"/>
          <w:lang w:val="en-CA"/>
        </w:rPr>
        <w:t>Criminal Code</w:t>
      </w:r>
      <w:r w:rsidR="00EC32D1" w:rsidRPr="00AA6144">
        <w:rPr>
          <w:color w:val="auto"/>
          <w:lang w:val="en-CA"/>
        </w:rPr>
        <w:t xml:space="preserve"> and its requirements.</w:t>
      </w:r>
      <w:r w:rsidR="00381FAA" w:rsidRPr="00AA6144">
        <w:rPr>
          <w:rStyle w:val="FootnoteReference"/>
          <w:color w:val="auto"/>
          <w:lang w:val="en-CA"/>
        </w:rPr>
        <w:footnoteReference w:id="45"/>
      </w:r>
    </w:p>
    <w:p w14:paraId="4F5826A2" w14:textId="77777777" w:rsidR="00626D0B" w:rsidRPr="00AA6144" w:rsidRDefault="00793101" w:rsidP="00626D0B">
      <w:pPr>
        <w:pStyle w:val="Heading3"/>
        <w:numPr>
          <w:ilvl w:val="0"/>
          <w:numId w:val="0"/>
        </w:numPr>
        <w:rPr>
          <w:rFonts w:eastAsia="Times-Roman"/>
          <w:color w:val="auto"/>
          <w:lang w:val="en-CA"/>
        </w:rPr>
      </w:pPr>
      <w:bookmarkStart w:id="33" w:name="_Toc43382719"/>
      <w:r w:rsidRPr="00AA6144">
        <w:rPr>
          <w:rFonts w:eastAsia="Times-Roman"/>
          <w:color w:val="auto"/>
          <w:lang w:val="en-CA"/>
        </w:rPr>
        <w:t>2.5.3</w:t>
      </w:r>
      <w:r w:rsidR="00626D0B" w:rsidRPr="00AA6144">
        <w:rPr>
          <w:rFonts w:eastAsia="Times-Roman"/>
          <w:color w:val="auto"/>
          <w:lang w:val="en-CA"/>
        </w:rPr>
        <w:t xml:space="preserve"> </w:t>
      </w:r>
      <w:r w:rsidR="00437A3D" w:rsidRPr="00AA6144">
        <w:rPr>
          <w:rFonts w:eastAsia="Times-Roman"/>
          <w:color w:val="auto"/>
          <w:lang w:val="en-CA"/>
        </w:rPr>
        <w:t>Rights of victims in criminal proceedings</w:t>
      </w:r>
      <w:bookmarkEnd w:id="33"/>
    </w:p>
    <w:p w14:paraId="03CEE6C1" w14:textId="77777777" w:rsidR="00437A3D" w:rsidRPr="00AA6144" w:rsidRDefault="00437A3D" w:rsidP="00437A3D">
      <w:pPr>
        <w:spacing w:after="0"/>
        <w:rPr>
          <w:rFonts w:eastAsia="Times-Roman"/>
          <w:lang w:val="en-CA"/>
        </w:rPr>
      </w:pPr>
    </w:p>
    <w:p w14:paraId="33771BAF" w14:textId="75B71732" w:rsidR="00626D0B" w:rsidRPr="00AA6144" w:rsidRDefault="00AA4869" w:rsidP="00626D0B">
      <w:pPr>
        <w:rPr>
          <w:rFonts w:eastAsia="Times-Roman"/>
          <w:color w:val="auto"/>
          <w:lang w:val="en-CA"/>
        </w:rPr>
      </w:pPr>
      <w:r w:rsidRPr="00AA6144">
        <w:rPr>
          <w:rFonts w:eastAsia="Times-Roman"/>
          <w:color w:val="auto"/>
          <w:lang w:val="en-CA"/>
        </w:rPr>
        <w:t xml:space="preserve">The rights of victims in criminal proceedings are protected through federal, </w:t>
      </w:r>
      <w:proofErr w:type="gramStart"/>
      <w:r w:rsidRPr="00AA6144">
        <w:rPr>
          <w:rFonts w:eastAsia="Times-Roman"/>
          <w:color w:val="auto"/>
          <w:lang w:val="en-CA"/>
        </w:rPr>
        <w:t>provincial</w:t>
      </w:r>
      <w:proofErr w:type="gramEnd"/>
      <w:r w:rsidRPr="00AA6144">
        <w:rPr>
          <w:rFonts w:eastAsia="Times-Roman"/>
          <w:color w:val="auto"/>
          <w:lang w:val="en-CA"/>
        </w:rPr>
        <w:t xml:space="preserve"> and territorial laws and vary from jurisdiction to jurisdiction. The following</w:t>
      </w:r>
      <w:r w:rsidR="00BE689D" w:rsidRPr="00AA6144">
        <w:rPr>
          <w:rFonts w:eastAsia="Times-Roman"/>
          <w:color w:val="auto"/>
          <w:lang w:val="en-CA"/>
        </w:rPr>
        <w:t xml:space="preserve"> </w:t>
      </w:r>
      <w:r w:rsidR="009F1014" w:rsidRPr="00AA6144">
        <w:rPr>
          <w:rFonts w:eastAsia="Times-Roman"/>
          <w:color w:val="auto"/>
          <w:lang w:val="en-CA"/>
        </w:rPr>
        <w:t>sections refer</w:t>
      </w:r>
      <w:r w:rsidR="00BE689D" w:rsidRPr="00AA6144">
        <w:rPr>
          <w:rFonts w:eastAsia="Times-Roman"/>
          <w:color w:val="auto"/>
          <w:lang w:val="en-CA"/>
        </w:rPr>
        <w:t xml:space="preserve"> to the rights of victims in</w:t>
      </w:r>
      <w:r w:rsidR="00880A6D" w:rsidRPr="00AA6144">
        <w:rPr>
          <w:rFonts w:eastAsia="Times-Roman"/>
          <w:color w:val="auto"/>
          <w:lang w:val="en-CA"/>
        </w:rPr>
        <w:t xml:space="preserve"> criminal proceedings as set out in the</w:t>
      </w:r>
      <w:r w:rsidR="00072391" w:rsidRPr="00AA6144">
        <w:rPr>
          <w:rFonts w:eastAsia="Times-Roman"/>
          <w:color w:val="auto"/>
          <w:lang w:val="en-CA"/>
        </w:rPr>
        <w:t xml:space="preserve"> federal</w:t>
      </w:r>
      <w:r w:rsidR="00880A6D" w:rsidRPr="00AA6144">
        <w:rPr>
          <w:rFonts w:eastAsia="Times-Roman"/>
          <w:color w:val="auto"/>
          <w:lang w:val="en-CA"/>
        </w:rPr>
        <w:t xml:space="preserve"> </w:t>
      </w:r>
      <w:r w:rsidR="00880A6D" w:rsidRPr="00AA6144">
        <w:rPr>
          <w:rFonts w:eastAsia="Times-Roman"/>
          <w:i/>
          <w:color w:val="auto"/>
          <w:lang w:val="en-CA"/>
        </w:rPr>
        <w:t>Criminal Code</w:t>
      </w:r>
      <w:r w:rsidR="00F3185D" w:rsidRPr="00AA6144">
        <w:rPr>
          <w:rFonts w:eastAsia="Times-Roman"/>
          <w:color w:val="auto"/>
          <w:lang w:val="en-CA"/>
        </w:rPr>
        <w:t xml:space="preserve">, </w:t>
      </w:r>
      <w:r w:rsidR="00F3185D" w:rsidRPr="00AA6144">
        <w:rPr>
          <w:rFonts w:eastAsia="Times-Roman"/>
          <w:i/>
          <w:color w:val="auto"/>
          <w:lang w:val="en-CA"/>
        </w:rPr>
        <w:t>the</w:t>
      </w:r>
      <w:r w:rsidR="001D39C6" w:rsidRPr="00AA6144">
        <w:rPr>
          <w:rFonts w:eastAsia="Times-Roman"/>
          <w:i/>
          <w:color w:val="auto"/>
          <w:lang w:val="en-CA"/>
        </w:rPr>
        <w:t xml:space="preserve"> Canadian Victims Bill of Rights</w:t>
      </w:r>
      <w:r w:rsidR="001D39C6" w:rsidRPr="00AA6144">
        <w:rPr>
          <w:rFonts w:eastAsia="Times-Roman"/>
          <w:color w:val="auto"/>
          <w:lang w:val="en-CA"/>
        </w:rPr>
        <w:t xml:space="preserve"> </w:t>
      </w:r>
      <w:r w:rsidR="001D39C6" w:rsidRPr="00AA6144">
        <w:rPr>
          <w:rFonts w:eastAsia="Times-Roman"/>
          <w:color w:val="auto"/>
          <w:lang w:val="en-CA"/>
        </w:rPr>
        <w:lastRenderedPageBreak/>
        <w:t>(CVBR),</w:t>
      </w:r>
      <w:r w:rsidR="00A81192" w:rsidRPr="00AA6144">
        <w:rPr>
          <w:rStyle w:val="FootnoteReference"/>
          <w:rFonts w:eastAsia="Times-Roman"/>
          <w:color w:val="auto"/>
          <w:lang w:val="en-CA"/>
        </w:rPr>
        <w:footnoteReference w:id="46"/>
      </w:r>
      <w:r w:rsidR="001D39C6" w:rsidRPr="00AA6144">
        <w:rPr>
          <w:rFonts w:eastAsia="Times-Roman"/>
          <w:color w:val="auto"/>
          <w:lang w:val="en-CA"/>
        </w:rPr>
        <w:t xml:space="preserve"> </w:t>
      </w:r>
      <w:r w:rsidR="00095AC6" w:rsidRPr="00AA6144">
        <w:rPr>
          <w:rFonts w:eastAsia="Times-Roman"/>
          <w:color w:val="auto"/>
          <w:lang w:val="en-CA"/>
        </w:rPr>
        <w:t>and legislation from Canada’s two largest provinces:</w:t>
      </w:r>
      <w:r w:rsidR="00462321" w:rsidRPr="00AA6144">
        <w:rPr>
          <w:rFonts w:eastAsia="Times-Roman"/>
          <w:color w:val="auto"/>
          <w:lang w:val="en-CA"/>
        </w:rPr>
        <w:t xml:space="preserve"> </w:t>
      </w:r>
      <w:r w:rsidR="003A6E02" w:rsidRPr="00AA6144">
        <w:rPr>
          <w:rFonts w:eastAsia="Times-Roman"/>
          <w:i/>
          <w:color w:val="auto"/>
          <w:lang w:val="en-CA"/>
        </w:rPr>
        <w:t>Victims’ Bill of Rights</w:t>
      </w:r>
      <w:bookmarkStart w:id="34" w:name="_Ref266965725"/>
      <w:r w:rsidR="003A6E02" w:rsidRPr="00AA6144">
        <w:rPr>
          <w:rStyle w:val="FootnoteReference"/>
          <w:rFonts w:eastAsia="Times-Roman"/>
          <w:i/>
          <w:color w:val="auto"/>
          <w:lang w:val="en-CA"/>
        </w:rPr>
        <w:footnoteReference w:id="47"/>
      </w:r>
      <w:bookmarkEnd w:id="34"/>
      <w:r w:rsidR="00095AC6" w:rsidRPr="00AA6144">
        <w:rPr>
          <w:rFonts w:eastAsia="Times-Roman"/>
          <w:color w:val="auto"/>
          <w:lang w:val="en-CA"/>
        </w:rPr>
        <w:t xml:space="preserve"> in Ontario</w:t>
      </w:r>
      <w:r w:rsidR="00BE689D" w:rsidRPr="00AA6144">
        <w:rPr>
          <w:rFonts w:eastAsia="Times-Roman"/>
          <w:color w:val="auto"/>
          <w:lang w:val="en-CA"/>
        </w:rPr>
        <w:t xml:space="preserve"> and </w:t>
      </w:r>
      <w:r w:rsidR="00095AC6" w:rsidRPr="00AA6144">
        <w:rPr>
          <w:rFonts w:eastAsia="Times-Roman"/>
          <w:color w:val="auto"/>
          <w:lang w:val="en-CA"/>
        </w:rPr>
        <w:t xml:space="preserve">the </w:t>
      </w:r>
      <w:r w:rsidR="00462321" w:rsidRPr="00AA6144">
        <w:rPr>
          <w:rFonts w:eastAsia="Times-Roman"/>
          <w:i/>
          <w:color w:val="auto"/>
          <w:lang w:val="en-CA"/>
        </w:rPr>
        <w:t xml:space="preserve">Act </w:t>
      </w:r>
      <w:r w:rsidR="00267C10" w:rsidRPr="00AA6144">
        <w:rPr>
          <w:rFonts w:eastAsia="Times-Roman"/>
          <w:i/>
          <w:color w:val="auto"/>
          <w:lang w:val="en-CA"/>
        </w:rPr>
        <w:t>R</w:t>
      </w:r>
      <w:r w:rsidR="00462321" w:rsidRPr="00AA6144">
        <w:rPr>
          <w:rFonts w:eastAsia="Times-Roman"/>
          <w:i/>
          <w:color w:val="auto"/>
          <w:lang w:val="en-CA"/>
        </w:rPr>
        <w:t xml:space="preserve">especting </w:t>
      </w:r>
      <w:r w:rsidR="00267C10" w:rsidRPr="00AA6144">
        <w:rPr>
          <w:rFonts w:eastAsia="Times-Roman"/>
          <w:i/>
          <w:color w:val="auto"/>
          <w:lang w:val="en-CA"/>
        </w:rPr>
        <w:t>A</w:t>
      </w:r>
      <w:r w:rsidR="00462321" w:rsidRPr="00AA6144">
        <w:rPr>
          <w:rFonts w:eastAsia="Times-Roman"/>
          <w:i/>
          <w:color w:val="auto"/>
          <w:lang w:val="en-CA"/>
        </w:rPr>
        <w:t xml:space="preserve">ssistance for </w:t>
      </w:r>
      <w:r w:rsidR="00267C10" w:rsidRPr="00AA6144">
        <w:rPr>
          <w:rFonts w:eastAsia="Times-Roman"/>
          <w:i/>
          <w:color w:val="auto"/>
          <w:lang w:val="en-CA"/>
        </w:rPr>
        <w:t>V</w:t>
      </w:r>
      <w:r w:rsidR="00462321" w:rsidRPr="00AA6144">
        <w:rPr>
          <w:rFonts w:eastAsia="Times-Roman"/>
          <w:i/>
          <w:color w:val="auto"/>
          <w:lang w:val="en-CA"/>
        </w:rPr>
        <w:t xml:space="preserve">ictims of </w:t>
      </w:r>
      <w:r w:rsidR="00267C10" w:rsidRPr="00AA6144">
        <w:rPr>
          <w:rFonts w:eastAsia="Times-Roman"/>
          <w:i/>
          <w:color w:val="auto"/>
          <w:lang w:val="en-CA"/>
        </w:rPr>
        <w:t>C</w:t>
      </w:r>
      <w:r w:rsidR="00462321" w:rsidRPr="00AA6144">
        <w:rPr>
          <w:rFonts w:eastAsia="Times-Roman"/>
          <w:i/>
          <w:color w:val="auto"/>
          <w:lang w:val="en-CA"/>
        </w:rPr>
        <w:t>rime</w:t>
      </w:r>
      <w:bookmarkStart w:id="35" w:name="_Ref266965759"/>
      <w:r w:rsidR="00462321" w:rsidRPr="00AA6144">
        <w:rPr>
          <w:rStyle w:val="FootnoteReference"/>
          <w:rFonts w:eastAsia="Times-Roman"/>
          <w:color w:val="auto"/>
          <w:lang w:val="en-CA"/>
        </w:rPr>
        <w:footnoteReference w:id="48"/>
      </w:r>
      <w:bookmarkEnd w:id="35"/>
      <w:r w:rsidR="00BE689D" w:rsidRPr="00AA6144">
        <w:rPr>
          <w:rFonts w:eastAsia="Times-Roman"/>
          <w:color w:val="auto"/>
          <w:lang w:val="en-CA"/>
        </w:rPr>
        <w:t xml:space="preserve"> </w:t>
      </w:r>
      <w:r w:rsidR="00095AC6" w:rsidRPr="00AA6144">
        <w:rPr>
          <w:rFonts w:eastAsia="Times-Roman"/>
          <w:color w:val="auto"/>
          <w:lang w:val="en-CA"/>
        </w:rPr>
        <w:t>in Québec.</w:t>
      </w:r>
    </w:p>
    <w:p w14:paraId="7B6DCA6F" w14:textId="77777777" w:rsidR="00462321" w:rsidRPr="00AA6144" w:rsidRDefault="00462321" w:rsidP="00626D0B">
      <w:pPr>
        <w:rPr>
          <w:rFonts w:eastAsia="Times-Roman"/>
          <w:color w:val="auto"/>
          <w:lang w:val="en-CA"/>
        </w:rPr>
      </w:pPr>
      <w:r w:rsidRPr="00AA6144">
        <w:rPr>
          <w:rFonts w:eastAsia="Times-Roman"/>
          <w:color w:val="auto"/>
          <w:lang w:val="en-CA"/>
        </w:rPr>
        <w:t xml:space="preserve">In addition to these rights, all federal, provincial and territorial Ministers </w:t>
      </w:r>
      <w:r w:rsidR="009F1014" w:rsidRPr="00AA6144">
        <w:rPr>
          <w:rFonts w:eastAsia="Times-Roman"/>
          <w:color w:val="auto"/>
          <w:lang w:val="en-CA"/>
        </w:rPr>
        <w:t xml:space="preserve">responsible </w:t>
      </w:r>
      <w:r w:rsidRPr="00AA6144">
        <w:rPr>
          <w:rFonts w:eastAsia="Times-Roman"/>
          <w:color w:val="auto"/>
          <w:lang w:val="en-CA"/>
        </w:rPr>
        <w:t xml:space="preserve">for </w:t>
      </w:r>
      <w:r w:rsidR="009F1014" w:rsidRPr="00AA6144">
        <w:rPr>
          <w:rFonts w:eastAsia="Times-Roman"/>
          <w:color w:val="auto"/>
          <w:lang w:val="en-CA"/>
        </w:rPr>
        <w:t>criminal j</w:t>
      </w:r>
      <w:r w:rsidRPr="00AA6144">
        <w:rPr>
          <w:rFonts w:eastAsia="Times-Roman"/>
          <w:color w:val="auto"/>
          <w:lang w:val="en-CA"/>
        </w:rPr>
        <w:t xml:space="preserve">ustice have endorsed the </w:t>
      </w:r>
      <w:r w:rsidRPr="00AA6144">
        <w:rPr>
          <w:rFonts w:eastAsia="Times-Roman"/>
          <w:i/>
          <w:color w:val="auto"/>
          <w:lang w:val="en-CA"/>
        </w:rPr>
        <w:t>Canadian Statement of Basic Principles of Justice for Victims of Crime</w:t>
      </w:r>
      <w:r w:rsidRPr="00AA6144">
        <w:rPr>
          <w:rFonts w:eastAsia="Times-Roman"/>
          <w:color w:val="auto"/>
          <w:lang w:val="en-CA"/>
        </w:rPr>
        <w:t>.</w:t>
      </w:r>
      <w:bookmarkStart w:id="36" w:name="_Ref266965913"/>
      <w:r w:rsidRPr="00AA6144">
        <w:rPr>
          <w:rStyle w:val="FootnoteReference"/>
          <w:rFonts w:eastAsia="Times-Roman"/>
          <w:color w:val="auto"/>
          <w:lang w:val="en-CA"/>
        </w:rPr>
        <w:footnoteReference w:id="49"/>
      </w:r>
      <w:bookmarkEnd w:id="36"/>
      <w:r w:rsidRPr="00AA6144">
        <w:rPr>
          <w:rFonts w:eastAsia="Times-Roman"/>
          <w:color w:val="auto"/>
          <w:lang w:val="en-CA"/>
        </w:rPr>
        <w:t xml:space="preserve"> This Statement provides a comprehensive overview of how victims should be treated during the Canadian criminal justice process. However, because it is not law, it does not provide victims with additional rights beyond those provided </w:t>
      </w:r>
      <w:r w:rsidR="009F1014" w:rsidRPr="00AA6144">
        <w:rPr>
          <w:rFonts w:eastAsia="Times-Roman"/>
          <w:color w:val="auto"/>
          <w:lang w:val="en-CA"/>
        </w:rPr>
        <w:t>by</w:t>
      </w:r>
      <w:r w:rsidRPr="00AA6144">
        <w:rPr>
          <w:rFonts w:eastAsia="Times-Roman"/>
          <w:color w:val="auto"/>
          <w:lang w:val="en-CA"/>
        </w:rPr>
        <w:t xml:space="preserve"> statute.</w:t>
      </w:r>
    </w:p>
    <w:p w14:paraId="3DFBF790" w14:textId="77777777" w:rsidR="00626D0B" w:rsidRPr="00AA6144" w:rsidRDefault="00793101" w:rsidP="00442736">
      <w:pPr>
        <w:pStyle w:val="Heading4"/>
        <w:rPr>
          <w:rFonts w:eastAsia="Times-Roman"/>
          <w:color w:val="auto"/>
          <w:lang w:val="en-CA"/>
        </w:rPr>
      </w:pPr>
      <w:bookmarkStart w:id="37" w:name="_Toc43382720"/>
      <w:r w:rsidRPr="00AA6144">
        <w:rPr>
          <w:rFonts w:eastAsia="Times-Roman"/>
          <w:color w:val="auto"/>
          <w:lang w:val="en-CA"/>
        </w:rPr>
        <w:t>2.5.3</w:t>
      </w:r>
      <w:r w:rsidR="00442736" w:rsidRPr="00AA6144">
        <w:rPr>
          <w:rFonts w:eastAsia="Times-Roman"/>
          <w:color w:val="auto"/>
          <w:lang w:val="en-CA"/>
        </w:rPr>
        <w:t xml:space="preserve">.1. </w:t>
      </w:r>
      <w:r w:rsidR="00626D0B" w:rsidRPr="00AA6144">
        <w:rPr>
          <w:rFonts w:eastAsia="Times-Roman"/>
          <w:color w:val="auto"/>
          <w:lang w:val="en-CA"/>
        </w:rPr>
        <w:t>Notice</w:t>
      </w:r>
      <w:r w:rsidR="0004418C" w:rsidRPr="00AA6144">
        <w:rPr>
          <w:rFonts w:eastAsia="Times-Roman"/>
          <w:color w:val="auto"/>
          <w:lang w:val="en-CA"/>
        </w:rPr>
        <w:t xml:space="preserve"> of the rights of victims</w:t>
      </w:r>
      <w:bookmarkEnd w:id="37"/>
    </w:p>
    <w:p w14:paraId="0655373E" w14:textId="77777777" w:rsidR="00626D0B" w:rsidRPr="00AA6144" w:rsidRDefault="00626D0B" w:rsidP="00442736">
      <w:pPr>
        <w:pStyle w:val="AIBodyText"/>
        <w:rPr>
          <w:rFonts w:eastAsia="Times-Roman"/>
          <w:color w:val="auto"/>
          <w:lang w:val="en-CA"/>
        </w:rPr>
      </w:pPr>
      <w:r w:rsidRPr="00AA6144">
        <w:rPr>
          <w:rFonts w:eastAsia="Times-Roman"/>
          <w:color w:val="auto"/>
          <w:lang w:val="en-CA"/>
        </w:rPr>
        <w:t>The right</w:t>
      </w:r>
      <w:r w:rsidR="00D8225A" w:rsidRPr="00AA6144">
        <w:rPr>
          <w:rFonts w:eastAsia="Times-Roman"/>
          <w:color w:val="auto"/>
          <w:lang w:val="en-CA"/>
        </w:rPr>
        <w:t>s</w:t>
      </w:r>
      <w:r w:rsidRPr="00AA6144">
        <w:rPr>
          <w:rFonts w:eastAsia="Times-Roman"/>
          <w:color w:val="auto"/>
          <w:lang w:val="en-CA"/>
        </w:rPr>
        <w:t xml:space="preserve"> of victims </w:t>
      </w:r>
      <w:r w:rsidR="0004418C" w:rsidRPr="00AA6144">
        <w:rPr>
          <w:rFonts w:eastAsia="Times-Roman"/>
          <w:color w:val="auto"/>
          <w:lang w:val="en-CA"/>
        </w:rPr>
        <w:t>regarding</w:t>
      </w:r>
      <w:r w:rsidR="00D8225A" w:rsidRPr="00AA6144">
        <w:rPr>
          <w:rFonts w:eastAsia="Times-Roman"/>
          <w:color w:val="auto"/>
          <w:lang w:val="en-CA"/>
        </w:rPr>
        <w:t xml:space="preserve"> notice of</w:t>
      </w:r>
      <w:r w:rsidRPr="00AA6144">
        <w:rPr>
          <w:rFonts w:eastAsia="Times-Roman"/>
          <w:color w:val="auto"/>
          <w:lang w:val="en-CA"/>
        </w:rPr>
        <w:t xml:space="preserve"> the investigation, </w:t>
      </w:r>
      <w:r w:rsidR="0001776F" w:rsidRPr="00AA6144">
        <w:rPr>
          <w:rFonts w:eastAsia="Times-Roman"/>
          <w:color w:val="auto"/>
          <w:lang w:val="en-CA"/>
        </w:rPr>
        <w:t>prosecution and appeal stages are</w:t>
      </w:r>
      <w:r w:rsidR="00E22E4D" w:rsidRPr="00AA6144">
        <w:rPr>
          <w:rFonts w:eastAsia="Times-Roman"/>
          <w:color w:val="auto"/>
          <w:lang w:val="en-CA"/>
        </w:rPr>
        <w:t xml:space="preserve"> not </w:t>
      </w:r>
      <w:r w:rsidR="00462321" w:rsidRPr="00AA6144">
        <w:rPr>
          <w:rFonts w:eastAsia="Times-Roman"/>
          <w:color w:val="auto"/>
          <w:lang w:val="en-CA"/>
        </w:rPr>
        <w:t xml:space="preserve">explicitly </w:t>
      </w:r>
      <w:r w:rsidR="00E22E4D" w:rsidRPr="00AA6144">
        <w:rPr>
          <w:rFonts w:eastAsia="Times-Roman"/>
          <w:color w:val="auto"/>
          <w:lang w:val="en-CA"/>
        </w:rPr>
        <w:t>guaranteed in law</w:t>
      </w:r>
      <w:r w:rsidR="0096503F" w:rsidRPr="00AA6144">
        <w:rPr>
          <w:rFonts w:eastAsia="Times-Roman"/>
          <w:color w:val="auto"/>
          <w:lang w:val="en-CA"/>
        </w:rPr>
        <w:t xml:space="preserve">. However, </w:t>
      </w:r>
      <w:r w:rsidR="00D8225A" w:rsidRPr="00AA6144">
        <w:rPr>
          <w:rFonts w:eastAsia="Times-Roman"/>
          <w:color w:val="auto"/>
          <w:lang w:val="en-CA"/>
        </w:rPr>
        <w:t xml:space="preserve">principle </w:t>
      </w:r>
      <w:r w:rsidR="0096503F" w:rsidRPr="00AA6144">
        <w:rPr>
          <w:rFonts w:eastAsia="Times-Roman"/>
          <w:color w:val="auto"/>
          <w:lang w:val="en-CA"/>
        </w:rPr>
        <w:t xml:space="preserve">5 of the </w:t>
      </w:r>
      <w:r w:rsidR="0096503F" w:rsidRPr="00AA6144">
        <w:rPr>
          <w:rFonts w:eastAsia="Times-Roman"/>
          <w:i/>
          <w:color w:val="auto"/>
          <w:lang w:val="en-CA"/>
        </w:rPr>
        <w:t>Canadian Statement of Basic Principles of Justice for Victims</w:t>
      </w:r>
      <w:r w:rsidR="0096503F" w:rsidRPr="00AA6144">
        <w:rPr>
          <w:rFonts w:eastAsia="Times-Roman"/>
          <w:color w:val="auto"/>
          <w:lang w:val="en-CA"/>
        </w:rPr>
        <w:t xml:space="preserve"> stipulates that information should be provided to victims about the criminal justice system and the victim’s role and opportunities to participate in criminal justice processes.</w:t>
      </w:r>
      <w:r w:rsidR="0096503F" w:rsidRPr="00AA6144">
        <w:rPr>
          <w:rStyle w:val="FootnoteReference"/>
          <w:rFonts w:eastAsia="Times-Roman"/>
          <w:color w:val="auto"/>
          <w:lang w:val="en-CA"/>
        </w:rPr>
        <w:footnoteReference w:id="50"/>
      </w:r>
    </w:p>
    <w:p w14:paraId="0E34F688" w14:textId="77777777" w:rsidR="0004418C" w:rsidRPr="00AA6144" w:rsidRDefault="00793101" w:rsidP="0004418C">
      <w:pPr>
        <w:pStyle w:val="Heading4"/>
        <w:rPr>
          <w:rFonts w:eastAsia="Times-Roman"/>
          <w:color w:val="auto"/>
          <w:lang w:val="en-CA"/>
        </w:rPr>
      </w:pPr>
      <w:bookmarkStart w:id="38" w:name="_Toc43382721"/>
      <w:r w:rsidRPr="00AA6144">
        <w:rPr>
          <w:rFonts w:eastAsia="Times-Roman"/>
          <w:color w:val="auto"/>
          <w:lang w:val="en-CA"/>
        </w:rPr>
        <w:t>2.5.3</w:t>
      </w:r>
      <w:r w:rsidR="0004418C" w:rsidRPr="00AA6144">
        <w:rPr>
          <w:rFonts w:eastAsia="Times-Roman"/>
          <w:color w:val="auto"/>
          <w:lang w:val="en-CA"/>
        </w:rPr>
        <w:t>.2. Protection</w:t>
      </w:r>
      <w:bookmarkEnd w:id="38"/>
    </w:p>
    <w:p w14:paraId="20E26AF1" w14:textId="0C01CAC2" w:rsidR="003E597F" w:rsidRPr="00AA6144" w:rsidRDefault="002A6242" w:rsidP="00FD7BFA">
      <w:pPr>
        <w:widowControl/>
        <w:suppressAutoHyphens w:val="0"/>
        <w:spacing w:after="0" w:line="240" w:lineRule="auto"/>
        <w:rPr>
          <w:rFonts w:ascii="Helvetica Neue" w:hAnsi="Helvetica Neue"/>
          <w:strike/>
          <w:color w:val="333333"/>
          <w:szCs w:val="18"/>
          <w:shd w:val="clear" w:color="auto" w:fill="FFFFFF"/>
          <w:lang w:val="en-CA" w:eastAsia="en-US"/>
        </w:rPr>
      </w:pPr>
      <w:r w:rsidRPr="00AA6144">
        <w:rPr>
          <w:rFonts w:eastAsia="Times-Roman"/>
          <w:color w:val="auto"/>
          <w:lang w:val="en-CA"/>
        </w:rPr>
        <w:t>V</w:t>
      </w:r>
      <w:r w:rsidR="0004418C" w:rsidRPr="00AA6144">
        <w:rPr>
          <w:rFonts w:eastAsia="Times-Roman"/>
          <w:color w:val="auto"/>
          <w:lang w:val="en-CA"/>
        </w:rPr>
        <w:t xml:space="preserve">ictims </w:t>
      </w:r>
      <w:r w:rsidRPr="00AA6144">
        <w:rPr>
          <w:rFonts w:eastAsia="Times-Roman"/>
          <w:color w:val="auto"/>
          <w:lang w:val="en-CA"/>
        </w:rPr>
        <w:t xml:space="preserve">are extended certain </w:t>
      </w:r>
      <w:r w:rsidR="0004418C" w:rsidRPr="00AA6144">
        <w:rPr>
          <w:rFonts w:eastAsia="Times-Roman"/>
          <w:color w:val="auto"/>
          <w:lang w:val="en-CA"/>
        </w:rPr>
        <w:t>protection</w:t>
      </w:r>
      <w:r w:rsidRPr="00AA6144">
        <w:rPr>
          <w:rFonts w:eastAsia="Times-Roman"/>
          <w:color w:val="auto"/>
          <w:lang w:val="en-CA"/>
        </w:rPr>
        <w:t>s</w:t>
      </w:r>
      <w:r w:rsidR="0004418C" w:rsidRPr="00AA6144">
        <w:rPr>
          <w:rFonts w:eastAsia="Times-Roman"/>
          <w:color w:val="auto"/>
          <w:lang w:val="en-CA"/>
        </w:rPr>
        <w:t xml:space="preserve"> at </w:t>
      </w:r>
      <w:r w:rsidRPr="00AA6144">
        <w:rPr>
          <w:rFonts w:eastAsia="Times-Roman"/>
          <w:color w:val="auto"/>
          <w:lang w:val="en-CA"/>
        </w:rPr>
        <w:t xml:space="preserve">various </w:t>
      </w:r>
      <w:r w:rsidR="0004418C" w:rsidRPr="00AA6144">
        <w:rPr>
          <w:rFonts w:eastAsia="Times-Roman"/>
          <w:color w:val="auto"/>
          <w:lang w:val="en-CA"/>
        </w:rPr>
        <w:t xml:space="preserve">stages of the investigation, </w:t>
      </w:r>
      <w:proofErr w:type="gramStart"/>
      <w:r w:rsidR="0004418C" w:rsidRPr="00AA6144">
        <w:rPr>
          <w:rFonts w:eastAsia="Times-Roman"/>
          <w:color w:val="auto"/>
          <w:lang w:val="en-CA"/>
        </w:rPr>
        <w:t>prosecution</w:t>
      </w:r>
      <w:proofErr w:type="gramEnd"/>
      <w:r w:rsidR="0004418C" w:rsidRPr="00AA6144">
        <w:rPr>
          <w:rFonts w:eastAsia="Times-Roman"/>
          <w:color w:val="auto"/>
          <w:lang w:val="en-CA"/>
        </w:rPr>
        <w:t xml:space="preserve"> and </w:t>
      </w:r>
      <w:r w:rsidRPr="00AA6144">
        <w:rPr>
          <w:rFonts w:eastAsia="Times-Roman"/>
          <w:color w:val="auto"/>
          <w:lang w:val="en-CA"/>
        </w:rPr>
        <w:t>appeal of a case</w:t>
      </w:r>
      <w:r w:rsidR="0004418C" w:rsidRPr="00AA6144">
        <w:rPr>
          <w:rFonts w:eastAsia="Times-Roman"/>
          <w:color w:val="auto"/>
          <w:lang w:val="en-CA"/>
        </w:rPr>
        <w:t xml:space="preserve"> and, if necessary, afterwards</w:t>
      </w:r>
      <w:r w:rsidRPr="00AA6144">
        <w:rPr>
          <w:rFonts w:eastAsia="Times-Roman"/>
          <w:color w:val="auto"/>
          <w:lang w:val="en-CA"/>
        </w:rPr>
        <w:t xml:space="preserve">, which is </w:t>
      </w:r>
      <w:r w:rsidR="0004418C" w:rsidRPr="00AA6144">
        <w:rPr>
          <w:rFonts w:eastAsia="Times-Roman"/>
          <w:color w:val="auto"/>
          <w:lang w:val="en-CA"/>
        </w:rPr>
        <w:t>guaranteed in law and practice</w:t>
      </w:r>
      <w:r w:rsidR="001646ED" w:rsidRPr="00AA6144">
        <w:rPr>
          <w:rFonts w:eastAsia="Times-Roman"/>
          <w:color w:val="auto"/>
          <w:lang w:val="en-CA"/>
        </w:rPr>
        <w:t xml:space="preserve">. </w:t>
      </w:r>
      <w:r w:rsidR="008D7C56" w:rsidRPr="00AA6144">
        <w:rPr>
          <w:rFonts w:eastAsia="Times-Roman"/>
          <w:color w:val="auto"/>
          <w:szCs w:val="18"/>
          <w:lang w:val="en-CA"/>
        </w:rPr>
        <w:t xml:space="preserve">The preamble of the </w:t>
      </w:r>
      <w:r w:rsidR="008D7C56" w:rsidRPr="00AA6144">
        <w:rPr>
          <w:rFonts w:eastAsia="Times-Roman"/>
          <w:i/>
          <w:color w:val="auto"/>
          <w:szCs w:val="18"/>
          <w:lang w:val="en-CA"/>
        </w:rPr>
        <w:t>Canadian Victims Bill of Rights</w:t>
      </w:r>
      <w:r w:rsidR="008D7C56" w:rsidRPr="00AA6144">
        <w:rPr>
          <w:rFonts w:eastAsia="Times-Roman"/>
          <w:color w:val="auto"/>
          <w:szCs w:val="18"/>
          <w:lang w:val="en-CA"/>
        </w:rPr>
        <w:t xml:space="preserve"> maintains that </w:t>
      </w:r>
      <w:r w:rsidR="008D7C56" w:rsidRPr="00AA6144">
        <w:rPr>
          <w:rFonts w:ascii="Helvetica Neue" w:hAnsi="Helvetica Neue"/>
          <w:color w:val="333333"/>
          <w:szCs w:val="18"/>
          <w:shd w:val="clear" w:color="auto" w:fill="FFFFFF"/>
          <w:lang w:val="en-CA" w:eastAsia="en-US"/>
        </w:rPr>
        <w:t>victims of crime and their families should be treated with courtesy, compassion and respect, including respect for their dignity.</w:t>
      </w:r>
      <w:r w:rsidR="008D7C56" w:rsidRPr="00AA6144">
        <w:rPr>
          <w:rStyle w:val="FootnoteReference"/>
          <w:color w:val="auto"/>
          <w:szCs w:val="18"/>
          <w:lang w:val="en-CA"/>
        </w:rPr>
        <w:footnoteReference w:id="51"/>
      </w:r>
      <w:r w:rsidR="008D7C56" w:rsidRPr="00AA6144">
        <w:rPr>
          <w:rFonts w:ascii="Helvetica Neue" w:hAnsi="Helvetica Neue"/>
          <w:color w:val="333333"/>
          <w:szCs w:val="18"/>
          <w:shd w:val="clear" w:color="auto" w:fill="FFFFFF"/>
          <w:lang w:val="en-CA" w:eastAsia="en-US"/>
        </w:rPr>
        <w:t xml:space="preserve"> </w:t>
      </w:r>
      <w:r w:rsidR="001646ED" w:rsidRPr="00AA6144">
        <w:rPr>
          <w:rFonts w:eastAsia="Times-Roman"/>
          <w:color w:val="auto"/>
          <w:lang w:val="en-CA"/>
        </w:rPr>
        <w:t xml:space="preserve">In Ontario, </w:t>
      </w:r>
      <w:r w:rsidR="00095AC6" w:rsidRPr="00AA6144">
        <w:rPr>
          <w:rFonts w:eastAsia="Times-Roman"/>
          <w:color w:val="auto"/>
          <w:lang w:val="en-CA"/>
        </w:rPr>
        <w:t>section</w:t>
      </w:r>
      <w:r w:rsidR="001646ED" w:rsidRPr="00AA6144">
        <w:rPr>
          <w:rFonts w:eastAsia="Times-Roman"/>
          <w:color w:val="auto"/>
          <w:lang w:val="en-CA"/>
        </w:rPr>
        <w:t xml:space="preserve"> 2(1)1 of the </w:t>
      </w:r>
      <w:r w:rsidR="001646ED" w:rsidRPr="00AA6144">
        <w:rPr>
          <w:rFonts w:eastAsia="Times-Roman"/>
          <w:i/>
          <w:color w:val="auto"/>
          <w:lang w:val="en-CA"/>
        </w:rPr>
        <w:t>Victims’ Bill of Rights</w:t>
      </w:r>
      <w:r w:rsidR="001646ED" w:rsidRPr="00AA6144">
        <w:rPr>
          <w:rFonts w:eastAsia="Times-Roman"/>
          <w:color w:val="auto"/>
          <w:lang w:val="en-CA"/>
        </w:rPr>
        <w:t xml:space="preserve"> stipulates that victims should be treated with courtesy, compassion and respect for their personal dignity and privacy by justice system officials.</w:t>
      </w:r>
      <w:r w:rsidR="003E597F" w:rsidRPr="00AA6144">
        <w:rPr>
          <w:rStyle w:val="FootnoteReference"/>
          <w:rFonts w:eastAsia="Times-Roman"/>
          <w:color w:val="auto"/>
          <w:lang w:val="en-CA"/>
        </w:rPr>
        <w:footnoteReference w:id="52"/>
      </w:r>
      <w:r w:rsidR="001646ED" w:rsidRPr="00AA6144">
        <w:rPr>
          <w:rFonts w:eastAsia="Times-Roman"/>
          <w:color w:val="auto"/>
          <w:lang w:val="en-CA"/>
        </w:rPr>
        <w:t xml:space="preserve"> Similarly, in Québec, article 2 of the </w:t>
      </w:r>
      <w:r w:rsidR="001646ED" w:rsidRPr="00AA6144">
        <w:rPr>
          <w:rFonts w:eastAsia="Times-Roman"/>
          <w:i/>
          <w:color w:val="auto"/>
          <w:lang w:val="en-CA"/>
        </w:rPr>
        <w:t xml:space="preserve">Act </w:t>
      </w:r>
      <w:r w:rsidR="009F1014" w:rsidRPr="00AA6144">
        <w:rPr>
          <w:rFonts w:eastAsia="Times-Roman"/>
          <w:i/>
          <w:color w:val="auto"/>
          <w:lang w:val="en-CA"/>
        </w:rPr>
        <w:t>R</w:t>
      </w:r>
      <w:r w:rsidR="001646ED" w:rsidRPr="00AA6144">
        <w:rPr>
          <w:rFonts w:eastAsia="Times-Roman"/>
          <w:i/>
          <w:color w:val="auto"/>
          <w:lang w:val="en-CA"/>
        </w:rPr>
        <w:t xml:space="preserve">especting </w:t>
      </w:r>
      <w:r w:rsidR="009F1014" w:rsidRPr="00AA6144">
        <w:rPr>
          <w:rFonts w:eastAsia="Times-Roman"/>
          <w:i/>
          <w:color w:val="auto"/>
          <w:lang w:val="en-CA"/>
        </w:rPr>
        <w:t>A</w:t>
      </w:r>
      <w:r w:rsidR="001646ED" w:rsidRPr="00AA6144">
        <w:rPr>
          <w:rFonts w:eastAsia="Times-Roman"/>
          <w:i/>
          <w:color w:val="auto"/>
          <w:lang w:val="en-CA"/>
        </w:rPr>
        <w:t xml:space="preserve">ssistance for </w:t>
      </w:r>
      <w:r w:rsidR="009F1014" w:rsidRPr="00AA6144">
        <w:rPr>
          <w:rFonts w:eastAsia="Times-Roman"/>
          <w:i/>
          <w:color w:val="auto"/>
          <w:lang w:val="en-CA"/>
        </w:rPr>
        <w:t>V</w:t>
      </w:r>
      <w:r w:rsidR="001646ED" w:rsidRPr="00AA6144">
        <w:rPr>
          <w:rFonts w:eastAsia="Times-Roman"/>
          <w:i/>
          <w:color w:val="auto"/>
          <w:lang w:val="en-CA"/>
        </w:rPr>
        <w:t xml:space="preserve">ictims of </w:t>
      </w:r>
      <w:r w:rsidR="009F1014" w:rsidRPr="00AA6144">
        <w:rPr>
          <w:rFonts w:eastAsia="Times-Roman"/>
          <w:i/>
          <w:color w:val="auto"/>
          <w:lang w:val="en-CA"/>
        </w:rPr>
        <w:t>C</w:t>
      </w:r>
      <w:r w:rsidR="001646ED" w:rsidRPr="00AA6144">
        <w:rPr>
          <w:rFonts w:eastAsia="Times-Roman"/>
          <w:i/>
          <w:color w:val="auto"/>
          <w:lang w:val="en-CA"/>
        </w:rPr>
        <w:t xml:space="preserve">rime </w:t>
      </w:r>
      <w:r w:rsidR="003E597F" w:rsidRPr="00AA6144">
        <w:rPr>
          <w:rFonts w:eastAsia="Times-Roman"/>
          <w:color w:val="auto"/>
          <w:lang w:val="en-CA"/>
        </w:rPr>
        <w:t xml:space="preserve">guarantees that victims of crime have the right to be treated with </w:t>
      </w:r>
      <w:r w:rsidR="003E597F" w:rsidRPr="00AA6144">
        <w:rPr>
          <w:rFonts w:eastAsia="Times-Roman"/>
          <w:color w:val="auto"/>
          <w:szCs w:val="18"/>
          <w:lang w:val="en-CA"/>
        </w:rPr>
        <w:t>courtesy, fairness and understanding and with respect for their dignity and privacy.</w:t>
      </w:r>
      <w:r w:rsidR="003E597F" w:rsidRPr="00AA6144">
        <w:rPr>
          <w:rStyle w:val="FootnoteReference"/>
          <w:rFonts w:eastAsia="Times-Roman"/>
          <w:color w:val="auto"/>
          <w:szCs w:val="18"/>
          <w:lang w:val="en-CA"/>
        </w:rPr>
        <w:footnoteReference w:id="53"/>
      </w:r>
      <w:r w:rsidR="004E484F" w:rsidRPr="00AA6144">
        <w:rPr>
          <w:rFonts w:ascii="Helvetica Neue" w:hAnsi="Helvetica Neue"/>
          <w:color w:val="333333"/>
          <w:szCs w:val="18"/>
          <w:shd w:val="clear" w:color="auto" w:fill="FFFFFF"/>
          <w:lang w:val="en-CA" w:eastAsia="en-US"/>
        </w:rPr>
        <w:t xml:space="preserve"> </w:t>
      </w:r>
    </w:p>
    <w:p w14:paraId="563230BF" w14:textId="77777777" w:rsidR="00FD7BFA" w:rsidRPr="00AA6144" w:rsidRDefault="00FD7BFA" w:rsidP="00AA6144">
      <w:pPr>
        <w:widowControl/>
        <w:suppressAutoHyphens w:val="0"/>
        <w:spacing w:after="0" w:line="240" w:lineRule="auto"/>
        <w:rPr>
          <w:rFonts w:eastAsia="Times-Roman"/>
          <w:color w:val="auto"/>
          <w:szCs w:val="18"/>
          <w:lang w:val="en-CA"/>
        </w:rPr>
      </w:pPr>
    </w:p>
    <w:p w14:paraId="292D677C" w14:textId="77777777" w:rsidR="00626D0B" w:rsidRPr="00AA6144" w:rsidRDefault="00793101" w:rsidP="00E22E4D">
      <w:pPr>
        <w:pStyle w:val="Heading4"/>
        <w:rPr>
          <w:rFonts w:eastAsia="Times-Roman"/>
          <w:caps/>
          <w:color w:val="auto"/>
          <w:szCs w:val="18"/>
          <w:lang w:val="en-CA"/>
        </w:rPr>
      </w:pPr>
      <w:bookmarkStart w:id="39" w:name="_Toc43382722"/>
      <w:r w:rsidRPr="00AA6144">
        <w:rPr>
          <w:rFonts w:eastAsia="Times-Roman"/>
          <w:color w:val="auto"/>
          <w:szCs w:val="18"/>
          <w:lang w:val="en-CA"/>
        </w:rPr>
        <w:t>2.5.3</w:t>
      </w:r>
      <w:r w:rsidR="00E22E4D" w:rsidRPr="00AA6144">
        <w:rPr>
          <w:rFonts w:eastAsia="Times-Roman"/>
          <w:color w:val="auto"/>
          <w:szCs w:val="18"/>
          <w:lang w:val="en-CA"/>
        </w:rPr>
        <w:t>.</w:t>
      </w:r>
      <w:r w:rsidR="0004418C" w:rsidRPr="00AA6144">
        <w:rPr>
          <w:rFonts w:eastAsia="Times-Roman"/>
          <w:color w:val="auto"/>
          <w:szCs w:val="18"/>
          <w:lang w:val="en-CA"/>
        </w:rPr>
        <w:t>3</w:t>
      </w:r>
      <w:r w:rsidR="00E22E4D" w:rsidRPr="00AA6144">
        <w:rPr>
          <w:rFonts w:eastAsia="Times-Roman"/>
          <w:color w:val="auto"/>
          <w:szCs w:val="18"/>
          <w:lang w:val="en-CA"/>
        </w:rPr>
        <w:t>.</w:t>
      </w:r>
      <w:r w:rsidR="0004418C" w:rsidRPr="00AA6144">
        <w:rPr>
          <w:rFonts w:eastAsia="Times-Roman"/>
          <w:color w:val="auto"/>
          <w:szCs w:val="18"/>
          <w:lang w:val="en-CA"/>
        </w:rPr>
        <w:t xml:space="preserve"> </w:t>
      </w:r>
      <w:r w:rsidR="00E22E4D" w:rsidRPr="00AA6144">
        <w:rPr>
          <w:rFonts w:eastAsia="Times-Roman"/>
          <w:color w:val="auto"/>
          <w:szCs w:val="18"/>
          <w:lang w:val="en-CA"/>
        </w:rPr>
        <w:t>Support</w:t>
      </w:r>
      <w:bookmarkEnd w:id="39"/>
    </w:p>
    <w:p w14:paraId="4DE7C1E9" w14:textId="77777777" w:rsidR="003E597F" w:rsidRPr="00AA6144" w:rsidRDefault="00626D0B" w:rsidP="00E22E4D">
      <w:pPr>
        <w:pStyle w:val="AIBodyText"/>
        <w:rPr>
          <w:rFonts w:eastAsia="Times-Roman"/>
          <w:color w:val="auto"/>
          <w:lang w:val="en-CA"/>
        </w:rPr>
      </w:pPr>
      <w:r w:rsidRPr="00AA6144">
        <w:rPr>
          <w:rFonts w:eastAsia="Times-Roman"/>
          <w:color w:val="auto"/>
          <w:lang w:val="en-CA"/>
        </w:rPr>
        <w:t xml:space="preserve">The </w:t>
      </w:r>
      <w:r w:rsidR="0004418C" w:rsidRPr="00AA6144">
        <w:rPr>
          <w:rFonts w:eastAsia="Times-Roman"/>
          <w:color w:val="auto"/>
          <w:lang w:val="en-CA"/>
        </w:rPr>
        <w:t xml:space="preserve">right to </w:t>
      </w:r>
      <w:r w:rsidRPr="00AA6144">
        <w:rPr>
          <w:rFonts w:eastAsia="Times-Roman"/>
          <w:color w:val="auto"/>
          <w:lang w:val="en-CA"/>
        </w:rPr>
        <w:t xml:space="preserve">psychological and other support for victims, particularly </w:t>
      </w:r>
      <w:r w:rsidR="00C11B62" w:rsidRPr="00AA6144">
        <w:rPr>
          <w:rFonts w:eastAsia="Times-Roman"/>
          <w:color w:val="auto"/>
          <w:lang w:val="en-CA"/>
        </w:rPr>
        <w:t>people who are often marginalized</w:t>
      </w:r>
      <w:r w:rsidRPr="00AA6144">
        <w:rPr>
          <w:rFonts w:eastAsia="Times-Roman"/>
          <w:color w:val="auto"/>
          <w:lang w:val="en-CA"/>
        </w:rPr>
        <w:t>, such as women</w:t>
      </w:r>
      <w:r w:rsidR="00C11B62" w:rsidRPr="00AA6144">
        <w:rPr>
          <w:rFonts w:eastAsia="Times-Roman"/>
          <w:color w:val="auto"/>
          <w:lang w:val="en-CA"/>
        </w:rPr>
        <w:t>, members of minority groups</w:t>
      </w:r>
      <w:r w:rsidRPr="00AA6144">
        <w:rPr>
          <w:rFonts w:eastAsia="Times-Roman"/>
          <w:color w:val="auto"/>
          <w:lang w:val="en-CA"/>
        </w:rPr>
        <w:t xml:space="preserve"> and children</w:t>
      </w:r>
      <w:r w:rsidR="00E22E4D" w:rsidRPr="00AA6144">
        <w:rPr>
          <w:rFonts w:eastAsia="Times-Roman"/>
          <w:color w:val="auto"/>
          <w:lang w:val="en-CA"/>
        </w:rPr>
        <w:t>, is guaranteed in law and practice</w:t>
      </w:r>
      <w:r w:rsidR="003E597F" w:rsidRPr="00AA6144">
        <w:rPr>
          <w:rFonts w:eastAsia="Times-Roman"/>
          <w:color w:val="auto"/>
          <w:lang w:val="en-CA"/>
        </w:rPr>
        <w:t xml:space="preserve"> in Québec</w:t>
      </w:r>
      <w:r w:rsidRPr="00AA6144">
        <w:rPr>
          <w:rFonts w:eastAsia="Times-Roman"/>
          <w:color w:val="auto"/>
          <w:lang w:val="en-CA"/>
        </w:rPr>
        <w:t>.</w:t>
      </w:r>
      <w:r w:rsidR="003E597F" w:rsidRPr="00AA6144">
        <w:rPr>
          <w:rFonts w:eastAsia="Times-Roman"/>
          <w:color w:val="auto"/>
          <w:lang w:val="en-CA"/>
        </w:rPr>
        <w:t xml:space="preserve"> Article 6 of the </w:t>
      </w:r>
      <w:r w:rsidR="003E597F" w:rsidRPr="00AA6144">
        <w:rPr>
          <w:rFonts w:eastAsia="Times-Roman"/>
          <w:i/>
          <w:color w:val="auto"/>
          <w:lang w:val="en-CA"/>
        </w:rPr>
        <w:t xml:space="preserve">Act </w:t>
      </w:r>
      <w:r w:rsidR="009F1014" w:rsidRPr="00AA6144">
        <w:rPr>
          <w:rFonts w:eastAsia="Times-Roman"/>
          <w:i/>
          <w:color w:val="auto"/>
          <w:lang w:val="en-CA"/>
        </w:rPr>
        <w:t>R</w:t>
      </w:r>
      <w:r w:rsidR="003E597F" w:rsidRPr="00AA6144">
        <w:rPr>
          <w:rFonts w:eastAsia="Times-Roman"/>
          <w:i/>
          <w:color w:val="auto"/>
          <w:lang w:val="en-CA"/>
        </w:rPr>
        <w:t xml:space="preserve">especting </w:t>
      </w:r>
      <w:r w:rsidR="009F1014" w:rsidRPr="00AA6144">
        <w:rPr>
          <w:rFonts w:eastAsia="Times-Roman"/>
          <w:i/>
          <w:color w:val="auto"/>
          <w:lang w:val="en-CA"/>
        </w:rPr>
        <w:t>A</w:t>
      </w:r>
      <w:r w:rsidR="003E597F" w:rsidRPr="00AA6144">
        <w:rPr>
          <w:rFonts w:eastAsia="Times-Roman"/>
          <w:i/>
          <w:color w:val="auto"/>
          <w:lang w:val="en-CA"/>
        </w:rPr>
        <w:t xml:space="preserve">ssistance for </w:t>
      </w:r>
      <w:r w:rsidR="009F1014" w:rsidRPr="00AA6144">
        <w:rPr>
          <w:rFonts w:eastAsia="Times-Roman"/>
          <w:i/>
          <w:color w:val="auto"/>
          <w:lang w:val="en-CA"/>
        </w:rPr>
        <w:t>V</w:t>
      </w:r>
      <w:r w:rsidR="003E597F" w:rsidRPr="00AA6144">
        <w:rPr>
          <w:rFonts w:eastAsia="Times-Roman"/>
          <w:i/>
          <w:color w:val="auto"/>
          <w:lang w:val="en-CA"/>
        </w:rPr>
        <w:t xml:space="preserve">ictims of </w:t>
      </w:r>
      <w:r w:rsidR="009F1014" w:rsidRPr="00AA6144">
        <w:rPr>
          <w:rFonts w:eastAsia="Times-Roman"/>
          <w:i/>
          <w:color w:val="auto"/>
          <w:lang w:val="en-CA"/>
        </w:rPr>
        <w:t>C</w:t>
      </w:r>
      <w:r w:rsidR="003E597F" w:rsidRPr="00AA6144">
        <w:rPr>
          <w:rFonts w:eastAsia="Times-Roman"/>
          <w:i/>
          <w:color w:val="auto"/>
          <w:lang w:val="en-CA"/>
        </w:rPr>
        <w:t>rime</w:t>
      </w:r>
      <w:r w:rsidR="003E597F" w:rsidRPr="00AA6144">
        <w:rPr>
          <w:rFonts w:eastAsia="Times-Roman"/>
          <w:color w:val="auto"/>
          <w:lang w:val="en-CA"/>
        </w:rPr>
        <w:t xml:space="preserve"> stipulates that victims have the right, in so far as resources are available, to medical, psychological and social care or help as they may require</w:t>
      </w:r>
      <w:r w:rsidR="009F1014" w:rsidRPr="00AA6144">
        <w:rPr>
          <w:rFonts w:eastAsia="Times-Roman"/>
          <w:color w:val="auto"/>
          <w:lang w:val="en-CA"/>
        </w:rPr>
        <w:t>,</w:t>
      </w:r>
      <w:r w:rsidR="003E597F" w:rsidRPr="00AA6144">
        <w:rPr>
          <w:rFonts w:eastAsia="Times-Roman"/>
          <w:color w:val="auto"/>
          <w:lang w:val="en-CA"/>
        </w:rPr>
        <w:t xml:space="preserve"> and to such other assistance services capable of meeting their needs</w:t>
      </w:r>
      <w:r w:rsidR="00E22E4D" w:rsidRPr="00AA6144">
        <w:rPr>
          <w:rFonts w:eastAsia="Times-Roman"/>
          <w:color w:val="auto"/>
          <w:lang w:val="en-CA"/>
        </w:rPr>
        <w:t xml:space="preserve"> </w:t>
      </w:r>
      <w:r w:rsidR="003E597F" w:rsidRPr="00AA6144">
        <w:rPr>
          <w:rFonts w:eastAsia="Times-Roman"/>
          <w:color w:val="auto"/>
          <w:lang w:val="en-CA"/>
        </w:rPr>
        <w:t>for shelter and support, or for referral to other services better suited to provide them with assistance.</w:t>
      </w:r>
      <w:r w:rsidR="003E597F" w:rsidRPr="00AA6144">
        <w:rPr>
          <w:rStyle w:val="FootnoteReference"/>
          <w:rFonts w:eastAsia="Times-Roman"/>
          <w:color w:val="auto"/>
          <w:lang w:val="en-CA"/>
        </w:rPr>
        <w:footnoteReference w:id="54"/>
      </w:r>
    </w:p>
    <w:p w14:paraId="4F06D485" w14:textId="50E8CE11" w:rsidR="00626D0B" w:rsidRPr="00AA6144" w:rsidRDefault="00AF0637" w:rsidP="00E22E4D">
      <w:pPr>
        <w:pStyle w:val="AIBodyText"/>
        <w:rPr>
          <w:rFonts w:eastAsia="Times-Roman"/>
          <w:color w:val="auto"/>
          <w:lang w:val="en-CA"/>
        </w:rPr>
      </w:pPr>
      <w:r w:rsidRPr="00AA6144">
        <w:rPr>
          <w:rFonts w:eastAsia="Times-Roman"/>
          <w:color w:val="auto"/>
          <w:lang w:val="en-CA"/>
        </w:rPr>
        <w:lastRenderedPageBreak/>
        <w:t>Additionally, t</w:t>
      </w:r>
      <w:r w:rsidR="0016371F" w:rsidRPr="00AA6144">
        <w:rPr>
          <w:rFonts w:eastAsia="Times-Roman"/>
          <w:color w:val="auto"/>
          <w:lang w:val="en-CA"/>
        </w:rPr>
        <w:t xml:space="preserve">here are programs administered by provinces </w:t>
      </w:r>
      <w:r w:rsidR="00697500" w:rsidRPr="00AA6144">
        <w:rPr>
          <w:rFonts w:eastAsia="Times-Roman"/>
          <w:color w:val="auto"/>
          <w:lang w:val="en-CA"/>
        </w:rPr>
        <w:t>that</w:t>
      </w:r>
      <w:r w:rsidR="00626D0B" w:rsidRPr="00AA6144">
        <w:rPr>
          <w:rFonts w:eastAsia="Times-Roman"/>
          <w:color w:val="auto"/>
          <w:lang w:val="en-CA"/>
        </w:rPr>
        <w:t xml:space="preserve"> provide support to victims.</w:t>
      </w:r>
      <w:r w:rsidR="0016371F" w:rsidRPr="00AA6144">
        <w:rPr>
          <w:rFonts w:eastAsia="Times-Roman"/>
          <w:color w:val="auto"/>
          <w:lang w:val="en-CA"/>
        </w:rPr>
        <w:t xml:space="preserve"> </w:t>
      </w:r>
      <w:r w:rsidR="00094182" w:rsidRPr="00AA6144">
        <w:rPr>
          <w:rFonts w:eastAsia="Times-Roman"/>
          <w:color w:val="auto"/>
          <w:lang w:val="en-CA"/>
        </w:rPr>
        <w:t xml:space="preserve">Section </w:t>
      </w:r>
      <w:r w:rsidR="00697500" w:rsidRPr="00AA6144">
        <w:rPr>
          <w:rFonts w:eastAsia="Times-Roman"/>
          <w:color w:val="auto"/>
          <w:lang w:val="en-CA"/>
        </w:rPr>
        <w:t xml:space="preserve">5 of the Ontario </w:t>
      </w:r>
      <w:r w:rsidR="00697500" w:rsidRPr="00AA6144">
        <w:rPr>
          <w:rFonts w:eastAsia="Times-Roman"/>
          <w:i/>
          <w:color w:val="auto"/>
          <w:lang w:val="en-CA"/>
        </w:rPr>
        <w:t>Victims’ Bill of Rights</w:t>
      </w:r>
      <w:r w:rsidR="00697500" w:rsidRPr="00AA6144">
        <w:rPr>
          <w:rFonts w:eastAsia="Times-Roman"/>
          <w:color w:val="auto"/>
          <w:lang w:val="en-CA"/>
        </w:rPr>
        <w:t xml:space="preserve"> provides for a </w:t>
      </w:r>
      <w:r w:rsidR="00A51578" w:rsidRPr="00AA6144">
        <w:rPr>
          <w:rFonts w:eastAsia="Times-Roman"/>
          <w:color w:val="auto"/>
          <w:lang w:val="en-CA"/>
        </w:rPr>
        <w:t>“</w:t>
      </w:r>
      <w:r w:rsidR="00697500" w:rsidRPr="00AA6144">
        <w:rPr>
          <w:rFonts w:eastAsia="Times-Roman"/>
          <w:color w:val="auto"/>
          <w:lang w:val="en-CA"/>
        </w:rPr>
        <w:t>victim assistance justice fund account</w:t>
      </w:r>
      <w:r w:rsidR="00A51578" w:rsidRPr="00AA6144">
        <w:rPr>
          <w:rFonts w:eastAsia="Times-Roman"/>
          <w:color w:val="auto"/>
          <w:lang w:val="en-CA"/>
        </w:rPr>
        <w:t>”</w:t>
      </w:r>
      <w:r w:rsidR="009F1014" w:rsidRPr="00AA6144">
        <w:rPr>
          <w:rFonts w:eastAsia="Times-Roman"/>
          <w:color w:val="auto"/>
          <w:lang w:val="en-CA"/>
        </w:rPr>
        <w:t xml:space="preserve"> which is</w:t>
      </w:r>
      <w:r w:rsidR="00697500" w:rsidRPr="00AA6144">
        <w:rPr>
          <w:rFonts w:eastAsia="Times-Roman"/>
          <w:color w:val="auto"/>
          <w:lang w:val="en-CA"/>
        </w:rPr>
        <w:t xml:space="preserve"> to be used to assist victims, whether by supporting programs providing assistance directly to victims or </w:t>
      </w:r>
      <w:r w:rsidR="003B746E" w:rsidRPr="00AA6144">
        <w:rPr>
          <w:rFonts w:eastAsia="Times-Roman"/>
          <w:color w:val="auto"/>
          <w:lang w:val="en-CA"/>
        </w:rPr>
        <w:t>b</w:t>
      </w:r>
      <w:r w:rsidR="00697500" w:rsidRPr="00AA6144">
        <w:rPr>
          <w:rFonts w:eastAsia="Times-Roman"/>
          <w:color w:val="auto"/>
          <w:lang w:val="en-CA"/>
        </w:rPr>
        <w:t xml:space="preserve">y making grants to community agencies </w:t>
      </w:r>
      <w:r w:rsidR="009F1014" w:rsidRPr="00AA6144">
        <w:rPr>
          <w:rFonts w:eastAsia="Times-Roman"/>
          <w:color w:val="auto"/>
          <w:lang w:val="en-CA"/>
        </w:rPr>
        <w:t xml:space="preserve">that </w:t>
      </w:r>
      <w:r w:rsidR="00697500" w:rsidRPr="00AA6144">
        <w:rPr>
          <w:rFonts w:eastAsia="Times-Roman"/>
          <w:color w:val="auto"/>
          <w:lang w:val="en-CA"/>
        </w:rPr>
        <w:t>assist victims.</w:t>
      </w:r>
      <w:r w:rsidR="00697500" w:rsidRPr="00AA6144">
        <w:rPr>
          <w:rStyle w:val="FootnoteReference"/>
          <w:rFonts w:eastAsia="Times-Roman"/>
          <w:color w:val="auto"/>
          <w:lang w:val="en-CA"/>
        </w:rPr>
        <w:footnoteReference w:id="55"/>
      </w:r>
      <w:r w:rsidR="00697500" w:rsidRPr="00AA6144">
        <w:rPr>
          <w:rFonts w:eastAsia="Times-Roman"/>
          <w:color w:val="auto"/>
          <w:lang w:val="en-CA"/>
        </w:rPr>
        <w:t xml:space="preserve"> Similarly, article 11 of the Québec </w:t>
      </w:r>
      <w:r w:rsidR="00697500" w:rsidRPr="00AA6144">
        <w:rPr>
          <w:rFonts w:eastAsia="Times-Roman"/>
          <w:i/>
          <w:color w:val="auto"/>
          <w:lang w:val="en-CA"/>
        </w:rPr>
        <w:t xml:space="preserve">Act </w:t>
      </w:r>
      <w:r w:rsidR="009F1014" w:rsidRPr="00AA6144">
        <w:rPr>
          <w:rFonts w:eastAsia="Times-Roman"/>
          <w:i/>
          <w:color w:val="auto"/>
          <w:lang w:val="en-CA"/>
        </w:rPr>
        <w:t>R</w:t>
      </w:r>
      <w:r w:rsidR="00697500" w:rsidRPr="00AA6144">
        <w:rPr>
          <w:rFonts w:eastAsia="Times-Roman"/>
          <w:i/>
          <w:color w:val="auto"/>
          <w:lang w:val="en-CA"/>
        </w:rPr>
        <w:t xml:space="preserve">especting </w:t>
      </w:r>
      <w:r w:rsidR="009F1014" w:rsidRPr="00AA6144">
        <w:rPr>
          <w:rFonts w:eastAsia="Times-Roman"/>
          <w:i/>
          <w:color w:val="auto"/>
          <w:lang w:val="en-CA"/>
        </w:rPr>
        <w:t>A</w:t>
      </w:r>
      <w:r w:rsidR="00697500" w:rsidRPr="00AA6144">
        <w:rPr>
          <w:rFonts w:eastAsia="Times-Roman"/>
          <w:i/>
          <w:color w:val="auto"/>
          <w:lang w:val="en-CA"/>
        </w:rPr>
        <w:t xml:space="preserve">ssistance for </w:t>
      </w:r>
      <w:r w:rsidR="009F1014" w:rsidRPr="00AA6144">
        <w:rPr>
          <w:rFonts w:eastAsia="Times-Roman"/>
          <w:i/>
          <w:color w:val="auto"/>
          <w:lang w:val="en-CA"/>
        </w:rPr>
        <w:t>V</w:t>
      </w:r>
      <w:r w:rsidR="00697500" w:rsidRPr="00AA6144">
        <w:rPr>
          <w:rFonts w:eastAsia="Times-Roman"/>
          <w:i/>
          <w:color w:val="auto"/>
          <w:lang w:val="en-CA"/>
        </w:rPr>
        <w:t xml:space="preserve">ictims of </w:t>
      </w:r>
      <w:r w:rsidR="009F1014" w:rsidRPr="00AA6144">
        <w:rPr>
          <w:rFonts w:eastAsia="Times-Roman"/>
          <w:i/>
          <w:color w:val="auto"/>
          <w:lang w:val="en-CA"/>
        </w:rPr>
        <w:t>C</w:t>
      </w:r>
      <w:r w:rsidR="00697500" w:rsidRPr="00AA6144">
        <w:rPr>
          <w:rFonts w:eastAsia="Times-Roman"/>
          <w:i/>
          <w:color w:val="auto"/>
          <w:lang w:val="en-CA"/>
        </w:rPr>
        <w:t>rime</w:t>
      </w:r>
      <w:r w:rsidR="00697500" w:rsidRPr="00AA6144">
        <w:rPr>
          <w:rFonts w:eastAsia="Times-Roman"/>
          <w:color w:val="auto"/>
          <w:lang w:val="en-CA"/>
        </w:rPr>
        <w:t xml:space="preserve"> also provides for an assistance fund</w:t>
      </w:r>
      <w:r w:rsidR="00955D63" w:rsidRPr="00AA6144">
        <w:rPr>
          <w:rFonts w:eastAsia="Times-Roman"/>
          <w:color w:val="auto"/>
          <w:lang w:val="en-CA"/>
        </w:rPr>
        <w:t>,</w:t>
      </w:r>
      <w:r w:rsidR="00697500" w:rsidRPr="00AA6144">
        <w:rPr>
          <w:rFonts w:eastAsia="Times-Roman"/>
          <w:color w:val="auto"/>
          <w:lang w:val="en-CA"/>
        </w:rPr>
        <w:t xml:space="preserve"> the assets from which may be granted as financial assistance to further the development of victims</w:t>
      </w:r>
      <w:r w:rsidR="00955D63" w:rsidRPr="00AA6144">
        <w:rPr>
          <w:rFonts w:eastAsia="Times-Roman"/>
          <w:color w:val="auto"/>
          <w:lang w:val="en-CA"/>
        </w:rPr>
        <w:t>’</w:t>
      </w:r>
      <w:r w:rsidR="00697500" w:rsidRPr="00AA6144">
        <w:rPr>
          <w:rFonts w:eastAsia="Times-Roman"/>
          <w:color w:val="auto"/>
          <w:lang w:val="en-CA"/>
        </w:rPr>
        <w:t xml:space="preserve"> assistance services and to establish and maintain victims of crime assistance centres.</w:t>
      </w:r>
      <w:r w:rsidR="00697500" w:rsidRPr="00AA6144">
        <w:rPr>
          <w:rStyle w:val="FootnoteReference"/>
          <w:rFonts w:eastAsia="Times-Roman"/>
          <w:color w:val="auto"/>
          <w:lang w:val="en-CA"/>
        </w:rPr>
        <w:footnoteReference w:id="56"/>
      </w:r>
    </w:p>
    <w:p w14:paraId="77935466" w14:textId="6F19189D" w:rsidR="00FA4E9B" w:rsidRPr="00AA6144" w:rsidRDefault="00FA4E9B" w:rsidP="00E22E4D">
      <w:pPr>
        <w:pStyle w:val="AIBodyText"/>
        <w:rPr>
          <w:rFonts w:eastAsia="Times-Roman"/>
          <w:color w:val="auto"/>
          <w:lang w:val="en-CA"/>
        </w:rPr>
      </w:pPr>
      <w:r w:rsidRPr="00AA6144">
        <w:rPr>
          <w:rFonts w:eastAsia="Times-Roman"/>
          <w:color w:val="auto"/>
          <w:lang w:val="en-CA"/>
        </w:rPr>
        <w:t xml:space="preserve">The </w:t>
      </w:r>
      <w:r w:rsidRPr="00AA6144">
        <w:rPr>
          <w:rFonts w:eastAsia="Times-Roman"/>
          <w:i/>
          <w:color w:val="auto"/>
          <w:lang w:val="en-CA"/>
        </w:rPr>
        <w:t>Canadian Vic</w:t>
      </w:r>
      <w:r w:rsidR="00004B75" w:rsidRPr="00AA6144">
        <w:rPr>
          <w:rFonts w:eastAsia="Times-Roman"/>
          <w:i/>
          <w:color w:val="auto"/>
          <w:lang w:val="en-CA"/>
        </w:rPr>
        <w:t>tims Bill of Rights</w:t>
      </w:r>
      <w:r w:rsidR="00004B75" w:rsidRPr="00AA6144">
        <w:rPr>
          <w:rFonts w:eastAsia="Times-Roman"/>
          <w:color w:val="auto"/>
          <w:lang w:val="en-CA"/>
        </w:rPr>
        <w:t xml:space="preserve"> does not provide for specific support of victims in a similar way as the provincial legislation in Ontario and Quebec.</w:t>
      </w:r>
    </w:p>
    <w:p w14:paraId="5413DA17" w14:textId="77777777" w:rsidR="0004418C" w:rsidRPr="00AA6144" w:rsidRDefault="0040644D" w:rsidP="0004418C">
      <w:pPr>
        <w:pStyle w:val="Heading4"/>
        <w:rPr>
          <w:rFonts w:eastAsia="Times-Roman"/>
          <w:color w:val="auto"/>
          <w:lang w:val="en-CA"/>
        </w:rPr>
      </w:pPr>
      <w:bookmarkStart w:id="40" w:name="_Toc43382723"/>
      <w:r w:rsidRPr="00AA6144">
        <w:rPr>
          <w:rFonts w:eastAsia="Times-Roman"/>
          <w:color w:val="auto"/>
          <w:lang w:val="en-CA"/>
        </w:rPr>
        <w:t>2.5.3</w:t>
      </w:r>
      <w:r w:rsidR="0004418C" w:rsidRPr="00AA6144">
        <w:rPr>
          <w:rFonts w:eastAsia="Times-Roman"/>
          <w:color w:val="auto"/>
          <w:lang w:val="en-CA"/>
        </w:rPr>
        <w:t>.4. Notice</w:t>
      </w:r>
      <w:bookmarkEnd w:id="40"/>
    </w:p>
    <w:p w14:paraId="18A29427" w14:textId="77777777" w:rsidR="00A0442F" w:rsidRPr="00AA6144" w:rsidRDefault="0004418C" w:rsidP="0004418C">
      <w:pPr>
        <w:pStyle w:val="AIBodyText"/>
        <w:rPr>
          <w:rFonts w:eastAsia="Times-Roman"/>
          <w:color w:val="auto"/>
          <w:lang w:val="en-CA"/>
        </w:rPr>
      </w:pPr>
      <w:r w:rsidRPr="00AA6144">
        <w:rPr>
          <w:rFonts w:eastAsia="Times-Roman"/>
          <w:color w:val="auto"/>
          <w:lang w:val="en-CA"/>
        </w:rPr>
        <w:t xml:space="preserve">The right of victims to notice about all developments in the investigation, prosecution and appeal </w:t>
      </w:r>
      <w:r w:rsidR="003B746E" w:rsidRPr="00AA6144">
        <w:rPr>
          <w:rFonts w:eastAsia="Times-Roman"/>
          <w:color w:val="auto"/>
          <w:lang w:val="en-CA"/>
        </w:rPr>
        <w:t xml:space="preserve">stages of a case </w:t>
      </w:r>
      <w:r w:rsidRPr="00AA6144">
        <w:rPr>
          <w:rFonts w:eastAsia="Times-Roman"/>
          <w:color w:val="auto"/>
          <w:lang w:val="en-CA"/>
        </w:rPr>
        <w:t>is guaranteed in law and practice</w:t>
      </w:r>
      <w:r w:rsidR="003E597F" w:rsidRPr="00AA6144">
        <w:rPr>
          <w:rFonts w:eastAsia="Times-Roman"/>
          <w:color w:val="auto"/>
          <w:lang w:val="en-CA"/>
        </w:rPr>
        <w:t xml:space="preserve">. </w:t>
      </w:r>
      <w:r w:rsidR="009E4243" w:rsidRPr="00AA6144">
        <w:rPr>
          <w:rFonts w:eastAsia="Times-Roman"/>
          <w:color w:val="auto"/>
          <w:lang w:val="en-CA"/>
        </w:rPr>
        <w:t xml:space="preserve">Paragraphs 26(1)(a) and 142(1)(a) of the federal </w:t>
      </w:r>
      <w:r w:rsidR="009E4243" w:rsidRPr="00AA6144">
        <w:rPr>
          <w:rFonts w:eastAsia="Times-Roman"/>
          <w:i/>
          <w:color w:val="auto"/>
          <w:lang w:val="en-CA"/>
        </w:rPr>
        <w:t>Corrections and Conditional Release Act</w:t>
      </w:r>
      <w:r w:rsidR="00190095" w:rsidRPr="00AA6144">
        <w:rPr>
          <w:rStyle w:val="FootnoteReference"/>
          <w:rFonts w:eastAsia="Times-Roman"/>
          <w:i/>
          <w:color w:val="auto"/>
          <w:lang w:val="en-CA"/>
        </w:rPr>
        <w:footnoteReference w:id="57"/>
      </w:r>
      <w:r w:rsidR="009E4243" w:rsidRPr="00AA6144">
        <w:rPr>
          <w:rFonts w:eastAsia="Times-Roman"/>
          <w:i/>
          <w:color w:val="auto"/>
          <w:lang w:val="en-CA"/>
        </w:rPr>
        <w:t xml:space="preserve"> </w:t>
      </w:r>
      <w:r w:rsidR="009E4243" w:rsidRPr="00AA6144">
        <w:rPr>
          <w:rFonts w:eastAsia="Times-Roman"/>
          <w:color w:val="auto"/>
          <w:lang w:val="en-CA"/>
        </w:rPr>
        <w:t>require the Correctional Service of Canada and the Parole Board of Canada to disclose the following information to a victim: the offender’s name, the offence for which the offender was convicted and the court that convicted the offender, the date of commencement and length of the sentence that the offender is serving, and the eligibility dates and review dates applicable to the offender in respect of escorted and unescorted temporary absences or parole.</w:t>
      </w:r>
      <w:r w:rsidR="009E4243" w:rsidRPr="00AA6144">
        <w:rPr>
          <w:rStyle w:val="FootnoteReference"/>
          <w:rFonts w:eastAsia="Times-Roman"/>
          <w:color w:val="auto"/>
          <w:lang w:val="en-CA"/>
        </w:rPr>
        <w:footnoteReference w:id="58"/>
      </w:r>
      <w:r w:rsidR="009E4243" w:rsidRPr="00AA6144">
        <w:rPr>
          <w:rFonts w:eastAsia="Times-Roman"/>
          <w:color w:val="auto"/>
          <w:lang w:val="en-CA"/>
        </w:rPr>
        <w:t xml:space="preserve"> </w:t>
      </w:r>
    </w:p>
    <w:p w14:paraId="301A4FF2" w14:textId="440FFB4D" w:rsidR="0004418C" w:rsidRPr="00AA6144" w:rsidRDefault="00A0442F" w:rsidP="0004418C">
      <w:pPr>
        <w:pStyle w:val="AIBodyText"/>
        <w:rPr>
          <w:rFonts w:eastAsia="Times-Roman"/>
          <w:color w:val="auto"/>
          <w:lang w:val="en-CA"/>
        </w:rPr>
      </w:pPr>
      <w:r w:rsidRPr="00AA6144">
        <w:rPr>
          <w:rFonts w:eastAsia="Times-Roman"/>
          <w:color w:val="auto"/>
          <w:lang w:val="en-CA"/>
        </w:rPr>
        <w:t xml:space="preserve">In Ontario, </w:t>
      </w:r>
      <w:r w:rsidR="00094182" w:rsidRPr="00AA6144">
        <w:rPr>
          <w:rFonts w:eastAsia="Times-Roman"/>
          <w:color w:val="auto"/>
          <w:lang w:val="en-CA"/>
        </w:rPr>
        <w:t>sections</w:t>
      </w:r>
      <w:r w:rsidRPr="00AA6144">
        <w:rPr>
          <w:rFonts w:eastAsia="Times-Roman"/>
          <w:color w:val="auto"/>
          <w:lang w:val="en-CA"/>
        </w:rPr>
        <w:t xml:space="preserve"> 2(1)2 and 2(1)3 the </w:t>
      </w:r>
      <w:r w:rsidRPr="00AA6144">
        <w:rPr>
          <w:rFonts w:eastAsia="Times-Roman"/>
          <w:i/>
          <w:color w:val="auto"/>
          <w:lang w:val="en-CA"/>
        </w:rPr>
        <w:t xml:space="preserve">Victims’ Bill of Rights </w:t>
      </w:r>
      <w:r w:rsidR="0084240C" w:rsidRPr="00AA6144">
        <w:rPr>
          <w:rFonts w:eastAsia="Times-Roman"/>
          <w:color w:val="auto"/>
          <w:lang w:val="en-CA"/>
        </w:rPr>
        <w:t xml:space="preserve">articulate </w:t>
      </w:r>
      <w:r w:rsidRPr="00AA6144">
        <w:rPr>
          <w:rFonts w:eastAsia="Times-Roman"/>
          <w:color w:val="auto"/>
          <w:lang w:val="en-CA"/>
        </w:rPr>
        <w:t>th</w:t>
      </w:r>
      <w:r w:rsidR="0084240C" w:rsidRPr="00AA6144">
        <w:rPr>
          <w:rFonts w:eastAsia="Times-Roman"/>
          <w:color w:val="auto"/>
          <w:lang w:val="en-CA"/>
        </w:rPr>
        <w:t>ose</w:t>
      </w:r>
      <w:r w:rsidRPr="00AA6144">
        <w:rPr>
          <w:rFonts w:eastAsia="Times-Roman"/>
          <w:color w:val="auto"/>
          <w:lang w:val="en-CA"/>
        </w:rPr>
        <w:t xml:space="preserve"> aspects of the criminal justice process which victims have the right to information, including court procedures that relate to the prosecution, the dates, places and outcomes of all significant proceedings, the interim release and sentencing of the accused</w:t>
      </w:r>
      <w:r w:rsidR="008B7FCB" w:rsidRPr="00AA6144">
        <w:rPr>
          <w:rFonts w:eastAsia="Times-Roman"/>
          <w:color w:val="auto"/>
          <w:lang w:val="en-CA"/>
        </w:rPr>
        <w:t>.</w:t>
      </w:r>
      <w:r w:rsidRPr="00AA6144">
        <w:rPr>
          <w:rStyle w:val="FootnoteReference"/>
          <w:rFonts w:eastAsia="Times-Roman"/>
          <w:color w:val="auto"/>
          <w:lang w:val="en-CA"/>
        </w:rPr>
        <w:footnoteReference w:id="59"/>
      </w:r>
      <w:r w:rsidRPr="00AA6144">
        <w:rPr>
          <w:rFonts w:eastAsia="Times-Roman"/>
          <w:color w:val="auto"/>
          <w:lang w:val="en-CA"/>
        </w:rPr>
        <w:t xml:space="preserve"> </w:t>
      </w:r>
      <w:r w:rsidR="00994C5A" w:rsidRPr="00AA6144">
        <w:rPr>
          <w:rFonts w:eastAsia="Times-Roman"/>
          <w:color w:val="auto"/>
          <w:lang w:val="en-CA"/>
        </w:rPr>
        <w:t xml:space="preserve">Article 4 of Québec’s </w:t>
      </w:r>
      <w:r w:rsidR="00994C5A" w:rsidRPr="00AA6144">
        <w:rPr>
          <w:rFonts w:eastAsia="Times-Roman"/>
          <w:i/>
          <w:color w:val="auto"/>
          <w:lang w:val="en-CA"/>
        </w:rPr>
        <w:t xml:space="preserve">Act </w:t>
      </w:r>
      <w:r w:rsidR="00955D63" w:rsidRPr="00AA6144">
        <w:rPr>
          <w:rFonts w:eastAsia="Times-Roman"/>
          <w:i/>
          <w:color w:val="auto"/>
          <w:lang w:val="en-CA"/>
        </w:rPr>
        <w:t>Respecting A</w:t>
      </w:r>
      <w:r w:rsidR="00994C5A" w:rsidRPr="00AA6144">
        <w:rPr>
          <w:rFonts w:eastAsia="Times-Roman"/>
          <w:i/>
          <w:color w:val="auto"/>
          <w:lang w:val="en-CA"/>
        </w:rPr>
        <w:t xml:space="preserve">ssistance for </w:t>
      </w:r>
      <w:r w:rsidR="00955D63" w:rsidRPr="00AA6144">
        <w:rPr>
          <w:rFonts w:eastAsia="Times-Roman"/>
          <w:i/>
          <w:color w:val="auto"/>
          <w:lang w:val="en-CA"/>
        </w:rPr>
        <w:t>V</w:t>
      </w:r>
      <w:r w:rsidR="00994C5A" w:rsidRPr="00AA6144">
        <w:rPr>
          <w:rFonts w:eastAsia="Times-Roman"/>
          <w:i/>
          <w:color w:val="auto"/>
          <w:lang w:val="en-CA"/>
        </w:rPr>
        <w:t xml:space="preserve">ictims of </w:t>
      </w:r>
      <w:r w:rsidR="00955D63" w:rsidRPr="00AA6144">
        <w:rPr>
          <w:rFonts w:eastAsia="Times-Roman"/>
          <w:i/>
          <w:color w:val="auto"/>
          <w:lang w:val="en-CA"/>
        </w:rPr>
        <w:t>C</w:t>
      </w:r>
      <w:r w:rsidR="00994C5A" w:rsidRPr="00AA6144">
        <w:rPr>
          <w:rFonts w:eastAsia="Times-Roman"/>
          <w:i/>
          <w:color w:val="auto"/>
          <w:lang w:val="en-CA"/>
        </w:rPr>
        <w:t>rime</w:t>
      </w:r>
      <w:r w:rsidR="00994C5A" w:rsidRPr="00AA6144">
        <w:rPr>
          <w:rFonts w:eastAsia="Times-Roman"/>
          <w:color w:val="auto"/>
          <w:lang w:val="en-CA"/>
        </w:rPr>
        <w:t xml:space="preserve"> guarantees that victims have the right to be informed of the progress and final disposition of the case on request, and article 5 guarantees that victims have the right to be informed, on request, of the progress and outcome of police investigations to </w:t>
      </w:r>
      <w:r w:rsidR="0084240C" w:rsidRPr="00AA6144">
        <w:rPr>
          <w:rFonts w:eastAsia="Times-Roman"/>
          <w:color w:val="auto"/>
          <w:lang w:val="en-CA"/>
        </w:rPr>
        <w:t xml:space="preserve">the </w:t>
      </w:r>
      <w:r w:rsidR="00994C5A" w:rsidRPr="00AA6144">
        <w:rPr>
          <w:rFonts w:eastAsia="Times-Roman"/>
          <w:color w:val="auto"/>
          <w:lang w:val="en-CA"/>
        </w:rPr>
        <w:t>extent possibl</w:t>
      </w:r>
      <w:r w:rsidR="0084240C" w:rsidRPr="00AA6144">
        <w:rPr>
          <w:rFonts w:eastAsia="Times-Roman"/>
          <w:color w:val="auto"/>
          <w:lang w:val="en-CA"/>
        </w:rPr>
        <w:t xml:space="preserve">e, </w:t>
      </w:r>
      <w:r w:rsidR="00994C5A" w:rsidRPr="00AA6144">
        <w:rPr>
          <w:rFonts w:eastAsia="Times-Roman"/>
          <w:color w:val="auto"/>
          <w:lang w:val="en-CA"/>
        </w:rPr>
        <w:t xml:space="preserve">if </w:t>
      </w:r>
      <w:r w:rsidR="00955D63" w:rsidRPr="00AA6144">
        <w:rPr>
          <w:rFonts w:eastAsia="Times-Roman"/>
          <w:color w:val="auto"/>
          <w:lang w:val="en-CA"/>
        </w:rPr>
        <w:t xml:space="preserve">it is </w:t>
      </w:r>
      <w:r w:rsidR="00994C5A" w:rsidRPr="00AA6144">
        <w:rPr>
          <w:rFonts w:eastAsia="Times-Roman"/>
          <w:color w:val="auto"/>
          <w:lang w:val="en-CA"/>
        </w:rPr>
        <w:t>not inconsistent with the public interest.</w:t>
      </w:r>
      <w:r w:rsidR="00994C5A" w:rsidRPr="00AA6144">
        <w:rPr>
          <w:rStyle w:val="FootnoteReference"/>
          <w:rFonts w:eastAsia="Times-Roman"/>
          <w:color w:val="auto"/>
          <w:lang w:val="en-CA"/>
        </w:rPr>
        <w:footnoteReference w:id="60"/>
      </w:r>
      <w:r w:rsidR="009C219C" w:rsidRPr="00AA6144">
        <w:rPr>
          <w:rFonts w:eastAsia="Times-Roman"/>
          <w:color w:val="auto"/>
          <w:lang w:val="en-CA"/>
        </w:rPr>
        <w:t xml:space="preserve"> </w:t>
      </w:r>
      <w:r w:rsidR="00004B75" w:rsidRPr="00AA6144">
        <w:rPr>
          <w:rFonts w:eastAsia="Times-Roman"/>
          <w:color w:val="auto"/>
          <w:lang w:val="en-CA"/>
        </w:rPr>
        <w:t>Article 6</w:t>
      </w:r>
      <w:r w:rsidR="00BA247A" w:rsidRPr="00AA6144">
        <w:rPr>
          <w:rFonts w:eastAsia="Times-Roman"/>
          <w:color w:val="auto"/>
          <w:lang w:val="en-CA"/>
        </w:rPr>
        <w:t xml:space="preserve"> </w:t>
      </w:r>
      <w:r w:rsidR="00004B75" w:rsidRPr="00AA6144">
        <w:rPr>
          <w:rFonts w:eastAsia="Times-Roman"/>
          <w:color w:val="auto"/>
          <w:lang w:val="en-CA"/>
        </w:rPr>
        <w:t xml:space="preserve"> of t</w:t>
      </w:r>
      <w:r w:rsidR="009C219C" w:rsidRPr="00AA6144">
        <w:rPr>
          <w:rFonts w:eastAsia="Times-Roman"/>
          <w:color w:val="auto"/>
          <w:lang w:val="en-CA"/>
        </w:rPr>
        <w:t xml:space="preserve">he </w:t>
      </w:r>
      <w:r w:rsidR="009C219C" w:rsidRPr="00AA6144">
        <w:rPr>
          <w:rFonts w:eastAsia="Times-Roman"/>
          <w:i/>
          <w:color w:val="auto"/>
          <w:lang w:val="en-CA"/>
        </w:rPr>
        <w:t>C</w:t>
      </w:r>
      <w:r w:rsidR="00004B75" w:rsidRPr="00AA6144">
        <w:rPr>
          <w:rFonts w:eastAsia="Times-Roman"/>
          <w:i/>
          <w:color w:val="auto"/>
          <w:lang w:val="en-CA"/>
        </w:rPr>
        <w:t>anadian Victims Bill of Rights</w:t>
      </w:r>
      <w:r w:rsidR="009C219C" w:rsidRPr="00AA6144">
        <w:rPr>
          <w:rFonts w:eastAsia="Times-Roman"/>
          <w:color w:val="auto"/>
          <w:lang w:val="en-CA"/>
        </w:rPr>
        <w:t xml:space="preserve"> </w:t>
      </w:r>
      <w:r w:rsidR="004A29C6" w:rsidRPr="00AA6144">
        <w:rPr>
          <w:rFonts w:eastAsia="Times-Roman"/>
          <w:color w:val="auto"/>
          <w:lang w:val="en-CA"/>
        </w:rPr>
        <w:t>protects victims’ right</w:t>
      </w:r>
      <w:r w:rsidR="00004B75" w:rsidRPr="00AA6144">
        <w:rPr>
          <w:rFonts w:eastAsia="Times-Roman"/>
          <w:color w:val="auto"/>
          <w:lang w:val="en-CA"/>
        </w:rPr>
        <w:t>s</w:t>
      </w:r>
      <w:r w:rsidR="004A29C6" w:rsidRPr="00AA6144">
        <w:rPr>
          <w:rFonts w:eastAsia="Times-Roman"/>
          <w:color w:val="auto"/>
          <w:lang w:val="en-CA"/>
        </w:rPr>
        <w:t xml:space="preserve"> to request general informatio</w:t>
      </w:r>
      <w:r w:rsidR="00797589" w:rsidRPr="00AA6144">
        <w:rPr>
          <w:rFonts w:eastAsia="Times-Roman"/>
          <w:color w:val="auto"/>
          <w:lang w:val="en-CA"/>
        </w:rPr>
        <w:t>n</w:t>
      </w:r>
      <w:r w:rsidR="00004B75" w:rsidRPr="00AA6144">
        <w:rPr>
          <w:rFonts w:eastAsia="Times-Roman"/>
          <w:color w:val="auto"/>
          <w:lang w:val="en-CA"/>
        </w:rPr>
        <w:t>,</w:t>
      </w:r>
      <w:r w:rsidR="00BA247A" w:rsidRPr="00AA6144">
        <w:rPr>
          <w:rStyle w:val="FootnoteReference"/>
          <w:rFonts w:eastAsia="Times-Roman"/>
          <w:color w:val="auto"/>
          <w:lang w:val="en-CA"/>
        </w:rPr>
        <w:t xml:space="preserve"> </w:t>
      </w:r>
      <w:r w:rsidR="00BA247A" w:rsidRPr="00AA6144">
        <w:rPr>
          <w:rStyle w:val="FootnoteReference"/>
          <w:rFonts w:eastAsia="Times-Roman"/>
          <w:color w:val="auto"/>
          <w:lang w:val="en-CA"/>
        </w:rPr>
        <w:footnoteReference w:id="61"/>
      </w:r>
      <w:r w:rsidR="00004B75" w:rsidRPr="00AA6144">
        <w:rPr>
          <w:rFonts w:eastAsia="Times-Roman"/>
          <w:color w:val="auto"/>
          <w:lang w:val="en-CA"/>
        </w:rPr>
        <w:t xml:space="preserve"> </w:t>
      </w:r>
      <w:r w:rsidR="00BB2BB2" w:rsidRPr="00AA6144">
        <w:rPr>
          <w:rFonts w:eastAsia="Times-Roman"/>
          <w:color w:val="auto"/>
          <w:lang w:val="en-CA"/>
        </w:rPr>
        <w:t>a</w:t>
      </w:r>
      <w:r w:rsidR="00004B75" w:rsidRPr="00AA6144">
        <w:rPr>
          <w:rFonts w:eastAsia="Times-Roman"/>
          <w:color w:val="auto"/>
          <w:lang w:val="en-CA"/>
        </w:rPr>
        <w:t>rticle 7 protects the right to request</w:t>
      </w:r>
      <w:r w:rsidR="00797589" w:rsidRPr="00AA6144">
        <w:rPr>
          <w:rFonts w:eastAsia="Times-Roman"/>
          <w:color w:val="auto"/>
          <w:lang w:val="en-CA"/>
        </w:rPr>
        <w:t xml:space="preserve"> case-specific information on the status of</w:t>
      </w:r>
      <w:r w:rsidR="004A29C6" w:rsidRPr="00AA6144">
        <w:rPr>
          <w:rFonts w:eastAsia="Times-Roman"/>
          <w:color w:val="auto"/>
          <w:lang w:val="en-CA"/>
        </w:rPr>
        <w:t xml:space="preserve"> the investigation and proceedings,</w:t>
      </w:r>
      <w:r w:rsidR="00BA247A" w:rsidRPr="00AA6144">
        <w:rPr>
          <w:rStyle w:val="FootnoteReference"/>
          <w:rFonts w:eastAsia="Times-Roman"/>
          <w:color w:val="auto"/>
          <w:lang w:val="en-CA"/>
        </w:rPr>
        <w:t xml:space="preserve"> </w:t>
      </w:r>
      <w:r w:rsidR="00BA247A" w:rsidRPr="00AA6144">
        <w:rPr>
          <w:rStyle w:val="FootnoteReference"/>
          <w:rFonts w:eastAsia="Times-Roman"/>
          <w:color w:val="auto"/>
          <w:lang w:val="en-CA"/>
        </w:rPr>
        <w:footnoteReference w:id="62"/>
      </w:r>
      <w:r w:rsidR="00BA247A" w:rsidRPr="00AA6144">
        <w:rPr>
          <w:rFonts w:eastAsia="Times-Roman"/>
          <w:color w:val="auto"/>
          <w:lang w:val="en-CA"/>
        </w:rPr>
        <w:t xml:space="preserve"> </w:t>
      </w:r>
      <w:r w:rsidR="004A29C6" w:rsidRPr="00AA6144">
        <w:rPr>
          <w:rFonts w:eastAsia="Times-Roman"/>
          <w:color w:val="auto"/>
          <w:lang w:val="en-CA"/>
        </w:rPr>
        <w:t xml:space="preserve"> and </w:t>
      </w:r>
      <w:r w:rsidR="00BB2BB2" w:rsidRPr="00AA6144">
        <w:rPr>
          <w:rFonts w:eastAsia="Times-Roman"/>
          <w:color w:val="auto"/>
          <w:lang w:val="en-CA"/>
        </w:rPr>
        <w:t>a</w:t>
      </w:r>
      <w:r w:rsidR="00004B75" w:rsidRPr="00AA6144">
        <w:rPr>
          <w:rFonts w:eastAsia="Times-Roman"/>
          <w:color w:val="auto"/>
          <w:lang w:val="en-CA"/>
        </w:rPr>
        <w:t xml:space="preserve">rticle 8 protects the right to request </w:t>
      </w:r>
      <w:r w:rsidR="004A29C6" w:rsidRPr="00AA6144">
        <w:rPr>
          <w:rFonts w:eastAsia="Times-Roman"/>
          <w:color w:val="auto"/>
          <w:lang w:val="en-CA"/>
        </w:rPr>
        <w:t xml:space="preserve">information about </w:t>
      </w:r>
      <w:r w:rsidR="00797589" w:rsidRPr="00AA6144">
        <w:rPr>
          <w:rFonts w:eastAsia="Times-Roman"/>
          <w:color w:val="auto"/>
          <w:lang w:val="en-CA"/>
        </w:rPr>
        <w:t xml:space="preserve">the </w:t>
      </w:r>
      <w:r w:rsidR="004A29C6" w:rsidRPr="00AA6144">
        <w:rPr>
          <w:rFonts w:eastAsia="Times-Roman"/>
          <w:color w:val="auto"/>
          <w:lang w:val="en-CA"/>
        </w:rPr>
        <w:t>offender or accused.</w:t>
      </w:r>
      <w:r w:rsidR="004A29C6" w:rsidRPr="00AA6144">
        <w:rPr>
          <w:rStyle w:val="FootnoteReference"/>
          <w:rFonts w:eastAsia="Times-Roman"/>
          <w:color w:val="auto"/>
          <w:lang w:val="en-CA"/>
        </w:rPr>
        <w:footnoteReference w:id="63"/>
      </w:r>
      <w:r w:rsidR="004A29C6" w:rsidRPr="00AA6144">
        <w:rPr>
          <w:rFonts w:eastAsia="Times-Roman"/>
          <w:color w:val="auto"/>
          <w:lang w:val="en-CA"/>
        </w:rPr>
        <w:t xml:space="preserve"> </w:t>
      </w:r>
    </w:p>
    <w:p w14:paraId="7C79BE18" w14:textId="77777777" w:rsidR="00626D0B" w:rsidRPr="00AA6144" w:rsidRDefault="0040644D" w:rsidP="005B3735">
      <w:pPr>
        <w:pStyle w:val="Heading4"/>
        <w:rPr>
          <w:rFonts w:eastAsia="Times-Roman"/>
          <w:caps/>
          <w:color w:val="auto"/>
          <w:lang w:val="en-CA"/>
        </w:rPr>
      </w:pPr>
      <w:bookmarkStart w:id="41" w:name="_Toc43382724"/>
      <w:r w:rsidRPr="00AA6144">
        <w:rPr>
          <w:rFonts w:eastAsia="Times-Roman"/>
          <w:caps/>
          <w:color w:val="auto"/>
          <w:lang w:val="en-CA"/>
        </w:rPr>
        <w:t>2.5.3</w:t>
      </w:r>
      <w:r w:rsidR="00E22E4D" w:rsidRPr="00AA6144">
        <w:rPr>
          <w:rFonts w:eastAsia="Times-Roman"/>
          <w:caps/>
          <w:color w:val="auto"/>
          <w:lang w:val="en-CA"/>
        </w:rPr>
        <w:t>.</w:t>
      </w:r>
      <w:r w:rsidR="0004418C" w:rsidRPr="00AA6144">
        <w:rPr>
          <w:rFonts w:eastAsia="Times-Roman"/>
          <w:caps/>
          <w:color w:val="auto"/>
          <w:lang w:val="en-CA"/>
        </w:rPr>
        <w:t>5</w:t>
      </w:r>
      <w:r w:rsidR="00E22E4D" w:rsidRPr="00AA6144">
        <w:rPr>
          <w:rFonts w:eastAsia="Times-Roman"/>
          <w:caps/>
          <w:color w:val="auto"/>
          <w:lang w:val="en-CA"/>
        </w:rPr>
        <w:t xml:space="preserve">. </w:t>
      </w:r>
      <w:r w:rsidR="005B3735" w:rsidRPr="00AA6144">
        <w:rPr>
          <w:rFonts w:eastAsia="Times-Roman"/>
          <w:color w:val="auto"/>
          <w:lang w:val="en-CA"/>
        </w:rPr>
        <w:t>P</w:t>
      </w:r>
      <w:r w:rsidR="00E22E4D" w:rsidRPr="00AA6144">
        <w:rPr>
          <w:rFonts w:eastAsia="Times-Roman"/>
          <w:color w:val="auto"/>
          <w:lang w:val="en-CA"/>
        </w:rPr>
        <w:t>articipation</w:t>
      </w:r>
      <w:bookmarkEnd w:id="41"/>
    </w:p>
    <w:p w14:paraId="657E8DFC" w14:textId="77777777" w:rsidR="00626D0B" w:rsidRPr="00AA6144" w:rsidRDefault="00626D0B" w:rsidP="005B3735">
      <w:pPr>
        <w:pStyle w:val="AIBodyText"/>
        <w:rPr>
          <w:color w:val="auto"/>
          <w:lang w:val="en-CA"/>
        </w:rPr>
      </w:pPr>
      <w:r w:rsidRPr="00AA6144">
        <w:rPr>
          <w:color w:val="auto"/>
          <w:lang w:val="en-CA"/>
        </w:rPr>
        <w:t xml:space="preserve">The right of victims to participate in </w:t>
      </w:r>
      <w:r w:rsidR="00994C5A" w:rsidRPr="00AA6144">
        <w:rPr>
          <w:color w:val="auto"/>
          <w:lang w:val="en-CA"/>
        </w:rPr>
        <w:t xml:space="preserve">some </w:t>
      </w:r>
      <w:r w:rsidRPr="00AA6144">
        <w:rPr>
          <w:color w:val="auto"/>
          <w:lang w:val="en-CA"/>
        </w:rPr>
        <w:t xml:space="preserve">pre-trial, </w:t>
      </w:r>
      <w:proofErr w:type="gramStart"/>
      <w:r w:rsidRPr="00AA6144">
        <w:rPr>
          <w:color w:val="auto"/>
          <w:lang w:val="en-CA"/>
        </w:rPr>
        <w:t>trial</w:t>
      </w:r>
      <w:proofErr w:type="gramEnd"/>
      <w:r w:rsidRPr="00AA6144">
        <w:rPr>
          <w:color w:val="auto"/>
          <w:lang w:val="en-CA"/>
        </w:rPr>
        <w:t xml:space="preserve"> and appellate proceedings</w:t>
      </w:r>
      <w:r w:rsidR="005B3735" w:rsidRPr="00AA6144">
        <w:rPr>
          <w:color w:val="auto"/>
          <w:lang w:val="en-CA"/>
        </w:rPr>
        <w:t xml:space="preserve"> </w:t>
      </w:r>
      <w:r w:rsidR="00545D48" w:rsidRPr="00AA6144">
        <w:rPr>
          <w:color w:val="auto"/>
          <w:lang w:val="en-CA"/>
        </w:rPr>
        <w:t>are guaranteed</w:t>
      </w:r>
      <w:r w:rsidR="007D64FC" w:rsidRPr="00AA6144">
        <w:rPr>
          <w:color w:val="auto"/>
          <w:lang w:val="en-CA"/>
        </w:rPr>
        <w:t xml:space="preserve"> in </w:t>
      </w:r>
      <w:r w:rsidR="007D64FC" w:rsidRPr="00AA6144">
        <w:rPr>
          <w:color w:val="auto"/>
          <w:lang w:val="en-CA"/>
        </w:rPr>
        <w:lastRenderedPageBreak/>
        <w:t>law and practice</w:t>
      </w:r>
      <w:r w:rsidR="00545D48" w:rsidRPr="00AA6144">
        <w:rPr>
          <w:color w:val="auto"/>
          <w:lang w:val="en-CA"/>
        </w:rPr>
        <w:t xml:space="preserve">. </w:t>
      </w:r>
      <w:r w:rsidR="00E874CA" w:rsidRPr="00AA6144">
        <w:rPr>
          <w:color w:val="auto"/>
          <w:lang w:val="en-CA"/>
        </w:rPr>
        <w:t xml:space="preserve">Victims have the right to participate in sentencing proceedings by filing a Victim Impact Statement, as per section 722 of the </w:t>
      </w:r>
      <w:r w:rsidR="00E874CA" w:rsidRPr="00AA6144">
        <w:rPr>
          <w:i/>
          <w:color w:val="auto"/>
          <w:lang w:val="en-CA"/>
        </w:rPr>
        <w:t>Criminal Code</w:t>
      </w:r>
      <w:r w:rsidR="00E874CA" w:rsidRPr="00AA6144">
        <w:rPr>
          <w:color w:val="auto"/>
          <w:lang w:val="en-CA"/>
        </w:rPr>
        <w:t>.</w:t>
      </w:r>
      <w:r w:rsidR="00545D48" w:rsidRPr="00AA6144">
        <w:rPr>
          <w:rStyle w:val="FootnoteReference"/>
          <w:color w:val="auto"/>
          <w:lang w:val="en-CA"/>
        </w:rPr>
        <w:footnoteReference w:id="64"/>
      </w:r>
      <w:r w:rsidR="00545D48" w:rsidRPr="00AA6144">
        <w:rPr>
          <w:color w:val="auto"/>
          <w:lang w:val="en-CA"/>
        </w:rPr>
        <w:t xml:space="preserve"> This consists of a written statement made by the victim that describes the harm done to the victim and the effect the crime has had on his or her life</w:t>
      </w:r>
      <w:r w:rsidR="007D64FC" w:rsidRPr="00AA6144">
        <w:rPr>
          <w:color w:val="auto"/>
          <w:lang w:val="en-CA"/>
        </w:rPr>
        <w:t xml:space="preserve">. The Victim Impact Statement </w:t>
      </w:r>
      <w:r w:rsidR="00545D48" w:rsidRPr="00AA6144">
        <w:rPr>
          <w:color w:val="auto"/>
          <w:lang w:val="en-CA"/>
        </w:rPr>
        <w:t>will b</w:t>
      </w:r>
      <w:r w:rsidR="0016371F" w:rsidRPr="00AA6144">
        <w:rPr>
          <w:color w:val="auto"/>
          <w:lang w:val="en-CA"/>
        </w:rPr>
        <w:t xml:space="preserve">e </w:t>
      </w:r>
      <w:proofErr w:type="gramStart"/>
      <w:r w:rsidR="0016371F" w:rsidRPr="00AA6144">
        <w:rPr>
          <w:color w:val="auto"/>
          <w:lang w:val="en-CA"/>
        </w:rPr>
        <w:t>taken into account</w:t>
      </w:r>
      <w:proofErr w:type="gramEnd"/>
      <w:r w:rsidR="0016371F" w:rsidRPr="00AA6144">
        <w:rPr>
          <w:color w:val="auto"/>
          <w:lang w:val="en-CA"/>
        </w:rPr>
        <w:t xml:space="preserve"> by judges when considering sentencing.</w:t>
      </w:r>
      <w:r w:rsidR="0016371F" w:rsidRPr="00AA6144">
        <w:rPr>
          <w:rStyle w:val="FootnoteReference"/>
          <w:color w:val="auto"/>
          <w:lang w:val="en-CA"/>
        </w:rPr>
        <w:footnoteReference w:id="65"/>
      </w:r>
    </w:p>
    <w:p w14:paraId="4319F2B5" w14:textId="28C4408B" w:rsidR="0016371F" w:rsidRPr="00AA6144" w:rsidRDefault="0016371F" w:rsidP="005B3735">
      <w:pPr>
        <w:pStyle w:val="AIBodyText"/>
        <w:rPr>
          <w:rFonts w:eastAsia="Times-Roman"/>
          <w:color w:val="auto"/>
          <w:lang w:val="en-CA"/>
        </w:rPr>
      </w:pPr>
      <w:r w:rsidRPr="00AA6144">
        <w:rPr>
          <w:color w:val="auto"/>
          <w:lang w:val="en-CA"/>
        </w:rPr>
        <w:t xml:space="preserve">In Québec, article 3(4) of the </w:t>
      </w:r>
      <w:r w:rsidRPr="00AA6144">
        <w:rPr>
          <w:rFonts w:eastAsia="Times-Roman"/>
          <w:i/>
          <w:color w:val="auto"/>
          <w:lang w:val="en-CA"/>
        </w:rPr>
        <w:t xml:space="preserve">Act </w:t>
      </w:r>
      <w:r w:rsidR="00955D63" w:rsidRPr="00AA6144">
        <w:rPr>
          <w:rFonts w:eastAsia="Times-Roman"/>
          <w:i/>
          <w:color w:val="auto"/>
          <w:lang w:val="en-CA"/>
        </w:rPr>
        <w:t>R</w:t>
      </w:r>
      <w:r w:rsidRPr="00AA6144">
        <w:rPr>
          <w:rFonts w:eastAsia="Times-Roman"/>
          <w:i/>
          <w:color w:val="auto"/>
          <w:lang w:val="en-CA"/>
        </w:rPr>
        <w:t xml:space="preserve">especting </w:t>
      </w:r>
      <w:r w:rsidR="00955D63" w:rsidRPr="00AA6144">
        <w:rPr>
          <w:rFonts w:eastAsia="Times-Roman"/>
          <w:i/>
          <w:color w:val="auto"/>
          <w:lang w:val="en-CA"/>
        </w:rPr>
        <w:t>A</w:t>
      </w:r>
      <w:r w:rsidRPr="00AA6144">
        <w:rPr>
          <w:rFonts w:eastAsia="Times-Roman"/>
          <w:i/>
          <w:color w:val="auto"/>
          <w:lang w:val="en-CA"/>
        </w:rPr>
        <w:t xml:space="preserve">ssistance for </w:t>
      </w:r>
      <w:r w:rsidR="00955D63" w:rsidRPr="00AA6144">
        <w:rPr>
          <w:rFonts w:eastAsia="Times-Roman"/>
          <w:i/>
          <w:color w:val="auto"/>
          <w:lang w:val="en-CA"/>
        </w:rPr>
        <w:t>V</w:t>
      </w:r>
      <w:r w:rsidRPr="00AA6144">
        <w:rPr>
          <w:rFonts w:eastAsia="Times-Roman"/>
          <w:i/>
          <w:color w:val="auto"/>
          <w:lang w:val="en-CA"/>
        </w:rPr>
        <w:t xml:space="preserve">ictims of </w:t>
      </w:r>
      <w:r w:rsidR="00955D63" w:rsidRPr="00AA6144">
        <w:rPr>
          <w:rFonts w:eastAsia="Times-Roman"/>
          <w:i/>
          <w:color w:val="auto"/>
          <w:lang w:val="en-CA"/>
        </w:rPr>
        <w:t>C</w:t>
      </w:r>
      <w:r w:rsidRPr="00AA6144">
        <w:rPr>
          <w:rFonts w:eastAsia="Times-Roman"/>
          <w:i/>
          <w:color w:val="auto"/>
          <w:lang w:val="en-CA"/>
        </w:rPr>
        <w:t>rime</w:t>
      </w:r>
      <w:r w:rsidRPr="00AA6144">
        <w:rPr>
          <w:rFonts w:eastAsia="Times-Roman"/>
          <w:color w:val="auto"/>
          <w:lang w:val="en-CA"/>
        </w:rPr>
        <w:t xml:space="preserve"> stipulates that victims have a right to due consideration of their views and concerns at the appropriate stages of the proceedings, where their personal interests</w:t>
      </w:r>
      <w:r w:rsidR="007D64FC" w:rsidRPr="00AA6144">
        <w:rPr>
          <w:rFonts w:eastAsia="Times-Roman"/>
          <w:color w:val="auto"/>
          <w:lang w:val="en-CA"/>
        </w:rPr>
        <w:t xml:space="preserve"> are affected</w:t>
      </w:r>
      <w:r w:rsidRPr="00AA6144">
        <w:rPr>
          <w:rFonts w:eastAsia="Times-Roman"/>
          <w:color w:val="auto"/>
          <w:lang w:val="en-CA"/>
        </w:rPr>
        <w:t>.</w:t>
      </w:r>
      <w:r w:rsidRPr="00AA6144">
        <w:rPr>
          <w:rStyle w:val="FootnoteReference"/>
          <w:rFonts w:eastAsia="Times-Roman"/>
          <w:color w:val="auto"/>
          <w:lang w:val="en-CA"/>
        </w:rPr>
        <w:footnoteReference w:id="66"/>
      </w:r>
    </w:p>
    <w:p w14:paraId="0BECD5FD" w14:textId="137E0846" w:rsidR="00167C90" w:rsidRPr="00AA6144" w:rsidRDefault="00167C90" w:rsidP="005B3735">
      <w:pPr>
        <w:pStyle w:val="AIBodyText"/>
        <w:rPr>
          <w:color w:val="auto"/>
          <w:lang w:val="en-CA"/>
        </w:rPr>
      </w:pPr>
      <w:r w:rsidRPr="00AA6144">
        <w:rPr>
          <w:color w:val="auto"/>
          <w:lang w:val="en-CA"/>
        </w:rPr>
        <w:t xml:space="preserve">The </w:t>
      </w:r>
      <w:r w:rsidRPr="00AA6144">
        <w:rPr>
          <w:rFonts w:eastAsia="Times-Roman"/>
          <w:i/>
          <w:color w:val="auto"/>
          <w:lang w:val="en-CA"/>
        </w:rPr>
        <w:t>Canadian Victims Bill of Rights</w:t>
      </w:r>
      <w:r w:rsidRPr="00AA6144">
        <w:rPr>
          <w:color w:val="auto"/>
          <w:lang w:val="en-CA"/>
        </w:rPr>
        <w:t xml:space="preserve"> asserts, in article 14, that every victim has the right to convey their view on decisions made by the authorities and to have those views considered as well as,</w:t>
      </w:r>
      <w:r w:rsidR="00BA247A" w:rsidRPr="00AA6144">
        <w:rPr>
          <w:rStyle w:val="FootnoteReference"/>
          <w:color w:val="auto"/>
          <w:lang w:val="en-CA"/>
        </w:rPr>
        <w:footnoteReference w:id="67"/>
      </w:r>
      <w:r w:rsidRPr="00AA6144">
        <w:rPr>
          <w:color w:val="auto"/>
          <w:lang w:val="en-CA"/>
        </w:rPr>
        <w:t xml:space="preserve"> in article 15, to present and have considered a victim impact statement.</w:t>
      </w:r>
      <w:r w:rsidRPr="00AA6144">
        <w:rPr>
          <w:rStyle w:val="FootnoteReference"/>
          <w:color w:val="auto"/>
          <w:lang w:val="en-CA"/>
        </w:rPr>
        <w:footnoteReference w:id="68"/>
      </w:r>
    </w:p>
    <w:p w14:paraId="5580F4C0" w14:textId="77777777" w:rsidR="00626D0B" w:rsidRPr="00AA6144" w:rsidRDefault="0040644D" w:rsidP="005B3735">
      <w:pPr>
        <w:pStyle w:val="Heading4"/>
        <w:rPr>
          <w:rFonts w:eastAsia="Times-Roman"/>
          <w:color w:val="auto"/>
          <w:lang w:val="en-CA"/>
        </w:rPr>
      </w:pPr>
      <w:bookmarkStart w:id="42" w:name="_Toc43382725"/>
      <w:r w:rsidRPr="00AA6144">
        <w:rPr>
          <w:rFonts w:eastAsia="Times-Roman"/>
          <w:color w:val="auto"/>
          <w:lang w:val="en-CA"/>
        </w:rPr>
        <w:t>2.5.3</w:t>
      </w:r>
      <w:r w:rsidR="005B3735" w:rsidRPr="00AA6144">
        <w:rPr>
          <w:rFonts w:eastAsia="Times-Roman"/>
          <w:color w:val="auto"/>
          <w:lang w:val="en-CA"/>
        </w:rPr>
        <w:t>.</w:t>
      </w:r>
      <w:r w:rsidR="0004418C" w:rsidRPr="00AA6144">
        <w:rPr>
          <w:rFonts w:eastAsia="Times-Roman"/>
          <w:color w:val="auto"/>
          <w:lang w:val="en-CA"/>
        </w:rPr>
        <w:t>6</w:t>
      </w:r>
      <w:r w:rsidR="005B3735" w:rsidRPr="00AA6144">
        <w:rPr>
          <w:rFonts w:eastAsia="Times-Roman"/>
          <w:color w:val="auto"/>
          <w:lang w:val="en-CA"/>
        </w:rPr>
        <w:t xml:space="preserve">. </w:t>
      </w:r>
      <w:r w:rsidR="00626D0B" w:rsidRPr="00AA6144">
        <w:rPr>
          <w:rFonts w:eastAsia="Times-Roman"/>
          <w:color w:val="auto"/>
          <w:lang w:val="en-CA"/>
        </w:rPr>
        <w:t>Representation</w:t>
      </w:r>
      <w:bookmarkEnd w:id="42"/>
    </w:p>
    <w:p w14:paraId="4F3A5246" w14:textId="77777777" w:rsidR="00626D0B" w:rsidRPr="00AA6144" w:rsidRDefault="00626D0B" w:rsidP="00522379">
      <w:pPr>
        <w:rPr>
          <w:rFonts w:eastAsia="Times-Roman"/>
          <w:color w:val="auto"/>
          <w:lang w:val="en-CA"/>
        </w:rPr>
      </w:pPr>
      <w:r w:rsidRPr="00AA6144">
        <w:rPr>
          <w:rFonts w:eastAsia="Times-Roman"/>
          <w:color w:val="auto"/>
          <w:lang w:val="en-CA"/>
        </w:rPr>
        <w:t>The right of victims to legal representation</w:t>
      </w:r>
      <w:r w:rsidR="00522379" w:rsidRPr="00AA6144">
        <w:rPr>
          <w:rFonts w:eastAsia="Times-Roman"/>
          <w:color w:val="auto"/>
          <w:lang w:val="en-CA"/>
        </w:rPr>
        <w:t xml:space="preserve"> is not guaranteed in Canada.</w:t>
      </w:r>
    </w:p>
    <w:p w14:paraId="404540E8" w14:textId="790C21F3" w:rsidR="00797589" w:rsidRPr="00AA6144" w:rsidRDefault="00797589" w:rsidP="00522379">
      <w:pPr>
        <w:rPr>
          <w:color w:val="auto"/>
          <w:lang w:val="en-CA"/>
        </w:rPr>
      </w:pPr>
      <w:r w:rsidRPr="00AA6144">
        <w:rPr>
          <w:color w:val="auto"/>
          <w:lang w:val="en-CA"/>
        </w:rPr>
        <w:t>2.5.3.7 Restitution</w:t>
      </w:r>
    </w:p>
    <w:p w14:paraId="5C64DEC0" w14:textId="34B8180B" w:rsidR="00797589" w:rsidRPr="00AA6144" w:rsidRDefault="00797589" w:rsidP="00522379">
      <w:pPr>
        <w:rPr>
          <w:color w:val="auto"/>
          <w:lang w:val="en-CA"/>
        </w:rPr>
      </w:pPr>
      <w:r w:rsidRPr="00AA6144">
        <w:rPr>
          <w:color w:val="auto"/>
          <w:lang w:val="en-CA"/>
        </w:rPr>
        <w:t>Victims have the right to seek restitution, including requiring courts to consider a restitution order for all offences under the CVBR</w:t>
      </w:r>
      <w:r w:rsidR="00C52C74" w:rsidRPr="00AA6144">
        <w:rPr>
          <w:color w:val="auto"/>
          <w:lang w:val="en-CA"/>
        </w:rPr>
        <w:t xml:space="preserve"> as per article 16.</w:t>
      </w:r>
      <w:r w:rsidRPr="00AA6144">
        <w:rPr>
          <w:rStyle w:val="FootnoteReference"/>
          <w:color w:val="auto"/>
          <w:lang w:val="en-CA"/>
        </w:rPr>
        <w:footnoteReference w:id="69"/>
      </w:r>
      <w:r w:rsidR="00C52C74" w:rsidRPr="00AA6144">
        <w:rPr>
          <w:color w:val="auto"/>
          <w:lang w:val="en-CA"/>
        </w:rPr>
        <w:t xml:space="preserve"> Furthermore, article 17 gives victims awarded a restitution order the right to have it enforce</w:t>
      </w:r>
      <w:r w:rsidR="00BB2BB2" w:rsidRPr="00AA6144">
        <w:rPr>
          <w:color w:val="auto"/>
          <w:lang w:val="en-CA"/>
        </w:rPr>
        <w:t>d</w:t>
      </w:r>
      <w:r w:rsidR="00C52C74" w:rsidRPr="00AA6144">
        <w:rPr>
          <w:color w:val="auto"/>
          <w:lang w:val="en-CA"/>
        </w:rPr>
        <w:t xml:space="preserve"> through a civil court.</w:t>
      </w:r>
      <w:r w:rsidR="00BA247A" w:rsidRPr="00AA6144">
        <w:rPr>
          <w:rStyle w:val="FootnoteReference"/>
          <w:color w:val="auto"/>
          <w:lang w:val="en-CA"/>
        </w:rPr>
        <w:t xml:space="preserve"> </w:t>
      </w:r>
      <w:r w:rsidR="00BA247A" w:rsidRPr="00AA6144">
        <w:rPr>
          <w:rStyle w:val="FootnoteReference"/>
          <w:color w:val="auto"/>
          <w:lang w:val="en-CA"/>
        </w:rPr>
        <w:footnoteReference w:id="70"/>
      </w:r>
      <w:r w:rsidR="00BA247A" w:rsidRPr="00AA6144">
        <w:rPr>
          <w:color w:val="auto"/>
          <w:lang w:val="en-CA"/>
        </w:rPr>
        <w:t xml:space="preserve"> </w:t>
      </w:r>
      <w:r w:rsidR="00C52C74" w:rsidRPr="00AA6144">
        <w:rPr>
          <w:color w:val="auto"/>
          <w:lang w:val="en-CA"/>
        </w:rPr>
        <w:t xml:space="preserve"> </w:t>
      </w:r>
    </w:p>
    <w:p w14:paraId="5D0C2C00" w14:textId="77777777" w:rsidR="00C61EBD" w:rsidRPr="00AA6144" w:rsidRDefault="00C61EBD" w:rsidP="00E874CA">
      <w:pPr>
        <w:rPr>
          <w:color w:val="auto"/>
          <w:lang w:val="en-CA"/>
        </w:rPr>
      </w:pPr>
      <w:bookmarkStart w:id="43" w:name="_Toc220954443"/>
      <w:bookmarkStart w:id="44" w:name="_Toc43382726"/>
      <w:r w:rsidRPr="00AA6144">
        <w:rPr>
          <w:rStyle w:val="Heading1Char"/>
          <w:color w:val="auto"/>
          <w:lang w:val="en-CA"/>
        </w:rPr>
        <w:t xml:space="preserve">3. </w:t>
      </w:r>
      <w:r w:rsidR="00092DFC" w:rsidRPr="00AA6144">
        <w:rPr>
          <w:rStyle w:val="Heading1Char"/>
          <w:color w:val="auto"/>
          <w:lang w:val="en-CA"/>
        </w:rPr>
        <w:t>GEOGRAPHIC JURISDICTION OTHER THAN UNIVERSAL JURISDICTION</w:t>
      </w:r>
      <w:bookmarkEnd w:id="43"/>
      <w:bookmarkEnd w:id="44"/>
    </w:p>
    <w:p w14:paraId="3700ED4B" w14:textId="77777777" w:rsidR="00C61EBD" w:rsidRPr="00AA6144" w:rsidRDefault="007D64FC" w:rsidP="00C61EBD">
      <w:pPr>
        <w:pStyle w:val="AIBodyText"/>
        <w:rPr>
          <w:color w:val="auto"/>
          <w:lang w:val="en-CA"/>
        </w:rPr>
      </w:pPr>
      <w:r w:rsidRPr="00AA6144">
        <w:rPr>
          <w:color w:val="auto"/>
          <w:lang w:val="en-CA"/>
        </w:rPr>
        <w:t>Geographic</w:t>
      </w:r>
      <w:r w:rsidR="00F50538" w:rsidRPr="00AA6144">
        <w:rPr>
          <w:color w:val="auto"/>
          <w:lang w:val="en-CA"/>
        </w:rPr>
        <w:t xml:space="preserve"> jurisdiction</w:t>
      </w:r>
      <w:r w:rsidRPr="00AA6144">
        <w:rPr>
          <w:color w:val="auto"/>
          <w:lang w:val="en-CA"/>
        </w:rPr>
        <w:t xml:space="preserve"> consists of </w:t>
      </w:r>
      <w:r w:rsidR="00F50538" w:rsidRPr="00AA6144">
        <w:rPr>
          <w:color w:val="auto"/>
          <w:lang w:val="en-CA"/>
        </w:rPr>
        <w:t>territorial</w:t>
      </w:r>
      <w:r w:rsidRPr="00AA6144">
        <w:rPr>
          <w:color w:val="auto"/>
          <w:lang w:val="en-CA"/>
        </w:rPr>
        <w:t xml:space="preserve"> and extraterritorial</w:t>
      </w:r>
      <w:r w:rsidR="00F50538" w:rsidRPr="00AA6144">
        <w:rPr>
          <w:color w:val="auto"/>
          <w:lang w:val="en-CA"/>
        </w:rPr>
        <w:t xml:space="preserve"> jurisdiction</w:t>
      </w:r>
      <w:r w:rsidRPr="00AA6144">
        <w:rPr>
          <w:color w:val="auto"/>
          <w:lang w:val="en-CA"/>
        </w:rPr>
        <w:t xml:space="preserve">. </w:t>
      </w:r>
      <w:r w:rsidR="0093416F" w:rsidRPr="00AA6144">
        <w:rPr>
          <w:color w:val="auto"/>
          <w:lang w:val="en-CA"/>
        </w:rPr>
        <w:t xml:space="preserve">Extraterritorial jurisdiction </w:t>
      </w:r>
      <w:proofErr w:type="gramStart"/>
      <w:r w:rsidR="0093416F" w:rsidRPr="00AA6144">
        <w:rPr>
          <w:color w:val="auto"/>
          <w:lang w:val="en-CA"/>
        </w:rPr>
        <w:t>includes</w:t>
      </w:r>
      <w:r w:rsidR="00F50538" w:rsidRPr="00AA6144">
        <w:rPr>
          <w:color w:val="auto"/>
          <w:lang w:val="en-CA"/>
        </w:rPr>
        <w:t>:</w:t>
      </w:r>
      <w:proofErr w:type="gramEnd"/>
      <w:r w:rsidR="00F50538" w:rsidRPr="00AA6144">
        <w:rPr>
          <w:color w:val="auto"/>
          <w:lang w:val="en-CA"/>
        </w:rPr>
        <w:t xml:space="preserve"> active and passive personality jurisdiction, protective jurisdiction and universal jurisdiction (discusse</w:t>
      </w:r>
      <w:r w:rsidR="00DF6775" w:rsidRPr="00AA6144">
        <w:rPr>
          <w:color w:val="auto"/>
          <w:lang w:val="en-CA"/>
        </w:rPr>
        <w:t xml:space="preserve">d below in Section 4). </w:t>
      </w:r>
      <w:r w:rsidR="00385993" w:rsidRPr="00AA6144">
        <w:rPr>
          <w:color w:val="auto"/>
          <w:lang w:val="en-CA"/>
        </w:rPr>
        <w:t>Canadian</w:t>
      </w:r>
      <w:r w:rsidR="00F50538" w:rsidRPr="00AA6144">
        <w:rPr>
          <w:color w:val="auto"/>
          <w:lang w:val="en-CA"/>
        </w:rPr>
        <w:t xml:space="preserve"> courts can exercise territor</w:t>
      </w:r>
      <w:r w:rsidR="00B67599" w:rsidRPr="00AA6144">
        <w:rPr>
          <w:color w:val="auto"/>
          <w:lang w:val="en-CA"/>
        </w:rPr>
        <w:t>ial jurisdiction over all crimes</w:t>
      </w:r>
      <w:r w:rsidRPr="00AA6144">
        <w:rPr>
          <w:color w:val="auto"/>
          <w:lang w:val="en-CA"/>
        </w:rPr>
        <w:t xml:space="preserve"> commit</w:t>
      </w:r>
      <w:r w:rsidR="0093416F" w:rsidRPr="00AA6144">
        <w:rPr>
          <w:color w:val="auto"/>
          <w:lang w:val="en-CA"/>
        </w:rPr>
        <w:t>t</w:t>
      </w:r>
      <w:r w:rsidRPr="00AA6144">
        <w:rPr>
          <w:color w:val="auto"/>
          <w:lang w:val="en-CA"/>
        </w:rPr>
        <w:t xml:space="preserve">ed </w:t>
      </w:r>
      <w:r w:rsidR="00A43450" w:rsidRPr="00AA6144">
        <w:rPr>
          <w:color w:val="auto"/>
          <w:lang w:val="en-CA"/>
        </w:rPr>
        <w:t>in any territory under Canada's jurisdiction</w:t>
      </w:r>
      <w:r w:rsidR="00B67599" w:rsidRPr="00AA6144">
        <w:rPr>
          <w:color w:val="auto"/>
          <w:lang w:val="en-CA"/>
        </w:rPr>
        <w:t xml:space="preserve"> and extraterritorial</w:t>
      </w:r>
      <w:r w:rsidR="00F50538" w:rsidRPr="00AA6144">
        <w:rPr>
          <w:color w:val="auto"/>
          <w:lang w:val="en-CA"/>
        </w:rPr>
        <w:t xml:space="preserve"> jurisdiction over certain crimes</w:t>
      </w:r>
      <w:r w:rsidR="00B67599" w:rsidRPr="00AA6144">
        <w:rPr>
          <w:color w:val="auto"/>
          <w:lang w:val="en-CA"/>
        </w:rPr>
        <w:t xml:space="preserve"> only.</w:t>
      </w:r>
    </w:p>
    <w:p w14:paraId="78D4D3A3" w14:textId="31475D98" w:rsidR="00D660F4" w:rsidRPr="00AA6144" w:rsidRDefault="0058291D" w:rsidP="00C61EBD">
      <w:pPr>
        <w:rPr>
          <w:strike/>
          <w:color w:val="auto"/>
          <w:lang w:val="en-CA"/>
        </w:rPr>
      </w:pPr>
      <w:r w:rsidRPr="00AA6144">
        <w:rPr>
          <w:b/>
          <w:bCs/>
          <w:i/>
          <w:color w:val="auto"/>
          <w:lang w:val="en-CA"/>
        </w:rPr>
        <w:t xml:space="preserve">Territorial jurisdiction. </w:t>
      </w:r>
      <w:r w:rsidR="00561590" w:rsidRPr="00AA6144">
        <w:rPr>
          <w:bCs/>
          <w:color w:val="auto"/>
          <w:lang w:val="en-CA"/>
        </w:rPr>
        <w:t xml:space="preserve">There are several ways Canadian courts can exercise territorial jurisdiction. </w:t>
      </w:r>
      <w:r w:rsidR="0093416F" w:rsidRPr="00AA6144">
        <w:rPr>
          <w:color w:val="auto"/>
          <w:lang w:val="en-CA"/>
        </w:rPr>
        <w:t>Canadian courts</w:t>
      </w:r>
      <w:r w:rsidR="00B67599" w:rsidRPr="00AA6144">
        <w:rPr>
          <w:color w:val="auto"/>
          <w:lang w:val="en-CA"/>
        </w:rPr>
        <w:t xml:space="preserve"> </w:t>
      </w:r>
      <w:r w:rsidR="00C61EBD" w:rsidRPr="00AA6144">
        <w:rPr>
          <w:color w:val="auto"/>
          <w:lang w:val="en-CA"/>
        </w:rPr>
        <w:t xml:space="preserve">can exercise </w:t>
      </w:r>
      <w:r w:rsidR="00734DD4" w:rsidRPr="00AA6144">
        <w:rPr>
          <w:color w:val="auto"/>
          <w:lang w:val="en-CA"/>
        </w:rPr>
        <w:t xml:space="preserve">territorial jurisdiction over crimes and torts that occurred in </w:t>
      </w:r>
      <w:r w:rsidR="0093416F" w:rsidRPr="00AA6144">
        <w:rPr>
          <w:color w:val="auto"/>
          <w:lang w:val="en-CA"/>
        </w:rPr>
        <w:t>Canadian territory</w:t>
      </w:r>
      <w:r w:rsidR="00734DD4" w:rsidRPr="00AA6144">
        <w:rPr>
          <w:color w:val="auto"/>
          <w:lang w:val="en-CA"/>
        </w:rPr>
        <w:t xml:space="preserve"> if the crimes were committed entirely in the territory or on board one of its ships or aircraft.</w:t>
      </w:r>
      <w:r w:rsidR="00B67599" w:rsidRPr="00AA6144">
        <w:rPr>
          <w:color w:val="auto"/>
          <w:lang w:val="en-CA"/>
        </w:rPr>
        <w:t xml:space="preserve"> </w:t>
      </w:r>
      <w:r w:rsidR="0093416F" w:rsidRPr="00AA6144">
        <w:rPr>
          <w:color w:val="auto"/>
          <w:lang w:val="en-CA"/>
        </w:rPr>
        <w:t xml:space="preserve">Territorial jurisdiction can also be exercised where </w:t>
      </w:r>
      <w:r w:rsidR="00E33472" w:rsidRPr="00AA6144">
        <w:rPr>
          <w:color w:val="auto"/>
          <w:lang w:val="en-CA"/>
        </w:rPr>
        <w:t xml:space="preserve">the offence has a “real and substantial </w:t>
      </w:r>
      <w:r w:rsidR="00E33472" w:rsidRPr="00AA6144">
        <w:rPr>
          <w:color w:val="auto"/>
          <w:lang w:val="en-CA"/>
        </w:rPr>
        <w:lastRenderedPageBreak/>
        <w:t xml:space="preserve">connection” </w:t>
      </w:r>
      <w:r w:rsidR="00BA3F66" w:rsidRPr="00AA6144">
        <w:rPr>
          <w:color w:val="auto"/>
          <w:lang w:val="en-CA"/>
        </w:rPr>
        <w:t>based on evidence that</w:t>
      </w:r>
      <w:r w:rsidR="00D660F4" w:rsidRPr="00AA6144">
        <w:rPr>
          <w:color w:val="auto"/>
          <w:lang w:val="en-CA"/>
        </w:rPr>
        <w:t xml:space="preserve"> “a significant portion of the activities constituting the offence” took place in Canada</w:t>
      </w:r>
      <w:r w:rsidR="00E33472" w:rsidRPr="00AA6144">
        <w:rPr>
          <w:color w:val="auto"/>
          <w:lang w:val="en-CA"/>
        </w:rPr>
        <w:t>.</w:t>
      </w:r>
      <w:r w:rsidR="00E33472" w:rsidRPr="00AA6144">
        <w:rPr>
          <w:rStyle w:val="FootnoteReference"/>
          <w:color w:val="auto"/>
          <w:lang w:val="en-CA"/>
        </w:rPr>
        <w:footnoteReference w:id="71"/>
      </w:r>
      <w:r w:rsidR="00E33472" w:rsidRPr="00AA6144">
        <w:rPr>
          <w:color w:val="auto"/>
          <w:lang w:val="en-CA"/>
        </w:rPr>
        <w:t xml:space="preserve"> To be captured by territorial jurisdiction, an offence cannot be wholly committed in another territory; there must be a connection between some aspects of the crime and the territory of Canada.</w:t>
      </w:r>
      <w:bookmarkStart w:id="45" w:name="_Ref266966189"/>
      <w:r w:rsidR="00BB6EB0" w:rsidRPr="00AA6144">
        <w:rPr>
          <w:rStyle w:val="FootnoteReference"/>
          <w:color w:val="auto"/>
          <w:lang w:val="en-CA"/>
        </w:rPr>
        <w:footnoteReference w:id="72"/>
      </w:r>
      <w:bookmarkEnd w:id="45"/>
    </w:p>
    <w:p w14:paraId="399C224D" w14:textId="3BF07A41" w:rsidR="00C61EBD" w:rsidRPr="00AA6144" w:rsidRDefault="00D660F4" w:rsidP="00C61EBD">
      <w:pPr>
        <w:rPr>
          <w:color w:val="auto"/>
          <w:lang w:val="en-CA"/>
        </w:rPr>
      </w:pPr>
      <w:r w:rsidRPr="00AA6144">
        <w:rPr>
          <w:color w:val="auto"/>
          <w:lang w:val="en-CA"/>
        </w:rPr>
        <w:t xml:space="preserve">Exceptions to the territorial reach of criminal jurisdiction are rare, although Canada’s international obligations under customary </w:t>
      </w:r>
      <w:r w:rsidR="009F0EA9" w:rsidRPr="00AA6144">
        <w:rPr>
          <w:color w:val="auto"/>
          <w:lang w:val="en-CA"/>
        </w:rPr>
        <w:t xml:space="preserve">international </w:t>
      </w:r>
      <w:r w:rsidRPr="00AA6144">
        <w:rPr>
          <w:color w:val="auto"/>
          <w:lang w:val="en-CA"/>
        </w:rPr>
        <w:t>law, or treaties to which Canada has acceded or has ratified</w:t>
      </w:r>
      <w:r w:rsidR="009F0EA9" w:rsidRPr="00AA6144">
        <w:rPr>
          <w:color w:val="auto"/>
          <w:lang w:val="en-CA"/>
        </w:rPr>
        <w:t>, may require Canada to extend adjudicative jurisdiction in certain cases</w:t>
      </w:r>
      <w:r w:rsidR="00B540A2" w:rsidRPr="00AA6144">
        <w:rPr>
          <w:color w:val="auto"/>
          <w:lang w:val="en-CA"/>
        </w:rPr>
        <w:t xml:space="preserve">, for example to prosecute alleged offenders for certain serious crimes </w:t>
      </w:r>
      <w:r w:rsidR="00175437">
        <w:rPr>
          <w:color w:val="auto"/>
          <w:lang w:val="en-CA"/>
        </w:rPr>
        <w:t xml:space="preserve">under international law, </w:t>
      </w:r>
      <w:r w:rsidR="00B540A2" w:rsidRPr="00AA6144">
        <w:rPr>
          <w:color w:val="auto"/>
          <w:lang w:val="en-CA"/>
        </w:rPr>
        <w:t xml:space="preserve">like piracy, war crimes, crimes against humanity, and genocide. </w:t>
      </w:r>
    </w:p>
    <w:p w14:paraId="35DCA576" w14:textId="3E9C1709" w:rsidR="00C61EBD" w:rsidRPr="00AA6144" w:rsidRDefault="0058291D" w:rsidP="00C61EBD">
      <w:pPr>
        <w:pStyle w:val="AIBodyText"/>
        <w:rPr>
          <w:b/>
          <w:color w:val="auto"/>
          <w:lang w:val="en-CA"/>
        </w:rPr>
      </w:pPr>
      <w:r w:rsidRPr="00AA6144">
        <w:rPr>
          <w:b/>
          <w:i/>
          <w:color w:val="auto"/>
          <w:lang w:val="en-CA"/>
        </w:rPr>
        <w:t xml:space="preserve">Active personality jurisdiction. </w:t>
      </w:r>
      <w:r w:rsidR="00BB66B0" w:rsidRPr="00AA6144">
        <w:rPr>
          <w:color w:val="auto"/>
          <w:szCs w:val="18"/>
          <w:lang w:val="en-CA"/>
        </w:rPr>
        <w:t xml:space="preserve">Active personality jurisdiction </w:t>
      </w:r>
      <w:r w:rsidR="00561590" w:rsidRPr="00AA6144">
        <w:rPr>
          <w:color w:val="auto"/>
          <w:szCs w:val="18"/>
          <w:lang w:val="en-CA"/>
        </w:rPr>
        <w:t>allows Canadian courts to exercise</w:t>
      </w:r>
      <w:r w:rsidR="00BB66B0" w:rsidRPr="00AA6144">
        <w:rPr>
          <w:color w:val="auto"/>
          <w:szCs w:val="18"/>
          <w:lang w:val="en-CA"/>
        </w:rPr>
        <w:t xml:space="preserve"> jurisdiction over crimes committed by persons who were nationals of Canada at the time of the crime.</w:t>
      </w:r>
      <w:r w:rsidR="003D37CC" w:rsidRPr="00AA6144">
        <w:rPr>
          <w:color w:val="auto"/>
          <w:szCs w:val="18"/>
          <w:lang w:val="en-CA"/>
        </w:rPr>
        <w:t xml:space="preserve"> This type of jurisdiction is provided for </w:t>
      </w:r>
      <w:r w:rsidR="00BB66B0" w:rsidRPr="00AA6144">
        <w:rPr>
          <w:color w:val="auto"/>
          <w:szCs w:val="18"/>
          <w:lang w:val="en-CA"/>
        </w:rPr>
        <w:t xml:space="preserve">in </w:t>
      </w:r>
      <w:r w:rsidR="003D37CC" w:rsidRPr="00AA6144">
        <w:rPr>
          <w:color w:val="auto"/>
          <w:szCs w:val="18"/>
          <w:lang w:val="en-CA"/>
        </w:rPr>
        <w:t>section 8(a)(</w:t>
      </w:r>
      <w:proofErr w:type="spellStart"/>
      <w:r w:rsidR="003D37CC" w:rsidRPr="00AA6144">
        <w:rPr>
          <w:color w:val="auto"/>
          <w:szCs w:val="18"/>
          <w:lang w:val="en-CA"/>
        </w:rPr>
        <w:t>i</w:t>
      </w:r>
      <w:proofErr w:type="spellEnd"/>
      <w:r w:rsidR="003D37CC" w:rsidRPr="00AA6144">
        <w:rPr>
          <w:color w:val="auto"/>
          <w:szCs w:val="18"/>
          <w:lang w:val="en-CA"/>
        </w:rPr>
        <w:t xml:space="preserve">) of the </w:t>
      </w:r>
      <w:r w:rsidR="003D37CC" w:rsidRPr="00AA6144">
        <w:rPr>
          <w:i/>
          <w:color w:val="auto"/>
          <w:szCs w:val="18"/>
          <w:lang w:val="en-CA"/>
        </w:rPr>
        <w:t>Crime</w:t>
      </w:r>
      <w:r w:rsidR="00BB66B0" w:rsidRPr="00AA6144">
        <w:rPr>
          <w:i/>
          <w:color w:val="auto"/>
          <w:szCs w:val="18"/>
          <w:lang w:val="en-CA"/>
        </w:rPr>
        <w:t>s</w:t>
      </w:r>
      <w:r w:rsidR="003D37CC" w:rsidRPr="00AA6144">
        <w:rPr>
          <w:i/>
          <w:color w:val="auto"/>
          <w:szCs w:val="18"/>
          <w:lang w:val="en-CA"/>
        </w:rPr>
        <w:t xml:space="preserve"> Against Humanity and War Crime</w:t>
      </w:r>
      <w:r w:rsidR="00BB66B0" w:rsidRPr="00AA6144">
        <w:rPr>
          <w:i/>
          <w:color w:val="auto"/>
          <w:szCs w:val="18"/>
          <w:lang w:val="en-CA"/>
        </w:rPr>
        <w:t>s</w:t>
      </w:r>
      <w:r w:rsidR="003D37CC" w:rsidRPr="00AA6144">
        <w:rPr>
          <w:i/>
          <w:color w:val="auto"/>
          <w:szCs w:val="18"/>
          <w:lang w:val="en-CA"/>
        </w:rPr>
        <w:t xml:space="preserve"> Act:</w:t>
      </w:r>
      <w:r w:rsidR="003D37CC" w:rsidRPr="00AA6144">
        <w:rPr>
          <w:color w:val="auto"/>
          <w:szCs w:val="18"/>
          <w:lang w:val="en-CA"/>
        </w:rPr>
        <w:t xml:space="preserve"> ‘‘[a] person who is alleged to have committed an offence [of genocide, crimes against humanity, war crimes or every person who conspires or attempts to commit those crimes] may be prosecuted for that offence if, at the time the offence is alleged to have been committed, the person was a Canadian citizen or was employed by Canada in a civilian or military capacity [...]’’. Canada claims jurisdiction on this ground for crimes such as treason,</w:t>
      </w:r>
      <w:r w:rsidR="003D37CC" w:rsidRPr="00AA6144">
        <w:rPr>
          <w:color w:val="auto"/>
          <w:szCs w:val="18"/>
          <w:vertAlign w:val="superscript"/>
          <w:lang w:val="en-CA"/>
        </w:rPr>
        <w:footnoteReference w:id="73"/>
      </w:r>
      <w:r w:rsidR="003D37CC" w:rsidRPr="00AA6144">
        <w:rPr>
          <w:color w:val="auto"/>
          <w:szCs w:val="18"/>
          <w:lang w:val="en-CA"/>
        </w:rPr>
        <w:t xml:space="preserve"> international terrorism,</w:t>
      </w:r>
      <w:r w:rsidR="003D37CC" w:rsidRPr="00AA6144">
        <w:rPr>
          <w:color w:val="auto"/>
          <w:szCs w:val="18"/>
          <w:vertAlign w:val="superscript"/>
          <w:lang w:val="en-CA"/>
        </w:rPr>
        <w:footnoteReference w:id="74"/>
      </w:r>
      <w:r w:rsidR="003D37CC" w:rsidRPr="00AA6144">
        <w:rPr>
          <w:color w:val="auto"/>
          <w:szCs w:val="18"/>
          <w:lang w:val="en-CA"/>
        </w:rPr>
        <w:t xml:space="preserve"> torture,</w:t>
      </w:r>
      <w:r w:rsidR="003D37CC" w:rsidRPr="00AA6144">
        <w:rPr>
          <w:color w:val="auto"/>
          <w:szCs w:val="18"/>
          <w:vertAlign w:val="superscript"/>
          <w:lang w:val="en-CA"/>
        </w:rPr>
        <w:footnoteReference w:id="75"/>
      </w:r>
      <w:r w:rsidR="003D37CC" w:rsidRPr="00AA6144">
        <w:rPr>
          <w:color w:val="auto"/>
          <w:szCs w:val="18"/>
          <w:lang w:val="en-CA"/>
        </w:rPr>
        <w:t xml:space="preserve"> offences against United Nations or associated personnel</w:t>
      </w:r>
      <w:r w:rsidR="003D37CC" w:rsidRPr="00AA6144">
        <w:rPr>
          <w:color w:val="auto"/>
          <w:szCs w:val="18"/>
          <w:vertAlign w:val="superscript"/>
          <w:lang w:val="en-CA"/>
        </w:rPr>
        <w:footnoteReference w:id="76"/>
      </w:r>
      <w:r w:rsidR="003D37CC" w:rsidRPr="00AA6144">
        <w:rPr>
          <w:color w:val="auto"/>
          <w:szCs w:val="18"/>
          <w:lang w:val="en-CA"/>
        </w:rPr>
        <w:t xml:space="preserve"> or offences in relation to sexual </w:t>
      </w:r>
      <w:r w:rsidR="00BB66B0" w:rsidRPr="00AA6144">
        <w:rPr>
          <w:color w:val="auto"/>
          <w:szCs w:val="18"/>
          <w:lang w:val="en-CA"/>
        </w:rPr>
        <w:t xml:space="preserve">crimes </w:t>
      </w:r>
      <w:r w:rsidR="003D37CC" w:rsidRPr="00AA6144">
        <w:rPr>
          <w:color w:val="auto"/>
          <w:szCs w:val="18"/>
          <w:lang w:val="en-CA"/>
        </w:rPr>
        <w:t>against children</w:t>
      </w:r>
      <w:r w:rsidR="003D37CC" w:rsidRPr="00AA6144">
        <w:rPr>
          <w:color w:val="auto"/>
          <w:szCs w:val="18"/>
          <w:vertAlign w:val="superscript"/>
          <w:lang w:val="en-CA"/>
        </w:rPr>
        <w:footnoteReference w:id="77"/>
      </w:r>
      <w:r w:rsidR="003D37CC" w:rsidRPr="00AA6144">
        <w:rPr>
          <w:color w:val="auto"/>
          <w:szCs w:val="18"/>
          <w:lang w:val="en-CA"/>
        </w:rPr>
        <w:t xml:space="preserve">. </w:t>
      </w:r>
    </w:p>
    <w:p w14:paraId="6CC47043" w14:textId="77777777" w:rsidR="00EC6C40" w:rsidRPr="00AA6144" w:rsidRDefault="0058291D" w:rsidP="00521796">
      <w:pPr>
        <w:pStyle w:val="AIBodyText"/>
        <w:rPr>
          <w:color w:val="auto"/>
          <w:lang w:val="en-CA"/>
        </w:rPr>
      </w:pPr>
      <w:bookmarkStart w:id="46" w:name="_Toc220954446"/>
      <w:r w:rsidRPr="00AA6144">
        <w:rPr>
          <w:b/>
          <w:i/>
          <w:color w:val="auto"/>
          <w:szCs w:val="18"/>
          <w:lang w:val="en-CA"/>
        </w:rPr>
        <w:t>Passive personality jurisdiction.</w:t>
      </w:r>
      <w:r w:rsidRPr="00AA6144">
        <w:rPr>
          <w:color w:val="auto"/>
          <w:szCs w:val="18"/>
          <w:lang w:val="en-CA"/>
        </w:rPr>
        <w:t xml:space="preserve"> </w:t>
      </w:r>
      <w:bookmarkEnd w:id="46"/>
      <w:r w:rsidR="00BB66B0" w:rsidRPr="00AA6144">
        <w:rPr>
          <w:color w:val="auto"/>
          <w:szCs w:val="18"/>
          <w:lang w:val="en-CA"/>
        </w:rPr>
        <w:t xml:space="preserve">Passive personality jurisdiction </w:t>
      </w:r>
      <w:r w:rsidR="00561590" w:rsidRPr="00AA6144">
        <w:rPr>
          <w:color w:val="auto"/>
          <w:szCs w:val="18"/>
          <w:lang w:val="en-CA"/>
        </w:rPr>
        <w:t>allows Canadian courts to exercise</w:t>
      </w:r>
      <w:r w:rsidR="00BB66B0" w:rsidRPr="00AA6144">
        <w:rPr>
          <w:color w:val="auto"/>
          <w:szCs w:val="18"/>
          <w:lang w:val="en-CA"/>
        </w:rPr>
        <w:t xml:space="preserve"> jurisdiction over crimes committed </w:t>
      </w:r>
      <w:r w:rsidR="00C41D47" w:rsidRPr="00AA6144">
        <w:rPr>
          <w:color w:val="auto"/>
          <w:szCs w:val="18"/>
          <w:lang w:val="en-CA"/>
        </w:rPr>
        <w:t xml:space="preserve">abroad </w:t>
      </w:r>
      <w:r w:rsidR="00BB66B0" w:rsidRPr="00AA6144">
        <w:rPr>
          <w:color w:val="auto"/>
          <w:szCs w:val="18"/>
          <w:lang w:val="en-CA"/>
        </w:rPr>
        <w:t>against Canadian nationals</w:t>
      </w:r>
      <w:r w:rsidR="00C41D47" w:rsidRPr="00AA6144">
        <w:rPr>
          <w:color w:val="auto"/>
          <w:szCs w:val="18"/>
          <w:lang w:val="en-CA"/>
        </w:rPr>
        <w:t>.</w:t>
      </w:r>
      <w:r w:rsidR="003A13DF" w:rsidRPr="00AA6144">
        <w:rPr>
          <w:color w:val="auto"/>
          <w:szCs w:val="18"/>
          <w:lang w:val="en-CA"/>
        </w:rPr>
        <w:t xml:space="preserve"> </w:t>
      </w:r>
      <w:r w:rsidR="004227B8" w:rsidRPr="00AA6144">
        <w:rPr>
          <w:color w:val="auto"/>
          <w:szCs w:val="18"/>
          <w:lang w:val="en-CA"/>
        </w:rPr>
        <w:t xml:space="preserve">There are also several examples of passive personality jurisdiction in the </w:t>
      </w:r>
      <w:r w:rsidR="004227B8" w:rsidRPr="00AA6144">
        <w:rPr>
          <w:i/>
          <w:color w:val="auto"/>
          <w:szCs w:val="18"/>
          <w:lang w:val="en-CA"/>
        </w:rPr>
        <w:t>Criminal Code</w:t>
      </w:r>
      <w:r w:rsidR="004227B8" w:rsidRPr="00AA6144">
        <w:rPr>
          <w:color w:val="auto"/>
          <w:szCs w:val="18"/>
          <w:lang w:val="en-CA"/>
        </w:rPr>
        <w:t>.</w:t>
      </w:r>
      <w:r w:rsidR="004227B8" w:rsidRPr="00AA6144">
        <w:rPr>
          <w:rStyle w:val="FootnoteReference"/>
          <w:color w:val="auto"/>
          <w:szCs w:val="18"/>
          <w:lang w:val="en-CA"/>
        </w:rPr>
        <w:footnoteReference w:id="78"/>
      </w:r>
      <w:r w:rsidR="004227B8" w:rsidRPr="00AA6144">
        <w:rPr>
          <w:color w:val="auto"/>
          <w:szCs w:val="18"/>
          <w:lang w:val="en-CA"/>
        </w:rPr>
        <w:t xml:space="preserve"> </w:t>
      </w:r>
      <w:r w:rsidR="0000084E" w:rsidRPr="00AA6144">
        <w:rPr>
          <w:color w:val="auto"/>
          <w:szCs w:val="18"/>
          <w:lang w:val="en-CA"/>
        </w:rPr>
        <w:t xml:space="preserve">This jurisdiction is </w:t>
      </w:r>
      <w:r w:rsidR="004227B8" w:rsidRPr="00AA6144">
        <w:rPr>
          <w:color w:val="auto"/>
          <w:szCs w:val="18"/>
          <w:lang w:val="en-CA"/>
        </w:rPr>
        <w:t xml:space="preserve">also </w:t>
      </w:r>
      <w:r w:rsidR="0000084E" w:rsidRPr="00AA6144">
        <w:rPr>
          <w:color w:val="auto"/>
          <w:szCs w:val="18"/>
          <w:lang w:val="en-CA"/>
        </w:rPr>
        <w:t xml:space="preserve">provided </w:t>
      </w:r>
      <w:r w:rsidR="004227B8" w:rsidRPr="00AA6144">
        <w:rPr>
          <w:color w:val="auto"/>
          <w:szCs w:val="18"/>
          <w:lang w:val="en-CA"/>
        </w:rPr>
        <w:lastRenderedPageBreak/>
        <w:t xml:space="preserve">for in </w:t>
      </w:r>
      <w:r w:rsidR="0000084E" w:rsidRPr="00AA6144">
        <w:rPr>
          <w:color w:val="auto"/>
          <w:szCs w:val="18"/>
          <w:lang w:val="en-CA"/>
        </w:rPr>
        <w:t xml:space="preserve">section 8(a)(iii) of the </w:t>
      </w:r>
      <w:r w:rsidR="0000084E" w:rsidRPr="00AA6144">
        <w:rPr>
          <w:i/>
          <w:color w:val="auto"/>
          <w:szCs w:val="18"/>
          <w:lang w:val="en-CA"/>
        </w:rPr>
        <w:t>Crime</w:t>
      </w:r>
      <w:r w:rsidR="006F6932" w:rsidRPr="00AA6144">
        <w:rPr>
          <w:i/>
          <w:color w:val="auto"/>
          <w:szCs w:val="18"/>
          <w:lang w:val="en-CA"/>
        </w:rPr>
        <w:t>s</w:t>
      </w:r>
      <w:r w:rsidR="0000084E" w:rsidRPr="00AA6144">
        <w:rPr>
          <w:i/>
          <w:color w:val="auto"/>
          <w:szCs w:val="18"/>
          <w:lang w:val="en-CA"/>
        </w:rPr>
        <w:t xml:space="preserve"> Against Humanity and War Crime</w:t>
      </w:r>
      <w:r w:rsidR="004227B8" w:rsidRPr="00AA6144">
        <w:rPr>
          <w:i/>
          <w:color w:val="auto"/>
          <w:szCs w:val="18"/>
          <w:lang w:val="en-CA"/>
        </w:rPr>
        <w:t>s</w:t>
      </w:r>
      <w:r w:rsidR="0000084E" w:rsidRPr="00AA6144">
        <w:rPr>
          <w:i/>
          <w:color w:val="auto"/>
          <w:szCs w:val="18"/>
          <w:lang w:val="en-CA"/>
        </w:rPr>
        <w:t xml:space="preserve"> Act</w:t>
      </w:r>
      <w:r w:rsidR="0000084E" w:rsidRPr="00AA6144">
        <w:rPr>
          <w:color w:val="auto"/>
          <w:szCs w:val="18"/>
          <w:lang w:val="en-CA"/>
        </w:rPr>
        <w:t xml:space="preserve"> and concerns victims of genocide, crimes against humanity and war crimes: “[a] person who is alleged to have committed an offence [of genocide, crimes against humanity, war crimes or every person who conspires or attempts to commit those crimes] may be prosecuted for that offence if, at the time the offence is alleged to have been committed, the victim of the alleged offence was a Canadian citizen.” Canadian courts will also have jurisdiction over aliens who commit offence</w:t>
      </w:r>
      <w:r w:rsidR="004227B8" w:rsidRPr="00AA6144">
        <w:rPr>
          <w:color w:val="auto"/>
          <w:szCs w:val="18"/>
          <w:lang w:val="en-CA"/>
        </w:rPr>
        <w:t>s</w:t>
      </w:r>
      <w:r w:rsidR="0000084E" w:rsidRPr="00AA6144">
        <w:rPr>
          <w:color w:val="auto"/>
          <w:szCs w:val="18"/>
          <w:lang w:val="en-CA"/>
        </w:rPr>
        <w:t xml:space="preserve"> against Canadian internationally protected persons or their families even when abroad</w:t>
      </w:r>
      <w:r w:rsidR="0000084E" w:rsidRPr="00AA6144">
        <w:rPr>
          <w:rStyle w:val="FootnoteReference"/>
          <w:color w:val="auto"/>
          <w:szCs w:val="18"/>
          <w:lang w:val="en-CA"/>
        </w:rPr>
        <w:footnoteReference w:id="79"/>
      </w:r>
      <w:r w:rsidR="0000084E" w:rsidRPr="00AA6144">
        <w:rPr>
          <w:color w:val="auto"/>
          <w:szCs w:val="18"/>
          <w:lang w:val="en-CA"/>
        </w:rPr>
        <w:t xml:space="preserve"> or who take a Canadian citizen hostage.</w:t>
      </w:r>
      <w:r w:rsidR="0000084E" w:rsidRPr="00AA6144">
        <w:rPr>
          <w:rStyle w:val="FootnoteReference"/>
          <w:color w:val="auto"/>
          <w:szCs w:val="18"/>
          <w:lang w:val="en-CA"/>
        </w:rPr>
        <w:footnoteReference w:id="80"/>
      </w:r>
      <w:r w:rsidR="0000084E" w:rsidRPr="00AA6144">
        <w:rPr>
          <w:color w:val="auto"/>
          <w:szCs w:val="18"/>
          <w:lang w:val="en-CA"/>
        </w:rPr>
        <w:t xml:space="preserve"> There </w:t>
      </w:r>
      <w:r w:rsidR="00641073" w:rsidRPr="00AA6144">
        <w:rPr>
          <w:color w:val="auto"/>
          <w:szCs w:val="18"/>
          <w:lang w:val="en-CA"/>
        </w:rPr>
        <w:t>is also</w:t>
      </w:r>
      <w:r w:rsidR="0000084E" w:rsidRPr="00AA6144">
        <w:rPr>
          <w:color w:val="auto"/>
          <w:szCs w:val="18"/>
          <w:lang w:val="en-CA"/>
        </w:rPr>
        <w:t xml:space="preserve"> </w:t>
      </w:r>
      <w:r w:rsidR="00561590" w:rsidRPr="00AA6144">
        <w:rPr>
          <w:color w:val="auto"/>
          <w:szCs w:val="18"/>
          <w:lang w:val="en-CA"/>
        </w:rPr>
        <w:t xml:space="preserve">passive personality </w:t>
      </w:r>
      <w:r w:rsidR="0000084E" w:rsidRPr="00AA6144">
        <w:rPr>
          <w:color w:val="auto"/>
          <w:szCs w:val="18"/>
          <w:lang w:val="en-CA"/>
        </w:rPr>
        <w:t xml:space="preserve">jurisdiction </w:t>
      </w:r>
      <w:r w:rsidR="00F13AAA" w:rsidRPr="00AA6144">
        <w:rPr>
          <w:color w:val="auto"/>
          <w:szCs w:val="18"/>
          <w:lang w:val="en-CA"/>
        </w:rPr>
        <w:t>to seek</w:t>
      </w:r>
      <w:r w:rsidR="00561590" w:rsidRPr="00AA6144">
        <w:rPr>
          <w:color w:val="auto"/>
          <w:szCs w:val="18"/>
          <w:lang w:val="en-CA"/>
        </w:rPr>
        <w:t xml:space="preserve"> civil remedies for </w:t>
      </w:r>
      <w:r w:rsidR="00641073" w:rsidRPr="00AA6144">
        <w:rPr>
          <w:color w:val="auto"/>
          <w:szCs w:val="18"/>
          <w:lang w:val="en-CA"/>
        </w:rPr>
        <w:t>terrorism-related</w:t>
      </w:r>
      <w:r w:rsidR="0000084E" w:rsidRPr="00AA6144">
        <w:rPr>
          <w:color w:val="auto"/>
          <w:szCs w:val="18"/>
          <w:lang w:val="en-CA"/>
        </w:rPr>
        <w:t xml:space="preserve"> crimes committed against </w:t>
      </w:r>
      <w:r w:rsidR="00F13AAA" w:rsidRPr="00AA6144">
        <w:rPr>
          <w:color w:val="auto"/>
          <w:szCs w:val="18"/>
          <w:lang w:val="en-CA"/>
        </w:rPr>
        <w:t xml:space="preserve">Canadian </w:t>
      </w:r>
      <w:r w:rsidR="0000084E" w:rsidRPr="00AA6144">
        <w:rPr>
          <w:color w:val="auto"/>
          <w:szCs w:val="18"/>
          <w:lang w:val="en-CA"/>
        </w:rPr>
        <w:t>nationals abroad</w:t>
      </w:r>
      <w:r w:rsidR="00641073" w:rsidRPr="00AA6144">
        <w:rPr>
          <w:color w:val="auto"/>
          <w:szCs w:val="18"/>
          <w:lang w:val="en-CA"/>
        </w:rPr>
        <w:t xml:space="preserve"> through the </w:t>
      </w:r>
      <w:r w:rsidR="00641073" w:rsidRPr="00AA6144">
        <w:rPr>
          <w:i/>
          <w:color w:val="auto"/>
          <w:szCs w:val="18"/>
          <w:lang w:val="en-CA"/>
        </w:rPr>
        <w:t>Justice for Victims of Terrorism Act</w:t>
      </w:r>
      <w:r w:rsidR="0000084E" w:rsidRPr="00AA6144">
        <w:rPr>
          <w:color w:val="auto"/>
          <w:szCs w:val="18"/>
          <w:lang w:val="en-CA"/>
        </w:rPr>
        <w:t>.</w:t>
      </w:r>
      <w:r w:rsidR="00561590" w:rsidRPr="00AA6144">
        <w:rPr>
          <w:rStyle w:val="FootnoteReference"/>
          <w:color w:val="auto"/>
          <w:szCs w:val="18"/>
          <w:lang w:val="en-CA"/>
        </w:rPr>
        <w:footnoteReference w:id="81"/>
      </w:r>
      <w:r w:rsidR="00561590" w:rsidRPr="00AA6144">
        <w:rPr>
          <w:color w:val="auto"/>
          <w:szCs w:val="18"/>
          <w:lang w:val="en-CA"/>
        </w:rPr>
        <w:t xml:space="preserve"> </w:t>
      </w:r>
      <w:r w:rsidR="00641073" w:rsidRPr="00AA6144">
        <w:rPr>
          <w:color w:val="auto"/>
          <w:szCs w:val="18"/>
          <w:lang w:val="en-CA"/>
        </w:rPr>
        <w:t xml:space="preserve"> </w:t>
      </w:r>
      <w:r w:rsidR="0000084E" w:rsidRPr="00AA6144">
        <w:rPr>
          <w:color w:val="auto"/>
          <w:szCs w:val="18"/>
          <w:lang w:val="en-CA"/>
        </w:rPr>
        <w:t xml:space="preserve">  </w:t>
      </w:r>
    </w:p>
    <w:p w14:paraId="4713B6B8" w14:textId="77777777" w:rsidR="00B9574E" w:rsidRPr="00AA6144" w:rsidRDefault="0058291D" w:rsidP="00B9574E">
      <w:pPr>
        <w:pStyle w:val="AIBodyText"/>
        <w:rPr>
          <w:color w:val="auto"/>
          <w:szCs w:val="18"/>
          <w:lang w:val="en-CA"/>
        </w:rPr>
      </w:pPr>
      <w:r w:rsidRPr="00AA6144">
        <w:rPr>
          <w:b/>
          <w:i/>
          <w:color w:val="auto"/>
          <w:lang w:val="en-CA"/>
        </w:rPr>
        <w:t xml:space="preserve">Protective jurisdiction. </w:t>
      </w:r>
      <w:r w:rsidR="00561590" w:rsidRPr="00AA6144">
        <w:rPr>
          <w:color w:val="auto"/>
          <w:lang w:val="en-CA"/>
        </w:rPr>
        <w:t xml:space="preserve"> Protective jurisdiction allows Canadian courts to exercise jurisdiction </w:t>
      </w:r>
      <w:r w:rsidR="0000084E" w:rsidRPr="00AA6144">
        <w:rPr>
          <w:color w:val="auto"/>
          <w:lang w:val="en-CA"/>
        </w:rPr>
        <w:t>over crimes against specific national interest</w:t>
      </w:r>
      <w:r w:rsidR="00561590" w:rsidRPr="00AA6144">
        <w:rPr>
          <w:color w:val="auto"/>
          <w:lang w:val="en-CA"/>
        </w:rPr>
        <w:t>s</w:t>
      </w:r>
      <w:r w:rsidR="0000084E" w:rsidRPr="00AA6144">
        <w:rPr>
          <w:color w:val="auto"/>
          <w:lang w:val="en-CA"/>
        </w:rPr>
        <w:t xml:space="preserve"> of Canada</w:t>
      </w:r>
      <w:r w:rsidR="00CF3F42" w:rsidRPr="00AA6144">
        <w:rPr>
          <w:color w:val="auto"/>
          <w:szCs w:val="18"/>
          <w:lang w:val="en-CA"/>
        </w:rPr>
        <w:t xml:space="preserve">. </w:t>
      </w:r>
      <w:r w:rsidR="00DC72F2" w:rsidRPr="00AA6144">
        <w:rPr>
          <w:color w:val="auto"/>
          <w:szCs w:val="18"/>
          <w:lang w:val="en-CA"/>
        </w:rPr>
        <w:t xml:space="preserve">The </w:t>
      </w:r>
      <w:r w:rsidR="00DC72F2" w:rsidRPr="00AA6144">
        <w:rPr>
          <w:i/>
          <w:color w:val="auto"/>
          <w:szCs w:val="18"/>
          <w:lang w:val="en-CA"/>
        </w:rPr>
        <w:t>Security Offences Act</w:t>
      </w:r>
      <w:r w:rsidR="00271632" w:rsidRPr="00AA6144">
        <w:rPr>
          <w:i/>
          <w:color w:val="auto"/>
          <w:szCs w:val="18"/>
          <w:lang w:val="en-CA"/>
        </w:rPr>
        <w:t xml:space="preserve"> </w:t>
      </w:r>
      <w:r w:rsidR="00271632" w:rsidRPr="00AA6144">
        <w:rPr>
          <w:color w:val="auto"/>
          <w:szCs w:val="18"/>
          <w:lang w:val="en-CA"/>
        </w:rPr>
        <w:t xml:space="preserve">employs protective jurisdiction </w:t>
      </w:r>
      <w:r w:rsidR="00C451D2" w:rsidRPr="00AA6144">
        <w:rPr>
          <w:color w:val="auto"/>
          <w:szCs w:val="18"/>
          <w:lang w:val="en-CA"/>
        </w:rPr>
        <w:t>over any “offence under any law of Canada where the alleged offence arises out of conduct constituting a threat to the security of Canada […]”.</w:t>
      </w:r>
      <w:r w:rsidR="00C451D2" w:rsidRPr="00AA6144">
        <w:rPr>
          <w:rStyle w:val="FootnoteReference"/>
          <w:color w:val="auto"/>
          <w:szCs w:val="18"/>
          <w:lang w:val="en-CA"/>
        </w:rPr>
        <w:footnoteReference w:id="82"/>
      </w:r>
      <w:r w:rsidR="00C451D2" w:rsidRPr="00AA6144">
        <w:rPr>
          <w:color w:val="auto"/>
          <w:szCs w:val="18"/>
          <w:lang w:val="en-CA"/>
        </w:rPr>
        <w:t xml:space="preserve">  “Threats to the security of Canada” are defined in the </w:t>
      </w:r>
      <w:r w:rsidR="00C451D2" w:rsidRPr="00AA6144">
        <w:rPr>
          <w:i/>
          <w:color w:val="auto"/>
          <w:szCs w:val="18"/>
          <w:lang w:val="en-CA"/>
        </w:rPr>
        <w:t>Canadian Security Intelligence Service Act</w:t>
      </w:r>
      <w:r w:rsidR="00A651B1" w:rsidRPr="00AA6144">
        <w:rPr>
          <w:color w:val="auto"/>
          <w:szCs w:val="18"/>
          <w:lang w:val="en-CA"/>
        </w:rPr>
        <w:t>.</w:t>
      </w:r>
      <w:r w:rsidR="00A651B1" w:rsidRPr="00AA6144">
        <w:rPr>
          <w:rStyle w:val="FootnoteReference"/>
          <w:color w:val="auto"/>
          <w:szCs w:val="18"/>
          <w:lang w:val="en-CA"/>
        </w:rPr>
        <w:footnoteReference w:id="83"/>
      </w:r>
      <w:r w:rsidR="00C451D2" w:rsidRPr="00AA6144">
        <w:rPr>
          <w:color w:val="auto"/>
          <w:szCs w:val="18"/>
          <w:lang w:val="en-CA"/>
        </w:rPr>
        <w:t xml:space="preserve"> </w:t>
      </w:r>
      <w:r w:rsidR="00A7257F" w:rsidRPr="00AA6144">
        <w:rPr>
          <w:color w:val="auto"/>
          <w:szCs w:val="18"/>
          <w:lang w:val="en-CA"/>
        </w:rPr>
        <w:t xml:space="preserve">Examples of offences over which protective jurisdiction is exercised include: the forging of passports, fraudulent use of a certificate of citizenship, treason and high treason, as well as certain offences in the </w:t>
      </w:r>
      <w:r w:rsidR="00A7257F" w:rsidRPr="00AA6144">
        <w:rPr>
          <w:i/>
          <w:color w:val="auto"/>
          <w:szCs w:val="18"/>
          <w:lang w:val="en-CA"/>
        </w:rPr>
        <w:t>Citizenship Act</w:t>
      </w:r>
      <w:r w:rsidR="00A7257F" w:rsidRPr="00AA6144">
        <w:rPr>
          <w:color w:val="auto"/>
          <w:szCs w:val="18"/>
          <w:lang w:val="en-CA"/>
        </w:rPr>
        <w:t>.</w:t>
      </w:r>
      <w:r w:rsidR="00A7257F" w:rsidRPr="00AA6144">
        <w:rPr>
          <w:rStyle w:val="FootnoteReference"/>
          <w:color w:val="auto"/>
          <w:szCs w:val="18"/>
          <w:lang w:val="en-CA"/>
        </w:rPr>
        <w:footnoteReference w:id="84"/>
      </w:r>
      <w:r w:rsidR="00A7257F" w:rsidRPr="00AA6144">
        <w:rPr>
          <w:color w:val="auto"/>
          <w:szCs w:val="18"/>
          <w:lang w:val="en-CA"/>
        </w:rPr>
        <w:t xml:space="preserve"> </w:t>
      </w:r>
      <w:r w:rsidR="0000084E" w:rsidRPr="00AA6144">
        <w:rPr>
          <w:color w:val="auto"/>
          <w:szCs w:val="18"/>
          <w:lang w:val="en-CA" w:eastAsia="en-US"/>
        </w:rPr>
        <w:t xml:space="preserve">It </w:t>
      </w:r>
      <w:r w:rsidR="00E136BA" w:rsidRPr="00AA6144">
        <w:rPr>
          <w:color w:val="auto"/>
          <w:szCs w:val="18"/>
          <w:lang w:val="en-CA" w:eastAsia="en-US"/>
        </w:rPr>
        <w:t xml:space="preserve">is </w:t>
      </w:r>
      <w:r w:rsidR="0000084E" w:rsidRPr="00AA6144">
        <w:rPr>
          <w:color w:val="auto"/>
          <w:szCs w:val="18"/>
          <w:lang w:val="en-CA" w:eastAsia="en-US"/>
        </w:rPr>
        <w:t>also provided</w:t>
      </w:r>
      <w:r w:rsidR="00E136BA" w:rsidRPr="00AA6144">
        <w:rPr>
          <w:color w:val="auto"/>
          <w:szCs w:val="18"/>
          <w:lang w:val="en-CA" w:eastAsia="en-US"/>
        </w:rPr>
        <w:t xml:space="preserve"> for</w:t>
      </w:r>
      <w:r w:rsidR="0000084E" w:rsidRPr="00AA6144">
        <w:rPr>
          <w:color w:val="auto"/>
          <w:szCs w:val="18"/>
          <w:lang w:val="en-CA" w:eastAsia="en-US"/>
        </w:rPr>
        <w:t xml:space="preserve"> </w:t>
      </w:r>
      <w:r w:rsidR="00F13AAA" w:rsidRPr="00AA6144">
        <w:rPr>
          <w:color w:val="auto"/>
          <w:szCs w:val="18"/>
          <w:lang w:val="en-CA" w:eastAsia="en-US"/>
        </w:rPr>
        <w:t>in</w:t>
      </w:r>
      <w:r w:rsidR="0000084E" w:rsidRPr="00AA6144">
        <w:rPr>
          <w:color w:val="auto"/>
          <w:szCs w:val="18"/>
          <w:lang w:val="en-CA" w:eastAsia="en-US"/>
        </w:rPr>
        <w:t xml:space="preserve"> </w:t>
      </w:r>
      <w:r w:rsidR="00A7257F" w:rsidRPr="00AA6144">
        <w:rPr>
          <w:color w:val="auto"/>
          <w:szCs w:val="18"/>
          <w:lang w:val="en-CA"/>
        </w:rPr>
        <w:t>s</w:t>
      </w:r>
      <w:r w:rsidR="0000084E" w:rsidRPr="00AA6144">
        <w:rPr>
          <w:color w:val="auto"/>
          <w:szCs w:val="18"/>
          <w:lang w:val="en-CA"/>
        </w:rPr>
        <w:t xml:space="preserve">ection </w:t>
      </w:r>
      <w:r w:rsidR="0014112E" w:rsidRPr="00AA6144">
        <w:rPr>
          <w:color w:val="auto"/>
          <w:szCs w:val="18"/>
          <w:lang w:val="en-CA"/>
        </w:rPr>
        <w:t xml:space="preserve">26 </w:t>
      </w:r>
      <w:r w:rsidR="0000084E" w:rsidRPr="00AA6144">
        <w:rPr>
          <w:color w:val="auto"/>
          <w:szCs w:val="18"/>
          <w:lang w:val="en-CA"/>
        </w:rPr>
        <w:t>of the</w:t>
      </w:r>
      <w:r w:rsidR="0014112E" w:rsidRPr="00AA6144">
        <w:rPr>
          <w:color w:val="auto"/>
          <w:szCs w:val="18"/>
          <w:lang w:val="en-CA"/>
        </w:rPr>
        <w:t xml:space="preserve"> </w:t>
      </w:r>
      <w:r w:rsidR="0014112E" w:rsidRPr="00AA6144">
        <w:rPr>
          <w:i/>
          <w:color w:val="auto"/>
          <w:szCs w:val="18"/>
          <w:lang w:val="en-CA"/>
        </w:rPr>
        <w:t>Security of Information Act</w:t>
      </w:r>
      <w:r w:rsidR="0000084E" w:rsidRPr="00AA6144">
        <w:rPr>
          <w:color w:val="auto"/>
          <w:szCs w:val="18"/>
          <w:lang w:val="en-CA"/>
        </w:rPr>
        <w:t>.</w:t>
      </w:r>
      <w:r w:rsidR="0000084E" w:rsidRPr="00AA6144">
        <w:rPr>
          <w:rStyle w:val="FootnoteReference"/>
          <w:color w:val="auto"/>
          <w:szCs w:val="18"/>
          <w:lang w:val="en-CA"/>
        </w:rPr>
        <w:footnoteReference w:id="85"/>
      </w:r>
      <w:r w:rsidR="00FC457D" w:rsidRPr="00AA6144">
        <w:rPr>
          <w:color w:val="auto"/>
          <w:szCs w:val="18"/>
          <w:lang w:val="en-CA"/>
        </w:rPr>
        <w:t xml:space="preserve"> </w:t>
      </w:r>
    </w:p>
    <w:p w14:paraId="5A559EC3" w14:textId="77777777" w:rsidR="00B9574E" w:rsidRPr="00AA6144" w:rsidRDefault="00B9574E" w:rsidP="00B9574E">
      <w:pPr>
        <w:pStyle w:val="Heading1"/>
        <w:numPr>
          <w:ilvl w:val="0"/>
          <w:numId w:val="0"/>
        </w:numPr>
        <w:rPr>
          <w:color w:val="auto"/>
          <w:kern w:val="56"/>
          <w:szCs w:val="18"/>
          <w:lang w:val="en-CA"/>
        </w:rPr>
      </w:pPr>
      <w:bookmarkStart w:id="47" w:name="_Toc43382727"/>
      <w:r w:rsidRPr="00AA6144">
        <w:rPr>
          <w:color w:val="auto"/>
          <w:kern w:val="56"/>
          <w:lang w:val="en-CA"/>
        </w:rPr>
        <w:lastRenderedPageBreak/>
        <w:t xml:space="preserve">4. </w:t>
      </w:r>
      <w:r w:rsidR="00092DFC" w:rsidRPr="00AA6144">
        <w:rPr>
          <w:color w:val="auto"/>
          <w:kern w:val="56"/>
          <w:lang w:val="en-CA"/>
        </w:rPr>
        <w:t>LEGISLATION PROVIDING FOR UNIVERSA</w:t>
      </w:r>
      <w:r w:rsidR="00F501A2" w:rsidRPr="00AA6144">
        <w:rPr>
          <w:color w:val="auto"/>
          <w:kern w:val="56"/>
          <w:lang w:val="en-CA"/>
        </w:rPr>
        <w:t>L</w:t>
      </w:r>
      <w:r w:rsidR="00092DFC" w:rsidRPr="00AA6144">
        <w:rPr>
          <w:color w:val="auto"/>
          <w:kern w:val="56"/>
          <w:lang w:val="en-CA"/>
        </w:rPr>
        <w:t xml:space="preserve"> CRIMINAL JURISDICTION</w:t>
      </w:r>
      <w:bookmarkEnd w:id="47"/>
      <w:r w:rsidRPr="00AA6144">
        <w:rPr>
          <w:color w:val="auto"/>
          <w:kern w:val="56"/>
          <w:lang w:val="en-CA"/>
        </w:rPr>
        <w:t xml:space="preserve"> </w:t>
      </w:r>
    </w:p>
    <w:p w14:paraId="21B88A97" w14:textId="696B9DAB" w:rsidR="00344149" w:rsidRPr="00AA6144" w:rsidRDefault="007C2250" w:rsidP="00E57056">
      <w:pPr>
        <w:pStyle w:val="AIBodyText"/>
        <w:rPr>
          <w:color w:val="auto"/>
          <w:lang w:val="en-CA"/>
        </w:rPr>
      </w:pPr>
      <w:r w:rsidRPr="00AA6144">
        <w:rPr>
          <w:color w:val="auto"/>
          <w:lang w:val="en-CA"/>
        </w:rPr>
        <w:t xml:space="preserve">As discussed below, Canadian courts cannot exercise universal jurisdiction over ordinary crimes, such as murder, assault, </w:t>
      </w:r>
      <w:proofErr w:type="gramStart"/>
      <w:r w:rsidRPr="00AA6144">
        <w:rPr>
          <w:color w:val="auto"/>
          <w:lang w:val="en-CA"/>
        </w:rPr>
        <w:t>rape</w:t>
      </w:r>
      <w:proofErr w:type="gramEnd"/>
      <w:r w:rsidRPr="00AA6144">
        <w:rPr>
          <w:color w:val="auto"/>
          <w:lang w:val="en-CA"/>
        </w:rPr>
        <w:t xml:space="preserve"> or kidnapping</w:t>
      </w:r>
      <w:r w:rsidR="00FC457D" w:rsidRPr="00AA6144">
        <w:rPr>
          <w:color w:val="auto"/>
          <w:lang w:val="en-CA"/>
        </w:rPr>
        <w:t xml:space="preserve">. </w:t>
      </w:r>
      <w:r w:rsidRPr="00AA6144">
        <w:rPr>
          <w:color w:val="auto"/>
          <w:lang w:val="en-CA"/>
        </w:rPr>
        <w:t>Canadian courts may exercise universal jurisdiction over several crimes under national law of international concern identified in treaties providing for</w:t>
      </w:r>
      <w:r w:rsidR="00F51FEC" w:rsidRPr="00AA6144">
        <w:rPr>
          <w:color w:val="auto"/>
          <w:lang w:val="en-CA"/>
        </w:rPr>
        <w:t>,</w:t>
      </w:r>
      <w:r w:rsidRPr="00AA6144">
        <w:rPr>
          <w:color w:val="auto"/>
          <w:lang w:val="en-CA"/>
        </w:rPr>
        <w:t xml:space="preserve"> or requiring</w:t>
      </w:r>
      <w:r w:rsidR="00F51FEC" w:rsidRPr="00AA6144">
        <w:rPr>
          <w:color w:val="auto"/>
          <w:lang w:val="en-CA"/>
        </w:rPr>
        <w:t>,</w:t>
      </w:r>
      <w:r w:rsidRPr="00AA6144">
        <w:rPr>
          <w:color w:val="auto"/>
          <w:lang w:val="en-CA"/>
        </w:rPr>
        <w:t xml:space="preserve"> universal jurisdiction</w:t>
      </w:r>
      <w:r w:rsidR="00F51FEC" w:rsidRPr="00AA6144">
        <w:rPr>
          <w:color w:val="auto"/>
          <w:lang w:val="en-CA"/>
        </w:rPr>
        <w:t>. These include</w:t>
      </w:r>
      <w:r w:rsidRPr="00AA6144">
        <w:rPr>
          <w:color w:val="auto"/>
          <w:lang w:val="en-CA"/>
        </w:rPr>
        <w:t xml:space="preserve"> offences committed on aircraft, </w:t>
      </w:r>
      <w:r w:rsidRPr="00AA6144">
        <w:rPr>
          <w:bCs/>
          <w:iCs/>
          <w:color w:val="auto"/>
          <w:lang w:val="en-CA"/>
        </w:rPr>
        <w:t>attacks on ships and navigation at sea</w:t>
      </w:r>
      <w:r w:rsidRPr="00AA6144">
        <w:rPr>
          <w:color w:val="auto"/>
          <w:lang w:val="en-CA"/>
        </w:rPr>
        <w:t>, offences against internationally protected persons or UN personnel, hijacking, hostage taking, nuclear terrorism and theft of nuclear material, terrorist bombing</w:t>
      </w:r>
      <w:r w:rsidR="005973D4" w:rsidRPr="00AA6144">
        <w:rPr>
          <w:color w:val="auto"/>
          <w:lang w:val="en-CA"/>
        </w:rPr>
        <w:t xml:space="preserve">, </w:t>
      </w:r>
      <w:r w:rsidRPr="00AA6144">
        <w:rPr>
          <w:color w:val="auto"/>
          <w:lang w:val="en-CA"/>
        </w:rPr>
        <w:t>and financing terrorism</w:t>
      </w:r>
      <w:r w:rsidR="00FC457D" w:rsidRPr="00AA6144">
        <w:rPr>
          <w:color w:val="auto"/>
          <w:lang w:val="en-CA"/>
        </w:rPr>
        <w:t>. Canadian courts may also exercise universal jurisdiction over certain</w:t>
      </w:r>
      <w:r w:rsidRPr="00AA6144">
        <w:rPr>
          <w:color w:val="auto"/>
          <w:lang w:val="en-CA"/>
        </w:rPr>
        <w:t xml:space="preserve"> crimes under international law, including war crimes, crimes against humanity, genocide,</w:t>
      </w:r>
      <w:r w:rsidR="006712FC" w:rsidRPr="00AA6144">
        <w:rPr>
          <w:color w:val="auto"/>
          <w:lang w:val="en-CA"/>
        </w:rPr>
        <w:t xml:space="preserve"> and</w:t>
      </w:r>
      <w:r w:rsidR="000D6288" w:rsidRPr="00AA6144">
        <w:rPr>
          <w:color w:val="auto"/>
          <w:lang w:val="en-CA"/>
        </w:rPr>
        <w:t xml:space="preserve"> </w:t>
      </w:r>
      <w:r w:rsidRPr="00AA6144">
        <w:rPr>
          <w:color w:val="auto"/>
          <w:lang w:val="en-CA"/>
        </w:rPr>
        <w:t xml:space="preserve">torture. However, Canadian courts cannot exercise universal jurisdiction over </w:t>
      </w:r>
      <w:r w:rsidR="00624C84">
        <w:rPr>
          <w:color w:val="auto"/>
          <w:lang w:val="en-CA"/>
        </w:rPr>
        <w:t xml:space="preserve">some crimes under international law, like enforced disappearance and extrajudicial executions. </w:t>
      </w:r>
      <w:r w:rsidR="00752C23">
        <w:rPr>
          <w:color w:val="auto"/>
          <w:lang w:val="en-CA"/>
        </w:rPr>
        <w:t xml:space="preserve">Likewise, </w:t>
      </w:r>
      <w:r w:rsidRPr="00AA6144">
        <w:rPr>
          <w:color w:val="auto"/>
          <w:lang w:val="en-CA"/>
        </w:rPr>
        <w:t xml:space="preserve">the following </w:t>
      </w:r>
      <w:r w:rsidR="00F501A2" w:rsidRPr="00AA6144">
        <w:rPr>
          <w:color w:val="auto"/>
          <w:lang w:val="en-CA"/>
        </w:rPr>
        <w:t xml:space="preserve">ordinary </w:t>
      </w:r>
      <w:r w:rsidRPr="00AA6144">
        <w:rPr>
          <w:color w:val="auto"/>
          <w:lang w:val="en-CA"/>
        </w:rPr>
        <w:t xml:space="preserve">crimes </w:t>
      </w:r>
      <w:r w:rsidR="00F501A2" w:rsidRPr="00AA6144">
        <w:rPr>
          <w:color w:val="auto"/>
          <w:lang w:val="en-CA"/>
        </w:rPr>
        <w:t>of international concern</w:t>
      </w:r>
      <w:r w:rsidR="00752C23">
        <w:rPr>
          <w:color w:val="auto"/>
          <w:lang w:val="en-CA"/>
        </w:rPr>
        <w:t xml:space="preserve"> are not subject to universal jurisdiction under Canadian law</w:t>
      </w:r>
      <w:r w:rsidRPr="00AA6144">
        <w:rPr>
          <w:color w:val="auto"/>
          <w:lang w:val="en-CA"/>
        </w:rPr>
        <w:t xml:space="preserve">: counterfeiting, narcotics trafficking, psychotropic substances trafficking, transnational organized </w:t>
      </w:r>
      <w:proofErr w:type="gramStart"/>
      <w:r w:rsidRPr="00AA6144">
        <w:rPr>
          <w:color w:val="auto"/>
          <w:lang w:val="en-CA"/>
        </w:rPr>
        <w:t>crime</w:t>
      </w:r>
      <w:proofErr w:type="gramEnd"/>
      <w:r w:rsidRPr="00AA6144">
        <w:rPr>
          <w:color w:val="auto"/>
          <w:lang w:val="en-CA"/>
        </w:rPr>
        <w:t xml:space="preserve"> and firearms trafficking. </w:t>
      </w:r>
      <w:r w:rsidR="00996DF6" w:rsidRPr="00AA6144">
        <w:rPr>
          <w:color w:val="auto"/>
          <w:lang w:val="en-CA"/>
        </w:rPr>
        <w:t>Obstacles to the exercise of universal jurisdiction over crimes under international law are discussed below in Section 6.</w:t>
      </w:r>
    </w:p>
    <w:p w14:paraId="3FA97DF9" w14:textId="58BE0B3D" w:rsidR="00344149" w:rsidRPr="00AA6144" w:rsidRDefault="00502603" w:rsidP="00344149">
      <w:pPr>
        <w:pStyle w:val="AIBodyText"/>
        <w:rPr>
          <w:color w:val="auto"/>
          <w:lang w:val="en-CA"/>
        </w:rPr>
      </w:pPr>
      <w:r w:rsidRPr="00AA6144">
        <w:rPr>
          <w:b/>
          <w:i/>
          <w:color w:val="auto"/>
          <w:lang w:val="en-CA"/>
        </w:rPr>
        <w:t xml:space="preserve">Definitions. </w:t>
      </w:r>
      <w:r w:rsidR="00344149" w:rsidRPr="00AA6144">
        <w:rPr>
          <w:color w:val="auto"/>
          <w:lang w:val="en-CA"/>
        </w:rPr>
        <w:t xml:space="preserve">Universal jurisdiction is the </w:t>
      </w:r>
      <w:r w:rsidR="00344149" w:rsidRPr="00AA6144">
        <w:rPr>
          <w:i/>
          <w:iCs/>
          <w:color w:val="auto"/>
          <w:lang w:val="en-CA"/>
        </w:rPr>
        <w:t xml:space="preserve">ability </w:t>
      </w:r>
      <w:r w:rsidR="00344149" w:rsidRPr="00AA6144">
        <w:rPr>
          <w:color w:val="auto"/>
          <w:lang w:val="en-CA"/>
        </w:rPr>
        <w:t>of the court of any state to try persons for crimes committed outside its territory which are not linked to the state by the nationality of the suspect or the victims or by harm to the state’s own national interests. Sometimes this rule is called permissive universal jurisdiction. This rule</w:t>
      </w:r>
      <w:r w:rsidR="005973D4" w:rsidRPr="00AA6144">
        <w:rPr>
          <w:color w:val="auto"/>
          <w:lang w:val="en-CA"/>
        </w:rPr>
        <w:t xml:space="preserve">, which </w:t>
      </w:r>
      <w:r w:rsidR="005973D4" w:rsidRPr="00AA6144">
        <w:rPr>
          <w:lang w:val="en-CA"/>
        </w:rPr>
        <w:t xml:space="preserve">applies </w:t>
      </w:r>
      <w:r w:rsidR="00504720" w:rsidRPr="00AA6144">
        <w:rPr>
          <w:lang w:val="en-CA"/>
        </w:rPr>
        <w:t xml:space="preserve">only </w:t>
      </w:r>
      <w:r w:rsidR="005973D4" w:rsidRPr="00AA6144">
        <w:rPr>
          <w:lang w:val="en-CA"/>
        </w:rPr>
        <w:t>to the notion of relative universal jurisdiction,</w:t>
      </w:r>
      <w:r w:rsidR="00344149" w:rsidRPr="00AA6144">
        <w:rPr>
          <w:color w:val="auto"/>
          <w:lang w:val="en-CA"/>
        </w:rPr>
        <w:t xml:space="preserve"> is now part of customary international law</w:t>
      </w:r>
      <w:r w:rsidR="00E136BA" w:rsidRPr="00AA6144">
        <w:rPr>
          <w:color w:val="auto"/>
          <w:lang w:val="en-CA"/>
        </w:rPr>
        <w:t xml:space="preserve"> (</w:t>
      </w:r>
      <w:r w:rsidR="00344149" w:rsidRPr="00AA6144">
        <w:rPr>
          <w:color w:val="auto"/>
          <w:lang w:val="en-CA"/>
        </w:rPr>
        <w:t>although it is also reflected in treaties</w:t>
      </w:r>
      <w:r w:rsidR="00E136BA" w:rsidRPr="00AA6144">
        <w:rPr>
          <w:color w:val="auto"/>
          <w:lang w:val="en-CA"/>
        </w:rPr>
        <w:t>)</w:t>
      </w:r>
      <w:r w:rsidR="00344149" w:rsidRPr="00AA6144">
        <w:rPr>
          <w:color w:val="auto"/>
          <w:lang w:val="en-CA"/>
        </w:rPr>
        <w:t>, national legislation and jurisprudence concerning crimes under international law, ordinary crimes of international concern and ordinary crimes under national law. When a national court is exercising jurisdiction over conduct amounting to crimes under international law or ordinary crimes of international concern committed abroad, as opposed to conduct simply amounting to ordinary crimes, the court is really acting as an agent of the international community enforcing international law.</w:t>
      </w:r>
    </w:p>
    <w:p w14:paraId="64529F5C" w14:textId="608C9A1C" w:rsidR="00E57056" w:rsidRPr="00AA6144" w:rsidRDefault="00344149" w:rsidP="00B15439">
      <w:pPr>
        <w:pStyle w:val="AIBodyText"/>
        <w:rPr>
          <w:color w:val="auto"/>
          <w:lang w:val="en-CA"/>
        </w:rPr>
      </w:pPr>
      <w:r w:rsidRPr="00AA6144">
        <w:rPr>
          <w:color w:val="auto"/>
          <w:lang w:val="en-CA"/>
        </w:rPr>
        <w:t xml:space="preserve">Under the related </w:t>
      </w:r>
      <w:proofErr w:type="spellStart"/>
      <w:r w:rsidRPr="00AA6144">
        <w:rPr>
          <w:i/>
          <w:iCs/>
          <w:color w:val="auto"/>
          <w:lang w:val="en-CA"/>
        </w:rPr>
        <w:t>aut</w:t>
      </w:r>
      <w:proofErr w:type="spellEnd"/>
      <w:r w:rsidRPr="00AA6144">
        <w:rPr>
          <w:i/>
          <w:iCs/>
          <w:color w:val="auto"/>
          <w:lang w:val="en-CA"/>
        </w:rPr>
        <w:t xml:space="preserve"> </w:t>
      </w:r>
      <w:proofErr w:type="spellStart"/>
      <w:r w:rsidRPr="00AA6144">
        <w:rPr>
          <w:i/>
          <w:iCs/>
          <w:color w:val="auto"/>
          <w:lang w:val="en-CA"/>
        </w:rPr>
        <w:t>dedere</w:t>
      </w:r>
      <w:proofErr w:type="spellEnd"/>
      <w:r w:rsidRPr="00AA6144">
        <w:rPr>
          <w:i/>
          <w:iCs/>
          <w:color w:val="auto"/>
          <w:lang w:val="en-CA"/>
        </w:rPr>
        <w:t xml:space="preserve"> </w:t>
      </w:r>
      <w:proofErr w:type="spellStart"/>
      <w:r w:rsidRPr="00AA6144">
        <w:rPr>
          <w:i/>
          <w:iCs/>
          <w:color w:val="auto"/>
          <w:lang w:val="en-CA"/>
        </w:rPr>
        <w:t>aut</w:t>
      </w:r>
      <w:proofErr w:type="spellEnd"/>
      <w:r w:rsidRPr="00AA6144">
        <w:rPr>
          <w:i/>
          <w:iCs/>
          <w:color w:val="auto"/>
          <w:lang w:val="en-CA"/>
        </w:rPr>
        <w:t xml:space="preserve"> judicare</w:t>
      </w:r>
      <w:r w:rsidRPr="00AA6144">
        <w:rPr>
          <w:b/>
          <w:bCs/>
          <w:i/>
          <w:iCs/>
          <w:color w:val="auto"/>
          <w:lang w:val="en-CA"/>
        </w:rPr>
        <w:t xml:space="preserve"> </w:t>
      </w:r>
      <w:r w:rsidRPr="00AA6144">
        <w:rPr>
          <w:color w:val="auto"/>
          <w:lang w:val="en-CA"/>
        </w:rPr>
        <w:t xml:space="preserve">(extradite or prosecute) rule, a state may not shield a person suspected of certain categories of crimes. Instead, </w:t>
      </w:r>
      <w:r w:rsidR="00FC457D" w:rsidRPr="00AA6144">
        <w:rPr>
          <w:color w:val="auto"/>
          <w:lang w:val="en-CA"/>
        </w:rPr>
        <w:t xml:space="preserve">the state </w:t>
      </w:r>
      <w:r w:rsidRPr="00AA6144">
        <w:rPr>
          <w:color w:val="auto"/>
          <w:lang w:val="en-CA"/>
        </w:rPr>
        <w:t xml:space="preserve">is </w:t>
      </w:r>
      <w:r w:rsidRPr="00AA6144">
        <w:rPr>
          <w:i/>
          <w:iCs/>
          <w:color w:val="auto"/>
          <w:lang w:val="en-CA"/>
        </w:rPr>
        <w:t xml:space="preserve">required </w:t>
      </w:r>
      <w:r w:rsidRPr="00AA6144">
        <w:rPr>
          <w:color w:val="auto"/>
          <w:lang w:val="en-CA"/>
        </w:rPr>
        <w:t xml:space="preserve">either to exercise jurisdiction (which would necessarily include universal jurisdiction in certain cases) over a person suspected of certain categories of crimes or to extradite the person to a state able and willing to </w:t>
      </w:r>
      <w:r w:rsidR="00FC457D" w:rsidRPr="00AA6144">
        <w:rPr>
          <w:color w:val="auto"/>
          <w:lang w:val="en-CA"/>
        </w:rPr>
        <w:t>prosecute,</w:t>
      </w:r>
      <w:r w:rsidRPr="00AA6144">
        <w:rPr>
          <w:color w:val="auto"/>
          <w:lang w:val="en-CA"/>
        </w:rPr>
        <w:t xml:space="preserve"> or to surrender the person to an international criminal court. </w:t>
      </w:r>
      <w:r w:rsidR="00B15439" w:rsidRPr="00AA6144">
        <w:rPr>
          <w:color w:val="auto"/>
          <w:lang w:val="en-CA"/>
        </w:rPr>
        <w:t xml:space="preserve">As a practical matter, when the </w:t>
      </w:r>
      <w:proofErr w:type="spellStart"/>
      <w:r w:rsidR="00B15439" w:rsidRPr="00AA6144">
        <w:rPr>
          <w:i/>
          <w:iCs/>
          <w:color w:val="auto"/>
          <w:lang w:val="en-CA"/>
        </w:rPr>
        <w:t>aut</w:t>
      </w:r>
      <w:proofErr w:type="spellEnd"/>
      <w:r w:rsidR="00B15439" w:rsidRPr="00AA6144">
        <w:rPr>
          <w:i/>
          <w:iCs/>
          <w:color w:val="auto"/>
          <w:lang w:val="en-CA"/>
        </w:rPr>
        <w:t xml:space="preserve"> </w:t>
      </w:r>
      <w:proofErr w:type="spellStart"/>
      <w:r w:rsidR="00B15439" w:rsidRPr="00AA6144">
        <w:rPr>
          <w:i/>
          <w:iCs/>
          <w:color w:val="auto"/>
          <w:lang w:val="en-CA"/>
        </w:rPr>
        <w:t>dedere</w:t>
      </w:r>
      <w:proofErr w:type="spellEnd"/>
      <w:r w:rsidR="00B15439" w:rsidRPr="00AA6144">
        <w:rPr>
          <w:i/>
          <w:iCs/>
          <w:color w:val="auto"/>
          <w:lang w:val="en-CA"/>
        </w:rPr>
        <w:t xml:space="preserve"> </w:t>
      </w:r>
      <w:proofErr w:type="spellStart"/>
      <w:r w:rsidR="00B15439" w:rsidRPr="00AA6144">
        <w:rPr>
          <w:i/>
          <w:iCs/>
          <w:color w:val="auto"/>
          <w:lang w:val="en-CA"/>
        </w:rPr>
        <w:t>aut</w:t>
      </w:r>
      <w:proofErr w:type="spellEnd"/>
      <w:r w:rsidR="00B15439" w:rsidRPr="00AA6144">
        <w:rPr>
          <w:i/>
          <w:iCs/>
          <w:color w:val="auto"/>
          <w:lang w:val="en-CA"/>
        </w:rPr>
        <w:t xml:space="preserve"> judicare</w:t>
      </w:r>
      <w:r w:rsidR="00B15439" w:rsidRPr="00AA6144">
        <w:rPr>
          <w:iCs/>
          <w:color w:val="auto"/>
          <w:lang w:val="en-CA"/>
        </w:rPr>
        <w:t xml:space="preserve"> rule applies, the state where the suspect is found must ensure that its courts can exercise all possible forms of </w:t>
      </w:r>
      <w:r w:rsidR="00FC457D" w:rsidRPr="00AA6144">
        <w:rPr>
          <w:iCs/>
          <w:color w:val="auto"/>
          <w:lang w:val="en-CA"/>
        </w:rPr>
        <w:t xml:space="preserve">prescriptive </w:t>
      </w:r>
      <w:r w:rsidR="00B15439" w:rsidRPr="00AA6144">
        <w:rPr>
          <w:iCs/>
          <w:color w:val="auto"/>
          <w:lang w:val="en-CA"/>
        </w:rPr>
        <w:t>jurisdiction, including universal jurisdiction, in those cases where it will not be in a position to extradite the suspect to another state or to surrender that person to an international criminal court.</w:t>
      </w:r>
    </w:p>
    <w:p w14:paraId="50B86776" w14:textId="77777777" w:rsidR="00E57056" w:rsidRPr="00AA6144" w:rsidRDefault="00E57056" w:rsidP="00E57056">
      <w:pPr>
        <w:pStyle w:val="Heading2"/>
        <w:rPr>
          <w:color w:val="auto"/>
          <w:lang w:val="en-CA"/>
        </w:rPr>
      </w:pPr>
      <w:bookmarkStart w:id="48" w:name="_Toc193798652"/>
      <w:bookmarkStart w:id="49" w:name="_Toc220954448"/>
      <w:bookmarkStart w:id="50" w:name="_Toc43382728"/>
      <w:r w:rsidRPr="00AA6144">
        <w:rPr>
          <w:color w:val="auto"/>
          <w:lang w:val="en-CA"/>
        </w:rPr>
        <w:t>4.1. Ordinary crimes</w:t>
      </w:r>
      <w:bookmarkEnd w:id="48"/>
      <w:bookmarkEnd w:id="49"/>
      <w:bookmarkEnd w:id="50"/>
    </w:p>
    <w:p w14:paraId="4D65E7F1" w14:textId="77777777" w:rsidR="00437A3D" w:rsidRPr="00AA6144" w:rsidRDefault="00437A3D" w:rsidP="00437A3D">
      <w:pPr>
        <w:spacing w:after="0"/>
        <w:rPr>
          <w:lang w:val="en-CA"/>
        </w:rPr>
      </w:pPr>
    </w:p>
    <w:p w14:paraId="597FECBB" w14:textId="77777777" w:rsidR="00E57056" w:rsidRPr="00AA6144" w:rsidRDefault="007C2250" w:rsidP="00E57056">
      <w:pPr>
        <w:pStyle w:val="AIBodyText"/>
        <w:rPr>
          <w:bCs/>
          <w:color w:val="auto"/>
          <w:szCs w:val="22"/>
          <w:lang w:val="en-CA"/>
        </w:rPr>
      </w:pPr>
      <w:r w:rsidRPr="00AA6144">
        <w:rPr>
          <w:rFonts w:eastAsia="Times-Roman" w:cs="Times-Roman"/>
          <w:color w:val="auto"/>
          <w:szCs w:val="22"/>
          <w:lang w:val="en-CA"/>
        </w:rPr>
        <w:t xml:space="preserve">Canadian courts </w:t>
      </w:r>
      <w:r w:rsidR="00EE4BFB" w:rsidRPr="00AA6144">
        <w:rPr>
          <w:rFonts w:eastAsia="Times-Roman" w:cs="Times-Roman"/>
          <w:color w:val="auto"/>
          <w:szCs w:val="22"/>
          <w:lang w:val="en-CA"/>
        </w:rPr>
        <w:t xml:space="preserve">cannot </w:t>
      </w:r>
      <w:r w:rsidR="00E57056" w:rsidRPr="00AA6144">
        <w:rPr>
          <w:rFonts w:eastAsia="Times-Roman" w:cs="Times-Roman"/>
          <w:color w:val="auto"/>
          <w:szCs w:val="22"/>
          <w:lang w:val="en-CA"/>
        </w:rPr>
        <w:t xml:space="preserve">exercise universal jurisdiction over ordinary crimes, such as murder, assault, </w:t>
      </w:r>
      <w:proofErr w:type="gramStart"/>
      <w:r w:rsidR="00E57056" w:rsidRPr="00AA6144">
        <w:rPr>
          <w:rFonts w:eastAsia="Times-Roman" w:cs="Times-Roman"/>
          <w:color w:val="auto"/>
          <w:szCs w:val="22"/>
          <w:lang w:val="en-CA"/>
        </w:rPr>
        <w:t>rape</w:t>
      </w:r>
      <w:proofErr w:type="gramEnd"/>
      <w:r w:rsidR="00E57056" w:rsidRPr="00AA6144">
        <w:rPr>
          <w:rFonts w:eastAsia="Times-Roman" w:cs="Times-Roman"/>
          <w:color w:val="auto"/>
          <w:szCs w:val="22"/>
          <w:lang w:val="en-CA"/>
        </w:rPr>
        <w:t xml:space="preserve"> or kidnapping</w:t>
      </w:r>
      <w:r w:rsidR="00EE4BFB" w:rsidRPr="00AA6144">
        <w:rPr>
          <w:rFonts w:eastAsia="Times-Roman" w:cs="Times-Roman"/>
          <w:color w:val="auto"/>
          <w:szCs w:val="22"/>
          <w:lang w:val="en-CA"/>
        </w:rPr>
        <w:t xml:space="preserve">. </w:t>
      </w:r>
    </w:p>
    <w:p w14:paraId="1BA99628" w14:textId="77777777" w:rsidR="00E57056" w:rsidRPr="00AA6144" w:rsidRDefault="00E57056" w:rsidP="005D1B49">
      <w:pPr>
        <w:pStyle w:val="Heading2"/>
        <w:tabs>
          <w:tab w:val="clear" w:pos="0"/>
        </w:tabs>
        <w:ind w:left="-567"/>
        <w:rPr>
          <w:color w:val="auto"/>
          <w:lang w:val="en-CA"/>
        </w:rPr>
      </w:pPr>
      <w:bookmarkStart w:id="51" w:name="_Toc193798653"/>
      <w:bookmarkStart w:id="52" w:name="_Toc220954449"/>
      <w:bookmarkStart w:id="53" w:name="_Toc43382729"/>
      <w:r w:rsidRPr="00AA6144">
        <w:rPr>
          <w:color w:val="auto"/>
          <w:lang w:val="en-CA"/>
        </w:rPr>
        <w:lastRenderedPageBreak/>
        <w:t xml:space="preserve">4.2. Crimes </w:t>
      </w:r>
      <w:bookmarkEnd w:id="51"/>
      <w:r w:rsidRPr="00AA6144">
        <w:rPr>
          <w:color w:val="auto"/>
          <w:lang w:val="en-CA"/>
        </w:rPr>
        <w:t>under national law of international concern</w:t>
      </w:r>
      <w:bookmarkEnd w:id="52"/>
      <w:bookmarkEnd w:id="53"/>
      <w:r w:rsidRPr="00AA6144">
        <w:rPr>
          <w:color w:val="auto"/>
          <w:lang w:val="en-CA"/>
        </w:rPr>
        <w:t xml:space="preserve"> </w:t>
      </w:r>
    </w:p>
    <w:p w14:paraId="53F2364D" w14:textId="77777777" w:rsidR="00437A3D" w:rsidRPr="00AA6144" w:rsidRDefault="00437A3D" w:rsidP="00437A3D">
      <w:pPr>
        <w:spacing w:after="0"/>
        <w:rPr>
          <w:lang w:val="en-CA"/>
        </w:rPr>
      </w:pPr>
    </w:p>
    <w:p w14:paraId="0E1A038A" w14:textId="774E9228" w:rsidR="007C2250" w:rsidRPr="00AA6144" w:rsidRDefault="007C2250" w:rsidP="005D1B49">
      <w:pPr>
        <w:pStyle w:val="BodyText"/>
        <w:ind w:left="-567"/>
        <w:rPr>
          <w:rFonts w:eastAsia="Times-Roman"/>
          <w:color w:val="auto"/>
          <w:lang w:val="en-CA"/>
        </w:rPr>
      </w:pPr>
      <w:r w:rsidRPr="00AA6144">
        <w:rPr>
          <w:rFonts w:eastAsia="Times-Roman"/>
          <w:color w:val="auto"/>
          <w:lang w:val="en-CA"/>
        </w:rPr>
        <w:t xml:space="preserve">As indicated in the </w:t>
      </w:r>
      <w:r w:rsidR="00F51FEC" w:rsidRPr="00AA6144">
        <w:rPr>
          <w:rFonts w:eastAsia="Times-Roman"/>
          <w:color w:val="auto"/>
          <w:lang w:val="en-CA"/>
        </w:rPr>
        <w:t xml:space="preserve">chart </w:t>
      </w:r>
      <w:r w:rsidR="003E6744" w:rsidRPr="00AA6144">
        <w:rPr>
          <w:rFonts w:eastAsia="Times-Roman"/>
          <w:color w:val="auto"/>
          <w:lang w:val="en-CA"/>
        </w:rPr>
        <w:t>below</w:t>
      </w:r>
      <w:r w:rsidRPr="00AA6144">
        <w:rPr>
          <w:rFonts w:eastAsia="Times-Roman"/>
          <w:color w:val="auto"/>
          <w:lang w:val="en-CA"/>
        </w:rPr>
        <w:t xml:space="preserve">, Canada has signed, but not yet ratified, </w:t>
      </w:r>
      <w:r w:rsidR="00E136BA" w:rsidRPr="00AA6144">
        <w:rPr>
          <w:rFonts w:eastAsia="Times-Roman"/>
          <w:color w:val="auto"/>
          <w:lang w:val="en-CA"/>
        </w:rPr>
        <w:t xml:space="preserve">two </w:t>
      </w:r>
      <w:r w:rsidRPr="00AA6144">
        <w:rPr>
          <w:rFonts w:eastAsia="Times-Roman"/>
          <w:color w:val="auto"/>
          <w:lang w:val="en-CA"/>
        </w:rPr>
        <w:t>international treaties providing for universal jurisdiction over crimes under national law of international concern</w:t>
      </w:r>
      <w:r w:rsidR="00F51FEC" w:rsidRPr="00AA6144">
        <w:rPr>
          <w:rFonts w:eastAsia="Times-Roman"/>
          <w:color w:val="auto"/>
          <w:lang w:val="en-CA"/>
        </w:rPr>
        <w:t>. I</w:t>
      </w:r>
      <w:r w:rsidRPr="00AA6144">
        <w:rPr>
          <w:rFonts w:eastAsia="Times-Roman"/>
          <w:color w:val="auto"/>
          <w:lang w:val="en-CA"/>
        </w:rPr>
        <w:t>t has ratified 1</w:t>
      </w:r>
      <w:r w:rsidR="00FC457D" w:rsidRPr="00AA6144">
        <w:rPr>
          <w:rFonts w:eastAsia="Times-Roman"/>
          <w:color w:val="auto"/>
          <w:lang w:val="en-CA"/>
        </w:rPr>
        <w:t>5</w:t>
      </w:r>
      <w:r w:rsidRPr="00AA6144">
        <w:rPr>
          <w:rFonts w:eastAsia="Times-Roman"/>
          <w:color w:val="auto"/>
          <w:lang w:val="en-CA"/>
        </w:rPr>
        <w:t xml:space="preserve"> of such treaties. As noted below, it has defined the crimes listed in 20 of those treaties in whole or in part, as crimes under national law</w:t>
      </w:r>
      <w:r w:rsidR="00F51FEC" w:rsidRPr="00AA6144">
        <w:rPr>
          <w:rFonts w:eastAsia="Times-Roman"/>
          <w:color w:val="auto"/>
          <w:lang w:val="en-CA"/>
        </w:rPr>
        <w:t>,</w:t>
      </w:r>
      <w:r w:rsidRPr="00AA6144">
        <w:rPr>
          <w:rFonts w:eastAsia="Times-Roman"/>
          <w:color w:val="auto"/>
          <w:lang w:val="en-CA"/>
        </w:rPr>
        <w:t xml:space="preserve"> and it has provided its courts with universal jurisdiction over 15 of such crimes. </w:t>
      </w:r>
    </w:p>
    <w:p w14:paraId="17067743" w14:textId="77777777" w:rsidR="00CC5C7B" w:rsidRPr="00AA6144" w:rsidRDefault="00CC5C7B" w:rsidP="003F7AB3">
      <w:pPr>
        <w:pStyle w:val="BodyText"/>
        <w:rPr>
          <w:color w:val="auto"/>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194"/>
        <w:gridCol w:w="1194"/>
        <w:gridCol w:w="1455"/>
        <w:gridCol w:w="1550"/>
      </w:tblGrid>
      <w:tr w:rsidR="004D4838" w:rsidRPr="00AA6144" w14:paraId="7864F953" w14:textId="77777777">
        <w:trPr>
          <w:tblHeader/>
        </w:trPr>
        <w:tc>
          <w:tcPr>
            <w:tcW w:w="7580" w:type="dxa"/>
            <w:gridSpan w:val="5"/>
            <w:tcBorders>
              <w:bottom w:val="single" w:sz="4" w:space="0" w:color="auto"/>
            </w:tcBorders>
            <w:shd w:val="clear" w:color="auto" w:fill="000000"/>
          </w:tcPr>
          <w:p w14:paraId="6E1A0CAB" w14:textId="77777777" w:rsidR="004D4838" w:rsidRPr="00AA6144" w:rsidRDefault="004D4838" w:rsidP="004D4838">
            <w:pPr>
              <w:pStyle w:val="BodyText"/>
              <w:spacing w:line="240" w:lineRule="auto"/>
              <w:jc w:val="both"/>
              <w:rPr>
                <w:b/>
                <w:caps/>
                <w:color w:val="auto"/>
                <w:szCs w:val="18"/>
                <w:lang w:val="en-CA"/>
              </w:rPr>
            </w:pPr>
            <w:r w:rsidRPr="00AA6144">
              <w:rPr>
                <w:b/>
                <w:caps/>
                <w:color w:val="auto"/>
                <w:szCs w:val="18"/>
                <w:lang w:val="en-CA"/>
              </w:rPr>
              <w:t>CHART I. CRIMES UNDER NATIONAL LAW OF INTERNATIONAL CONCERN</w:t>
            </w:r>
          </w:p>
        </w:tc>
      </w:tr>
      <w:tr w:rsidR="004D4838" w:rsidRPr="00AA6144" w14:paraId="619E7B59" w14:textId="77777777">
        <w:trPr>
          <w:tblHeader/>
        </w:trPr>
        <w:tc>
          <w:tcPr>
            <w:tcW w:w="2187" w:type="dxa"/>
            <w:shd w:val="clear" w:color="auto" w:fill="auto"/>
          </w:tcPr>
          <w:p w14:paraId="54BDD312" w14:textId="77777777" w:rsidR="004D4838" w:rsidRPr="00AA6144" w:rsidRDefault="004D4838" w:rsidP="004D4838">
            <w:pPr>
              <w:pStyle w:val="BodyText"/>
              <w:spacing w:line="240" w:lineRule="auto"/>
              <w:jc w:val="both"/>
              <w:rPr>
                <w:b/>
                <w:color w:val="auto"/>
                <w:szCs w:val="18"/>
                <w:lang w:val="en-CA"/>
              </w:rPr>
            </w:pPr>
            <w:bookmarkStart w:id="54" w:name="_Toc220954451"/>
            <w:r w:rsidRPr="00AA6144">
              <w:rPr>
                <w:b/>
                <w:caps/>
                <w:color w:val="auto"/>
                <w:szCs w:val="18"/>
                <w:lang w:val="en-CA"/>
              </w:rPr>
              <w:t>Crime and treaty</w:t>
            </w:r>
            <w:r w:rsidRPr="00AA6144">
              <w:rPr>
                <w:rStyle w:val="FootnoteReference"/>
                <w:b/>
                <w:caps/>
                <w:color w:val="auto"/>
                <w:szCs w:val="18"/>
                <w:lang w:val="en-CA"/>
              </w:rPr>
              <w:footnoteReference w:id="86"/>
            </w:r>
          </w:p>
        </w:tc>
        <w:tc>
          <w:tcPr>
            <w:tcW w:w="1194" w:type="dxa"/>
            <w:shd w:val="clear" w:color="auto" w:fill="auto"/>
          </w:tcPr>
          <w:p w14:paraId="1157455D" w14:textId="77777777" w:rsidR="004D4838" w:rsidRPr="00AA6144" w:rsidRDefault="004D4838" w:rsidP="004D4838">
            <w:pPr>
              <w:pStyle w:val="BodyText"/>
              <w:spacing w:line="240" w:lineRule="auto"/>
              <w:jc w:val="both"/>
              <w:rPr>
                <w:b/>
                <w:color w:val="auto"/>
                <w:szCs w:val="18"/>
                <w:lang w:val="en-CA"/>
              </w:rPr>
            </w:pPr>
            <w:r w:rsidRPr="00AA6144">
              <w:rPr>
                <w:b/>
                <w:caps/>
                <w:color w:val="auto"/>
                <w:szCs w:val="18"/>
                <w:lang w:val="en-CA"/>
              </w:rPr>
              <w:t>Signed relevant treaty</w:t>
            </w:r>
          </w:p>
        </w:tc>
        <w:tc>
          <w:tcPr>
            <w:tcW w:w="1194" w:type="dxa"/>
            <w:shd w:val="clear" w:color="auto" w:fill="auto"/>
          </w:tcPr>
          <w:p w14:paraId="5C0CC2DF" w14:textId="77777777" w:rsidR="004D4838" w:rsidRPr="00AA6144" w:rsidRDefault="004D4838" w:rsidP="004D4838">
            <w:pPr>
              <w:pStyle w:val="BodyText"/>
              <w:spacing w:line="240" w:lineRule="auto"/>
              <w:jc w:val="both"/>
              <w:rPr>
                <w:b/>
                <w:caps/>
                <w:color w:val="auto"/>
                <w:szCs w:val="18"/>
                <w:lang w:val="en-CA"/>
              </w:rPr>
            </w:pPr>
            <w:r w:rsidRPr="00AA6144">
              <w:rPr>
                <w:b/>
                <w:caps/>
                <w:color w:val="auto"/>
                <w:szCs w:val="18"/>
                <w:lang w:val="en-CA"/>
              </w:rPr>
              <w:t>Ratified/</w:t>
            </w:r>
          </w:p>
          <w:p w14:paraId="709CC6CA" w14:textId="77777777" w:rsidR="004D4838" w:rsidRPr="00AA6144" w:rsidRDefault="004D4838" w:rsidP="004D4838">
            <w:pPr>
              <w:pStyle w:val="BodyText"/>
              <w:spacing w:line="240" w:lineRule="auto"/>
              <w:jc w:val="both"/>
              <w:rPr>
                <w:b/>
                <w:color w:val="auto"/>
                <w:szCs w:val="18"/>
                <w:lang w:val="en-CA"/>
              </w:rPr>
            </w:pPr>
            <w:r w:rsidRPr="00AA6144">
              <w:rPr>
                <w:b/>
                <w:caps/>
                <w:color w:val="auto"/>
                <w:szCs w:val="18"/>
                <w:lang w:val="en-CA"/>
              </w:rPr>
              <w:t>acceded to relevant treaty</w:t>
            </w:r>
          </w:p>
        </w:tc>
        <w:tc>
          <w:tcPr>
            <w:tcW w:w="1455" w:type="dxa"/>
            <w:shd w:val="clear" w:color="auto" w:fill="auto"/>
          </w:tcPr>
          <w:p w14:paraId="49833529" w14:textId="77777777" w:rsidR="004D4838" w:rsidRPr="00AA6144" w:rsidRDefault="004D4838" w:rsidP="004D4838">
            <w:pPr>
              <w:pStyle w:val="BodyText"/>
              <w:spacing w:line="240" w:lineRule="auto"/>
              <w:jc w:val="both"/>
              <w:rPr>
                <w:b/>
                <w:color w:val="auto"/>
                <w:szCs w:val="18"/>
                <w:lang w:val="en-CA"/>
              </w:rPr>
            </w:pPr>
            <w:r w:rsidRPr="00AA6144">
              <w:rPr>
                <w:b/>
                <w:caps/>
                <w:color w:val="auto"/>
                <w:szCs w:val="18"/>
                <w:lang w:val="en-CA"/>
              </w:rPr>
              <w:t>Defined in national law</w:t>
            </w:r>
          </w:p>
        </w:tc>
        <w:tc>
          <w:tcPr>
            <w:tcW w:w="1550" w:type="dxa"/>
            <w:shd w:val="clear" w:color="auto" w:fill="auto"/>
          </w:tcPr>
          <w:p w14:paraId="499B3073" w14:textId="77777777" w:rsidR="004D4838" w:rsidRPr="00AA6144" w:rsidRDefault="004D4838" w:rsidP="004D4838">
            <w:pPr>
              <w:pStyle w:val="BodyText"/>
              <w:spacing w:line="240" w:lineRule="auto"/>
              <w:jc w:val="both"/>
              <w:rPr>
                <w:b/>
                <w:color w:val="auto"/>
                <w:szCs w:val="18"/>
                <w:lang w:val="en-CA"/>
              </w:rPr>
            </w:pPr>
            <w:r w:rsidRPr="00AA6144">
              <w:rPr>
                <w:b/>
                <w:caps/>
                <w:color w:val="auto"/>
                <w:szCs w:val="18"/>
                <w:lang w:val="en-CA"/>
              </w:rPr>
              <w:t>Universal jurisdiction</w:t>
            </w:r>
          </w:p>
        </w:tc>
      </w:tr>
      <w:tr w:rsidR="004D4838" w:rsidRPr="00356280" w14:paraId="75D99F83" w14:textId="77777777">
        <w:tc>
          <w:tcPr>
            <w:tcW w:w="2187" w:type="dxa"/>
          </w:tcPr>
          <w:p w14:paraId="17EF01CA"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Piracy - 1889 Montevideo T</w:t>
            </w:r>
            <w:r w:rsidR="005D1B49" w:rsidRPr="00AA6144">
              <w:rPr>
                <w:color w:val="auto"/>
                <w:szCs w:val="18"/>
                <w:lang w:val="en-CA"/>
              </w:rPr>
              <w:t>r</w:t>
            </w:r>
            <w:r w:rsidRPr="00AA6144">
              <w:rPr>
                <w:color w:val="auto"/>
                <w:szCs w:val="18"/>
                <w:lang w:val="en-CA"/>
              </w:rPr>
              <w:t>eaty [OAS only]</w:t>
            </w:r>
          </w:p>
        </w:tc>
        <w:tc>
          <w:tcPr>
            <w:tcW w:w="1194" w:type="dxa"/>
          </w:tcPr>
          <w:p w14:paraId="472470E8" w14:textId="48A3DB0A" w:rsidR="004D4838" w:rsidRPr="00AA6144" w:rsidRDefault="004D4838" w:rsidP="004D4838">
            <w:pPr>
              <w:pStyle w:val="BodyText"/>
              <w:spacing w:line="240" w:lineRule="auto"/>
              <w:jc w:val="both"/>
              <w:rPr>
                <w:color w:val="auto"/>
                <w:szCs w:val="18"/>
                <w:lang w:val="en-CA"/>
              </w:rPr>
            </w:pPr>
            <w:r w:rsidRPr="00AA6144">
              <w:rPr>
                <w:color w:val="auto"/>
                <w:szCs w:val="18"/>
                <w:lang w:val="en-CA"/>
              </w:rPr>
              <w:t>N</w:t>
            </w:r>
            <w:r w:rsidR="007B53D3">
              <w:rPr>
                <w:color w:val="auto"/>
                <w:szCs w:val="18"/>
                <w:lang w:val="en-CA"/>
              </w:rPr>
              <w:t>O</w:t>
            </w:r>
          </w:p>
        </w:tc>
        <w:tc>
          <w:tcPr>
            <w:tcW w:w="1194" w:type="dxa"/>
          </w:tcPr>
          <w:p w14:paraId="5C0C5BE8" w14:textId="74C4D3F0" w:rsidR="004D4838" w:rsidRPr="00AA6144" w:rsidRDefault="004D4838" w:rsidP="004D4838">
            <w:pPr>
              <w:pStyle w:val="BodyText"/>
              <w:spacing w:line="240" w:lineRule="auto"/>
              <w:jc w:val="both"/>
              <w:rPr>
                <w:color w:val="auto"/>
                <w:szCs w:val="18"/>
                <w:lang w:val="en-CA"/>
              </w:rPr>
            </w:pPr>
            <w:r w:rsidRPr="00AA6144">
              <w:rPr>
                <w:color w:val="auto"/>
                <w:szCs w:val="18"/>
                <w:lang w:val="en-CA"/>
              </w:rPr>
              <w:t>N</w:t>
            </w:r>
            <w:r w:rsidR="007B53D3">
              <w:rPr>
                <w:color w:val="auto"/>
                <w:szCs w:val="18"/>
                <w:lang w:val="en-CA"/>
              </w:rPr>
              <w:t>O</w:t>
            </w:r>
          </w:p>
        </w:tc>
        <w:tc>
          <w:tcPr>
            <w:tcW w:w="1455" w:type="dxa"/>
          </w:tcPr>
          <w:p w14:paraId="612EB523"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 xml:space="preserve">c. </w:t>
            </w:r>
            <w:r w:rsidRPr="00356280">
              <w:rPr>
                <w:caps/>
                <w:color w:val="auto"/>
                <w:szCs w:val="18"/>
                <w:lang w:val="fr-CA"/>
              </w:rPr>
              <w:t xml:space="preserve">C-46, </w:t>
            </w:r>
            <w:r w:rsidRPr="00356280">
              <w:rPr>
                <w:color w:val="auto"/>
                <w:szCs w:val="18"/>
                <w:lang w:val="fr-CA"/>
              </w:rPr>
              <w:t>s.</w:t>
            </w:r>
            <w:r w:rsidRPr="00356280">
              <w:rPr>
                <w:caps/>
                <w:color w:val="auto"/>
                <w:szCs w:val="18"/>
                <w:lang w:val="fr-CA"/>
              </w:rPr>
              <w:t xml:space="preserve"> 74 (1)</w:t>
            </w:r>
          </w:p>
        </w:tc>
        <w:tc>
          <w:tcPr>
            <w:tcW w:w="1550" w:type="dxa"/>
          </w:tcPr>
          <w:p w14:paraId="57E7E218"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c, C-46, </w:t>
            </w:r>
            <w:r w:rsidRPr="00356280">
              <w:rPr>
                <w:color w:val="auto"/>
                <w:szCs w:val="18"/>
                <w:lang w:val="fr-CA"/>
              </w:rPr>
              <w:t>s</w:t>
            </w:r>
            <w:r w:rsidRPr="00356280">
              <w:rPr>
                <w:caps/>
                <w:color w:val="auto"/>
                <w:szCs w:val="18"/>
                <w:lang w:val="fr-CA"/>
              </w:rPr>
              <w:t>. 74 (2)</w:t>
            </w:r>
          </w:p>
        </w:tc>
      </w:tr>
      <w:tr w:rsidR="004D4838" w:rsidRPr="00356280" w14:paraId="14B3B0A9" w14:textId="77777777">
        <w:tc>
          <w:tcPr>
            <w:tcW w:w="2187" w:type="dxa"/>
          </w:tcPr>
          <w:p w14:paraId="38C95AE7"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Piracy - 1928 Bustamante Code </w:t>
            </w:r>
          </w:p>
        </w:tc>
        <w:tc>
          <w:tcPr>
            <w:tcW w:w="1194" w:type="dxa"/>
          </w:tcPr>
          <w:p w14:paraId="1FB12291"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194" w:type="dxa"/>
          </w:tcPr>
          <w:p w14:paraId="6987D590"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455" w:type="dxa"/>
          </w:tcPr>
          <w:p w14:paraId="1B18DAB1"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c.</w:t>
            </w:r>
            <w:r w:rsidRPr="00356280">
              <w:rPr>
                <w:caps/>
                <w:color w:val="auto"/>
                <w:szCs w:val="18"/>
                <w:lang w:val="fr-CA"/>
              </w:rPr>
              <w:t xml:space="preserve"> C-46, </w:t>
            </w:r>
            <w:r w:rsidRPr="00356280">
              <w:rPr>
                <w:color w:val="auto"/>
                <w:szCs w:val="18"/>
                <w:lang w:val="fr-CA"/>
              </w:rPr>
              <w:t>s.</w:t>
            </w:r>
            <w:r w:rsidRPr="00356280">
              <w:rPr>
                <w:caps/>
                <w:color w:val="auto"/>
                <w:szCs w:val="18"/>
                <w:lang w:val="fr-CA"/>
              </w:rPr>
              <w:t xml:space="preserve"> 74 (1)</w:t>
            </w:r>
          </w:p>
        </w:tc>
        <w:tc>
          <w:tcPr>
            <w:tcW w:w="1550" w:type="dxa"/>
          </w:tcPr>
          <w:p w14:paraId="238A88ED"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c</w:t>
            </w:r>
            <w:r w:rsidRPr="00356280">
              <w:rPr>
                <w:caps/>
                <w:color w:val="auto"/>
                <w:szCs w:val="18"/>
                <w:lang w:val="fr-CA"/>
              </w:rPr>
              <w:t xml:space="preserve">. </w:t>
            </w:r>
            <w:r w:rsidRPr="00356280">
              <w:rPr>
                <w:color w:val="auto"/>
                <w:szCs w:val="18"/>
                <w:lang w:val="fr-CA"/>
              </w:rPr>
              <w:t>c</w:t>
            </w:r>
            <w:r w:rsidRPr="00356280">
              <w:rPr>
                <w:caps/>
                <w:color w:val="auto"/>
                <w:szCs w:val="18"/>
                <w:lang w:val="fr-CA"/>
              </w:rPr>
              <w:t xml:space="preserve">-46, </w:t>
            </w:r>
            <w:r w:rsidRPr="00356280">
              <w:rPr>
                <w:color w:val="auto"/>
                <w:szCs w:val="18"/>
                <w:lang w:val="fr-CA"/>
              </w:rPr>
              <w:t>s</w:t>
            </w:r>
            <w:r w:rsidRPr="00356280">
              <w:rPr>
                <w:caps/>
                <w:color w:val="auto"/>
                <w:szCs w:val="18"/>
                <w:lang w:val="fr-CA"/>
              </w:rPr>
              <w:t>. 74 (2)</w:t>
            </w:r>
          </w:p>
        </w:tc>
      </w:tr>
      <w:tr w:rsidR="004D4838" w:rsidRPr="00356280" w14:paraId="4CE210B0" w14:textId="77777777">
        <w:tc>
          <w:tcPr>
            <w:tcW w:w="2187" w:type="dxa"/>
          </w:tcPr>
          <w:p w14:paraId="4C8CFE96"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Piracy -1940 Montevideo Treaty</w:t>
            </w:r>
            <w:r w:rsidRPr="00AA6144">
              <w:rPr>
                <w:caps/>
                <w:color w:val="auto"/>
                <w:szCs w:val="18"/>
                <w:lang w:val="en-CA"/>
              </w:rPr>
              <w:t xml:space="preserve"> </w:t>
            </w:r>
          </w:p>
        </w:tc>
        <w:tc>
          <w:tcPr>
            <w:tcW w:w="1194" w:type="dxa"/>
          </w:tcPr>
          <w:p w14:paraId="580FAD5D" w14:textId="51157EFB" w:rsidR="004D4838" w:rsidRPr="00AA6144" w:rsidRDefault="007B53D3" w:rsidP="004D4838">
            <w:pPr>
              <w:pStyle w:val="BodyText"/>
              <w:spacing w:line="240" w:lineRule="auto"/>
              <w:jc w:val="both"/>
              <w:rPr>
                <w:color w:val="auto"/>
                <w:szCs w:val="18"/>
                <w:lang w:val="en-CA"/>
              </w:rPr>
            </w:pPr>
            <w:r>
              <w:rPr>
                <w:color w:val="auto"/>
                <w:szCs w:val="18"/>
                <w:lang w:val="en-CA"/>
              </w:rPr>
              <w:t>NO</w:t>
            </w:r>
            <w:r w:rsidR="004D4838" w:rsidRPr="00AA6144">
              <w:rPr>
                <w:color w:val="auto"/>
                <w:szCs w:val="18"/>
                <w:lang w:val="en-CA"/>
              </w:rPr>
              <w:t xml:space="preserve"> </w:t>
            </w:r>
          </w:p>
        </w:tc>
        <w:tc>
          <w:tcPr>
            <w:tcW w:w="1194" w:type="dxa"/>
          </w:tcPr>
          <w:p w14:paraId="6C7A9FB3" w14:textId="172C7029" w:rsidR="004D4838" w:rsidRPr="00AA6144" w:rsidRDefault="007B53D3" w:rsidP="004D4838">
            <w:pPr>
              <w:pStyle w:val="BodyText"/>
              <w:spacing w:line="240" w:lineRule="auto"/>
              <w:jc w:val="both"/>
              <w:rPr>
                <w:color w:val="auto"/>
                <w:szCs w:val="18"/>
                <w:lang w:val="en-CA"/>
              </w:rPr>
            </w:pPr>
            <w:r>
              <w:rPr>
                <w:color w:val="auto"/>
                <w:szCs w:val="18"/>
                <w:lang w:val="en-CA"/>
              </w:rPr>
              <w:t>NO</w:t>
            </w:r>
          </w:p>
        </w:tc>
        <w:tc>
          <w:tcPr>
            <w:tcW w:w="1455" w:type="dxa"/>
          </w:tcPr>
          <w:p w14:paraId="374D8AD7"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c.</w:t>
            </w:r>
            <w:r w:rsidRPr="00356280">
              <w:rPr>
                <w:caps/>
                <w:color w:val="auto"/>
                <w:szCs w:val="18"/>
                <w:lang w:val="fr-CA"/>
              </w:rPr>
              <w:t xml:space="preserve"> C-46, </w:t>
            </w:r>
            <w:r w:rsidRPr="00356280">
              <w:rPr>
                <w:color w:val="auto"/>
                <w:szCs w:val="18"/>
                <w:lang w:val="fr-CA"/>
              </w:rPr>
              <w:t>s.</w:t>
            </w:r>
            <w:r w:rsidRPr="00356280">
              <w:rPr>
                <w:caps/>
                <w:color w:val="auto"/>
                <w:szCs w:val="18"/>
                <w:lang w:val="fr-CA"/>
              </w:rPr>
              <w:t xml:space="preserve"> 74 (1)</w:t>
            </w:r>
          </w:p>
        </w:tc>
        <w:tc>
          <w:tcPr>
            <w:tcW w:w="1550" w:type="dxa"/>
          </w:tcPr>
          <w:p w14:paraId="34D43AD7"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c</w:t>
            </w:r>
            <w:r w:rsidRPr="00356280">
              <w:rPr>
                <w:caps/>
                <w:color w:val="auto"/>
                <w:szCs w:val="18"/>
                <w:lang w:val="fr-CA"/>
              </w:rPr>
              <w:t xml:space="preserve">. </w:t>
            </w:r>
            <w:r w:rsidRPr="00356280">
              <w:rPr>
                <w:color w:val="auto"/>
                <w:szCs w:val="18"/>
                <w:lang w:val="fr-CA"/>
              </w:rPr>
              <w:t>c</w:t>
            </w:r>
            <w:r w:rsidRPr="00356280">
              <w:rPr>
                <w:caps/>
                <w:color w:val="auto"/>
                <w:szCs w:val="18"/>
                <w:lang w:val="fr-CA"/>
              </w:rPr>
              <w:t xml:space="preserve">-46, </w:t>
            </w:r>
            <w:r w:rsidRPr="00356280">
              <w:rPr>
                <w:color w:val="auto"/>
                <w:szCs w:val="18"/>
                <w:lang w:val="fr-CA"/>
              </w:rPr>
              <w:t>s</w:t>
            </w:r>
            <w:r w:rsidRPr="00356280">
              <w:rPr>
                <w:caps/>
                <w:color w:val="auto"/>
                <w:szCs w:val="18"/>
                <w:lang w:val="fr-CA"/>
              </w:rPr>
              <w:t>. 74 (2)</w:t>
            </w:r>
          </w:p>
        </w:tc>
      </w:tr>
      <w:tr w:rsidR="004D4838" w:rsidRPr="00356280" w14:paraId="4E48AD13" w14:textId="77777777">
        <w:tc>
          <w:tcPr>
            <w:tcW w:w="2187" w:type="dxa"/>
          </w:tcPr>
          <w:p w14:paraId="17A70DD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Piracy - </w:t>
            </w:r>
            <w:r w:rsidRPr="00AA6144">
              <w:rPr>
                <w:rFonts w:eastAsia="Times-Roman"/>
                <w:color w:val="auto"/>
                <w:szCs w:val="18"/>
                <w:lang w:val="en-CA"/>
              </w:rPr>
              <w:t xml:space="preserve">1958 High Seas Convention </w:t>
            </w:r>
          </w:p>
        </w:tc>
        <w:tc>
          <w:tcPr>
            <w:tcW w:w="1194" w:type="dxa"/>
          </w:tcPr>
          <w:p w14:paraId="7ECA21FA"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194" w:type="dxa"/>
          </w:tcPr>
          <w:p w14:paraId="2B867B38"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455" w:type="dxa"/>
          </w:tcPr>
          <w:p w14:paraId="6131CF82"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c.</w:t>
            </w:r>
            <w:r w:rsidRPr="00356280">
              <w:rPr>
                <w:caps/>
                <w:color w:val="auto"/>
                <w:szCs w:val="18"/>
                <w:lang w:val="fr-CA"/>
              </w:rPr>
              <w:t xml:space="preserve"> C-46, </w:t>
            </w:r>
            <w:r w:rsidRPr="00356280">
              <w:rPr>
                <w:color w:val="auto"/>
                <w:szCs w:val="18"/>
                <w:lang w:val="fr-CA"/>
              </w:rPr>
              <w:t>s.</w:t>
            </w:r>
            <w:r w:rsidRPr="00356280">
              <w:rPr>
                <w:caps/>
                <w:color w:val="auto"/>
                <w:szCs w:val="18"/>
                <w:lang w:val="fr-CA"/>
              </w:rPr>
              <w:t xml:space="preserve"> 74 (1)</w:t>
            </w:r>
          </w:p>
        </w:tc>
        <w:tc>
          <w:tcPr>
            <w:tcW w:w="1550" w:type="dxa"/>
          </w:tcPr>
          <w:p w14:paraId="4EF2A8F5"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c</w:t>
            </w:r>
            <w:r w:rsidRPr="00356280">
              <w:rPr>
                <w:caps/>
                <w:color w:val="auto"/>
                <w:szCs w:val="18"/>
                <w:lang w:val="fr-CA"/>
              </w:rPr>
              <w:t xml:space="preserve">. </w:t>
            </w:r>
            <w:r w:rsidRPr="00356280">
              <w:rPr>
                <w:color w:val="auto"/>
                <w:szCs w:val="18"/>
                <w:lang w:val="fr-CA"/>
              </w:rPr>
              <w:t>c</w:t>
            </w:r>
            <w:r w:rsidRPr="00356280">
              <w:rPr>
                <w:caps/>
                <w:color w:val="auto"/>
                <w:szCs w:val="18"/>
                <w:lang w:val="fr-CA"/>
              </w:rPr>
              <w:t xml:space="preserve">-46, </w:t>
            </w:r>
            <w:r w:rsidRPr="00356280">
              <w:rPr>
                <w:color w:val="auto"/>
                <w:szCs w:val="18"/>
                <w:lang w:val="fr-CA"/>
              </w:rPr>
              <w:t>s</w:t>
            </w:r>
            <w:r w:rsidRPr="00356280">
              <w:rPr>
                <w:caps/>
                <w:color w:val="auto"/>
                <w:szCs w:val="18"/>
                <w:lang w:val="fr-CA"/>
              </w:rPr>
              <w:t>. 74 (2)</w:t>
            </w:r>
          </w:p>
        </w:tc>
      </w:tr>
      <w:tr w:rsidR="004D4838" w:rsidRPr="00356280" w14:paraId="01C0F2D4" w14:textId="77777777">
        <w:tc>
          <w:tcPr>
            <w:tcW w:w="2187" w:type="dxa"/>
          </w:tcPr>
          <w:p w14:paraId="55248539"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Piracy - </w:t>
            </w:r>
            <w:r w:rsidRPr="00AA6144">
              <w:rPr>
                <w:rFonts w:eastAsia="Times-Roman"/>
                <w:color w:val="auto"/>
                <w:szCs w:val="18"/>
                <w:lang w:val="en-CA"/>
              </w:rPr>
              <w:t>1982 UN Convention on the Law of the Sea</w:t>
            </w:r>
          </w:p>
        </w:tc>
        <w:tc>
          <w:tcPr>
            <w:tcW w:w="1194" w:type="dxa"/>
          </w:tcPr>
          <w:p w14:paraId="7517B4F2" w14:textId="77777777" w:rsidR="004D4838" w:rsidRPr="00AA6144" w:rsidRDefault="00FC457D" w:rsidP="004D4838">
            <w:pPr>
              <w:pStyle w:val="BodyText"/>
              <w:spacing w:line="240" w:lineRule="auto"/>
              <w:jc w:val="both"/>
              <w:rPr>
                <w:color w:val="auto"/>
                <w:szCs w:val="18"/>
                <w:lang w:val="en-CA"/>
              </w:rPr>
            </w:pPr>
            <w:r w:rsidRPr="00AA6144">
              <w:rPr>
                <w:color w:val="auto"/>
                <w:szCs w:val="18"/>
                <w:lang w:val="en-CA"/>
              </w:rPr>
              <w:t xml:space="preserve">10 </w:t>
            </w:r>
            <w:r w:rsidR="004D4838" w:rsidRPr="00AA6144">
              <w:rPr>
                <w:color w:val="auto"/>
                <w:szCs w:val="18"/>
                <w:lang w:val="en-CA"/>
              </w:rPr>
              <w:t>December 1982</w:t>
            </w:r>
          </w:p>
        </w:tc>
        <w:tc>
          <w:tcPr>
            <w:tcW w:w="1194" w:type="dxa"/>
          </w:tcPr>
          <w:p w14:paraId="29858E91"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7 November 2003</w:t>
            </w:r>
          </w:p>
        </w:tc>
        <w:tc>
          <w:tcPr>
            <w:tcW w:w="1455" w:type="dxa"/>
          </w:tcPr>
          <w:p w14:paraId="03BB24D3"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c.</w:t>
            </w:r>
            <w:r w:rsidRPr="00356280">
              <w:rPr>
                <w:caps/>
                <w:color w:val="auto"/>
                <w:szCs w:val="18"/>
                <w:lang w:val="fr-CA"/>
              </w:rPr>
              <w:t xml:space="preserve"> C-46, </w:t>
            </w:r>
            <w:r w:rsidRPr="00356280">
              <w:rPr>
                <w:color w:val="auto"/>
                <w:szCs w:val="18"/>
                <w:lang w:val="fr-CA"/>
              </w:rPr>
              <w:t>s.</w:t>
            </w:r>
            <w:r w:rsidRPr="00356280">
              <w:rPr>
                <w:caps/>
                <w:color w:val="auto"/>
                <w:szCs w:val="18"/>
                <w:lang w:val="fr-CA"/>
              </w:rPr>
              <w:t xml:space="preserve"> 74 (1)</w:t>
            </w:r>
          </w:p>
        </w:tc>
        <w:tc>
          <w:tcPr>
            <w:tcW w:w="1550" w:type="dxa"/>
          </w:tcPr>
          <w:p w14:paraId="3D806574"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c</w:t>
            </w:r>
            <w:r w:rsidRPr="00356280">
              <w:rPr>
                <w:caps/>
                <w:color w:val="auto"/>
                <w:szCs w:val="18"/>
                <w:lang w:val="fr-CA"/>
              </w:rPr>
              <w:t xml:space="preserve">. </w:t>
            </w:r>
            <w:r w:rsidRPr="00356280">
              <w:rPr>
                <w:color w:val="auto"/>
                <w:szCs w:val="18"/>
                <w:lang w:val="fr-CA"/>
              </w:rPr>
              <w:t>c</w:t>
            </w:r>
            <w:r w:rsidRPr="00356280">
              <w:rPr>
                <w:caps/>
                <w:color w:val="auto"/>
                <w:szCs w:val="18"/>
                <w:lang w:val="fr-CA"/>
              </w:rPr>
              <w:t xml:space="preserve">-46, </w:t>
            </w:r>
            <w:r w:rsidRPr="00356280">
              <w:rPr>
                <w:color w:val="auto"/>
                <w:szCs w:val="18"/>
                <w:lang w:val="fr-CA"/>
              </w:rPr>
              <w:t>s</w:t>
            </w:r>
            <w:r w:rsidRPr="00356280">
              <w:rPr>
                <w:caps/>
                <w:color w:val="auto"/>
                <w:szCs w:val="18"/>
                <w:lang w:val="fr-CA"/>
              </w:rPr>
              <w:t>. 74 (2)</w:t>
            </w:r>
          </w:p>
        </w:tc>
      </w:tr>
      <w:tr w:rsidR="004D4838" w:rsidRPr="00AA6144" w14:paraId="1DBA40F3" w14:textId="77777777">
        <w:tc>
          <w:tcPr>
            <w:tcW w:w="2187" w:type="dxa"/>
          </w:tcPr>
          <w:p w14:paraId="623060C4" w14:textId="77777777" w:rsidR="004D4838" w:rsidRPr="00AA6144" w:rsidRDefault="004D4838" w:rsidP="004D4838">
            <w:pPr>
              <w:pStyle w:val="BodyText"/>
              <w:spacing w:line="240" w:lineRule="auto"/>
              <w:jc w:val="both"/>
              <w:rPr>
                <w:color w:val="auto"/>
                <w:szCs w:val="18"/>
                <w:lang w:val="en-CA"/>
              </w:rPr>
            </w:pPr>
            <w:r w:rsidRPr="00AA6144">
              <w:rPr>
                <w:rFonts w:eastAsia="Times-Roman"/>
                <w:bCs/>
                <w:iCs/>
                <w:color w:val="auto"/>
                <w:szCs w:val="18"/>
                <w:lang w:val="en-CA"/>
              </w:rPr>
              <w:t>Counterfeiting -</w:t>
            </w:r>
            <w:r w:rsidRPr="00AA6144">
              <w:rPr>
                <w:rFonts w:eastAsia="Times-Roman"/>
                <w:color w:val="auto"/>
                <w:szCs w:val="18"/>
                <w:lang w:val="en-CA"/>
              </w:rPr>
              <w:t xml:space="preserve"> 1929 Convention</w:t>
            </w:r>
          </w:p>
        </w:tc>
        <w:tc>
          <w:tcPr>
            <w:tcW w:w="1194" w:type="dxa"/>
          </w:tcPr>
          <w:p w14:paraId="74FD306B"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194" w:type="dxa"/>
          </w:tcPr>
          <w:p w14:paraId="30377B5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455" w:type="dxa"/>
          </w:tcPr>
          <w:p w14:paraId="5B82DBC5"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1985, c. C-46, s. 448 - 449</w:t>
            </w:r>
            <w:r w:rsidRPr="00AA6144">
              <w:rPr>
                <w:rStyle w:val="FootnoteReference"/>
                <w:color w:val="auto"/>
                <w:szCs w:val="18"/>
                <w:lang w:val="en-CA"/>
              </w:rPr>
              <w:footnoteReference w:id="87"/>
            </w:r>
          </w:p>
        </w:tc>
        <w:tc>
          <w:tcPr>
            <w:tcW w:w="1550" w:type="dxa"/>
          </w:tcPr>
          <w:p w14:paraId="4635EC62"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r>
      <w:tr w:rsidR="004D4838" w:rsidRPr="00AA6144" w14:paraId="32479704" w14:textId="77777777">
        <w:tc>
          <w:tcPr>
            <w:tcW w:w="2187" w:type="dxa"/>
          </w:tcPr>
          <w:p w14:paraId="0D5A597C" w14:textId="77777777" w:rsidR="004D4838" w:rsidRPr="00AA6144" w:rsidRDefault="004D4838" w:rsidP="004D4838">
            <w:pPr>
              <w:pStyle w:val="BodyText"/>
              <w:spacing w:line="240" w:lineRule="auto"/>
              <w:jc w:val="both"/>
              <w:rPr>
                <w:color w:val="auto"/>
                <w:szCs w:val="18"/>
                <w:lang w:val="en-CA"/>
              </w:rPr>
            </w:pPr>
            <w:r w:rsidRPr="00AA6144">
              <w:rPr>
                <w:bCs/>
                <w:iCs/>
                <w:color w:val="auto"/>
                <w:szCs w:val="18"/>
                <w:lang w:val="en-CA"/>
              </w:rPr>
              <w:t>Narcotics Trafficking:</w:t>
            </w:r>
            <w:r w:rsidRPr="00AA6144">
              <w:rPr>
                <w:color w:val="auto"/>
                <w:szCs w:val="18"/>
                <w:lang w:val="en-CA"/>
              </w:rPr>
              <w:t xml:space="preserve"> 1961 Single Convention, </w:t>
            </w:r>
            <w:r w:rsidRPr="00AA6144">
              <w:rPr>
                <w:color w:val="auto"/>
                <w:szCs w:val="18"/>
                <w:lang w:val="en-CA"/>
              </w:rPr>
              <w:lastRenderedPageBreak/>
              <w:t>as amended by 1972 Protocol</w:t>
            </w:r>
          </w:p>
        </w:tc>
        <w:tc>
          <w:tcPr>
            <w:tcW w:w="1194" w:type="dxa"/>
          </w:tcPr>
          <w:p w14:paraId="5E27AE28"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lastRenderedPageBreak/>
              <w:t>30 March 1961</w:t>
            </w:r>
            <w:r w:rsidRPr="00AA6144">
              <w:rPr>
                <w:rStyle w:val="FootnoteReference"/>
                <w:color w:val="auto"/>
                <w:szCs w:val="18"/>
                <w:lang w:val="en-CA"/>
              </w:rPr>
              <w:footnoteReference w:id="88"/>
            </w:r>
          </w:p>
        </w:tc>
        <w:tc>
          <w:tcPr>
            <w:tcW w:w="1194" w:type="dxa"/>
          </w:tcPr>
          <w:p w14:paraId="335112A4"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11 October 1961</w:t>
            </w:r>
          </w:p>
        </w:tc>
        <w:tc>
          <w:tcPr>
            <w:tcW w:w="1455" w:type="dxa"/>
          </w:tcPr>
          <w:p w14:paraId="4844FCD0"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Controlled Drugs and </w:t>
            </w:r>
            <w:r w:rsidRPr="00AA6144">
              <w:rPr>
                <w:color w:val="auto"/>
                <w:szCs w:val="18"/>
                <w:lang w:val="en-CA"/>
              </w:rPr>
              <w:lastRenderedPageBreak/>
              <w:t>Substances Act, S.C. 1996, c. 19, ss. 4-7</w:t>
            </w:r>
          </w:p>
        </w:tc>
        <w:tc>
          <w:tcPr>
            <w:tcW w:w="1550" w:type="dxa"/>
          </w:tcPr>
          <w:p w14:paraId="19A38C3C"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lastRenderedPageBreak/>
              <w:t>NO</w:t>
            </w:r>
          </w:p>
        </w:tc>
      </w:tr>
      <w:tr w:rsidR="004D4838" w:rsidRPr="00356280" w14:paraId="68CC985D" w14:textId="77777777">
        <w:tc>
          <w:tcPr>
            <w:tcW w:w="2187" w:type="dxa"/>
          </w:tcPr>
          <w:p w14:paraId="7F793749" w14:textId="77777777" w:rsidR="004D4838" w:rsidRPr="00AA6144" w:rsidRDefault="004D4838" w:rsidP="004D4838">
            <w:pPr>
              <w:pStyle w:val="BodyText"/>
              <w:spacing w:line="240" w:lineRule="auto"/>
              <w:jc w:val="both"/>
              <w:rPr>
                <w:color w:val="auto"/>
                <w:szCs w:val="18"/>
                <w:lang w:val="en-CA"/>
              </w:rPr>
            </w:pPr>
            <w:r w:rsidRPr="00AA6144">
              <w:rPr>
                <w:bCs/>
                <w:iCs/>
                <w:color w:val="auto"/>
                <w:szCs w:val="18"/>
                <w:lang w:val="en-CA"/>
              </w:rPr>
              <w:t>Violen</w:t>
            </w:r>
            <w:r w:rsidR="00C82D85" w:rsidRPr="00AA6144">
              <w:rPr>
                <w:bCs/>
                <w:iCs/>
                <w:color w:val="auto"/>
                <w:szCs w:val="18"/>
                <w:lang w:val="en-CA"/>
              </w:rPr>
              <w:t xml:space="preserve">ce on </w:t>
            </w:r>
            <w:r w:rsidRPr="00AA6144">
              <w:rPr>
                <w:bCs/>
                <w:iCs/>
                <w:color w:val="auto"/>
                <w:szCs w:val="18"/>
                <w:lang w:val="en-CA"/>
              </w:rPr>
              <w:t>Aircraft –</w:t>
            </w:r>
            <w:r w:rsidRPr="00AA6144">
              <w:rPr>
                <w:color w:val="auto"/>
                <w:szCs w:val="18"/>
                <w:lang w:val="en-CA"/>
              </w:rPr>
              <w:t xml:space="preserve"> </w:t>
            </w:r>
            <w:r w:rsidR="00954926" w:rsidRPr="00AA6144">
              <w:rPr>
                <w:rFonts w:eastAsia="Times-Roman"/>
                <w:color w:val="auto"/>
                <w:szCs w:val="18"/>
                <w:lang w:val="en-CA"/>
              </w:rPr>
              <w:t xml:space="preserve">1963 Tokyo </w:t>
            </w:r>
            <w:r w:rsidRPr="00AA6144">
              <w:rPr>
                <w:rFonts w:eastAsia="Times-Roman"/>
                <w:color w:val="auto"/>
                <w:szCs w:val="18"/>
                <w:lang w:val="en-CA"/>
              </w:rPr>
              <w:t>Convention</w:t>
            </w:r>
          </w:p>
        </w:tc>
        <w:tc>
          <w:tcPr>
            <w:tcW w:w="1194" w:type="dxa"/>
          </w:tcPr>
          <w:p w14:paraId="684AEC9E"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4 November 1964</w:t>
            </w:r>
          </w:p>
        </w:tc>
        <w:tc>
          <w:tcPr>
            <w:tcW w:w="1194" w:type="dxa"/>
          </w:tcPr>
          <w:p w14:paraId="1D646868"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7 November 1969</w:t>
            </w:r>
          </w:p>
        </w:tc>
        <w:tc>
          <w:tcPr>
            <w:tcW w:w="1455" w:type="dxa"/>
          </w:tcPr>
          <w:p w14:paraId="30060CB0" w14:textId="77777777" w:rsidR="004D4838" w:rsidRPr="007B53D3" w:rsidRDefault="004D4838" w:rsidP="004D4838">
            <w:pPr>
              <w:pStyle w:val="BodyText"/>
              <w:spacing w:line="240" w:lineRule="auto"/>
              <w:jc w:val="both"/>
              <w:rPr>
                <w:color w:val="auto"/>
                <w:szCs w:val="18"/>
                <w:lang w:val="fr-CA"/>
              </w:rPr>
            </w:pPr>
            <w:r w:rsidRPr="007B53D3">
              <w:rPr>
                <w:color w:val="auto"/>
                <w:szCs w:val="18"/>
                <w:lang w:val="fr-CA"/>
              </w:rPr>
              <w:t xml:space="preserve">Criminal Code, R.S.C., c. C.-46, </w:t>
            </w:r>
            <w:proofErr w:type="spellStart"/>
            <w:r w:rsidRPr="007B53D3">
              <w:rPr>
                <w:color w:val="auto"/>
                <w:szCs w:val="18"/>
                <w:lang w:val="fr-CA"/>
              </w:rPr>
              <w:t>ss</w:t>
            </w:r>
            <w:proofErr w:type="spellEnd"/>
            <w:r w:rsidRPr="007B53D3">
              <w:rPr>
                <w:color w:val="auto"/>
                <w:szCs w:val="18"/>
                <w:lang w:val="fr-CA"/>
              </w:rPr>
              <w:t>. 76 – 77</w:t>
            </w:r>
            <w:r w:rsidRPr="00AA6144">
              <w:rPr>
                <w:rStyle w:val="FootnoteReference"/>
                <w:color w:val="auto"/>
                <w:szCs w:val="18"/>
                <w:lang w:val="en-CA"/>
              </w:rPr>
              <w:footnoteReference w:id="89"/>
            </w:r>
          </w:p>
        </w:tc>
        <w:tc>
          <w:tcPr>
            <w:tcW w:w="1550" w:type="dxa"/>
          </w:tcPr>
          <w:p w14:paraId="73218A89"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w:t>
            </w:r>
            <w:r w:rsidRPr="00356280">
              <w:rPr>
                <w:caps/>
                <w:color w:val="auto"/>
                <w:szCs w:val="18"/>
                <w:lang w:val="fr-CA"/>
              </w:rPr>
              <w:t xml:space="preserve">, R.S.C. 1985, </w:t>
            </w:r>
            <w:r w:rsidRPr="00356280">
              <w:rPr>
                <w:color w:val="auto"/>
                <w:szCs w:val="18"/>
                <w:lang w:val="fr-CA"/>
              </w:rPr>
              <w:t>c</w:t>
            </w:r>
            <w:r w:rsidRPr="00356280">
              <w:rPr>
                <w:caps/>
                <w:color w:val="auto"/>
                <w:szCs w:val="18"/>
                <w:lang w:val="fr-CA"/>
              </w:rPr>
              <w:t xml:space="preserve">. </w:t>
            </w:r>
            <w:r w:rsidRPr="00356280">
              <w:rPr>
                <w:color w:val="auto"/>
                <w:szCs w:val="18"/>
                <w:lang w:val="fr-CA"/>
              </w:rPr>
              <w:t>c</w:t>
            </w:r>
            <w:r w:rsidRPr="00356280">
              <w:rPr>
                <w:caps/>
                <w:color w:val="auto"/>
                <w:szCs w:val="18"/>
                <w:lang w:val="fr-CA"/>
              </w:rPr>
              <w:t xml:space="preserve">-46, </w:t>
            </w:r>
            <w:r w:rsidRPr="00356280">
              <w:rPr>
                <w:color w:val="auto"/>
                <w:szCs w:val="18"/>
                <w:lang w:val="fr-CA"/>
              </w:rPr>
              <w:t>s</w:t>
            </w:r>
            <w:r w:rsidRPr="00356280">
              <w:rPr>
                <w:caps/>
                <w:color w:val="auto"/>
                <w:szCs w:val="18"/>
                <w:lang w:val="fr-CA"/>
              </w:rPr>
              <w:t>. 74 (2)</w:t>
            </w:r>
          </w:p>
        </w:tc>
      </w:tr>
      <w:tr w:rsidR="004D4838" w:rsidRPr="00356280" w14:paraId="703A8D43" w14:textId="77777777">
        <w:tc>
          <w:tcPr>
            <w:tcW w:w="2187" w:type="dxa"/>
          </w:tcPr>
          <w:p w14:paraId="0BFE0586" w14:textId="77777777" w:rsidR="004D4838" w:rsidRPr="00AA6144" w:rsidRDefault="004D4838" w:rsidP="004D4838">
            <w:pPr>
              <w:pStyle w:val="BodyText"/>
              <w:spacing w:line="240" w:lineRule="auto"/>
              <w:jc w:val="both"/>
              <w:rPr>
                <w:color w:val="auto"/>
                <w:szCs w:val="18"/>
                <w:lang w:val="en-CA"/>
              </w:rPr>
            </w:pPr>
            <w:r w:rsidRPr="00AA6144">
              <w:rPr>
                <w:bCs/>
                <w:iCs/>
                <w:color w:val="auto"/>
                <w:szCs w:val="18"/>
                <w:lang w:val="en-CA"/>
              </w:rPr>
              <w:t xml:space="preserve">Hijacking Aircraft- </w:t>
            </w:r>
            <w:r w:rsidRPr="00AA6144">
              <w:rPr>
                <w:color w:val="auto"/>
                <w:szCs w:val="18"/>
                <w:lang w:val="en-CA"/>
              </w:rPr>
              <w:t>1970 Hague Convention</w:t>
            </w:r>
          </w:p>
        </w:tc>
        <w:tc>
          <w:tcPr>
            <w:tcW w:w="1194" w:type="dxa"/>
          </w:tcPr>
          <w:p w14:paraId="2B26A21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16 December 1970</w:t>
            </w:r>
          </w:p>
        </w:tc>
        <w:tc>
          <w:tcPr>
            <w:tcW w:w="1194" w:type="dxa"/>
          </w:tcPr>
          <w:p w14:paraId="042475D1"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20 June 1972</w:t>
            </w:r>
          </w:p>
        </w:tc>
        <w:tc>
          <w:tcPr>
            <w:tcW w:w="1455" w:type="dxa"/>
          </w:tcPr>
          <w:p w14:paraId="05C88E46"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1985, c. C-46, s. 76</w:t>
            </w:r>
          </w:p>
        </w:tc>
        <w:tc>
          <w:tcPr>
            <w:tcW w:w="1550" w:type="dxa"/>
          </w:tcPr>
          <w:p w14:paraId="7A06C182"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c. C-46, s. 7 (2)</w:t>
            </w:r>
          </w:p>
        </w:tc>
      </w:tr>
      <w:tr w:rsidR="004D4838" w:rsidRPr="00AA6144" w14:paraId="0AE4D129" w14:textId="77777777">
        <w:tc>
          <w:tcPr>
            <w:tcW w:w="2187" w:type="dxa"/>
          </w:tcPr>
          <w:p w14:paraId="114A390E" w14:textId="77777777" w:rsidR="004D4838" w:rsidRPr="00AA6144" w:rsidRDefault="004D4838" w:rsidP="004D4838">
            <w:pPr>
              <w:pStyle w:val="BodyText"/>
              <w:spacing w:line="240" w:lineRule="auto"/>
              <w:jc w:val="both"/>
              <w:rPr>
                <w:color w:val="auto"/>
                <w:szCs w:val="18"/>
                <w:lang w:val="en-CA"/>
              </w:rPr>
            </w:pPr>
            <w:r w:rsidRPr="00AA6144">
              <w:rPr>
                <w:bCs/>
                <w:iCs/>
                <w:color w:val="auto"/>
                <w:szCs w:val="18"/>
                <w:lang w:val="en-CA"/>
              </w:rPr>
              <w:t>Psychotropic Substances:</w:t>
            </w:r>
            <w:r w:rsidRPr="00AA6144">
              <w:rPr>
                <w:color w:val="auto"/>
                <w:szCs w:val="18"/>
                <w:lang w:val="en-CA"/>
              </w:rPr>
              <w:t xml:space="preserve"> 1971 Convention</w:t>
            </w:r>
          </w:p>
        </w:tc>
        <w:tc>
          <w:tcPr>
            <w:tcW w:w="1194" w:type="dxa"/>
          </w:tcPr>
          <w:p w14:paraId="677B8F59"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20 December 1988 </w:t>
            </w:r>
          </w:p>
        </w:tc>
        <w:tc>
          <w:tcPr>
            <w:tcW w:w="1194" w:type="dxa"/>
          </w:tcPr>
          <w:p w14:paraId="0A372B31"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5 July 1990 </w:t>
            </w:r>
          </w:p>
        </w:tc>
        <w:tc>
          <w:tcPr>
            <w:tcW w:w="1455" w:type="dxa"/>
          </w:tcPr>
          <w:p w14:paraId="0180B2D3" w14:textId="77777777" w:rsidR="004D4838" w:rsidRPr="00AA6144" w:rsidRDefault="00954926" w:rsidP="004D4838">
            <w:pPr>
              <w:pStyle w:val="BodyText"/>
              <w:spacing w:line="240" w:lineRule="auto"/>
              <w:jc w:val="both"/>
              <w:rPr>
                <w:color w:val="auto"/>
                <w:szCs w:val="18"/>
                <w:lang w:val="en-CA"/>
              </w:rPr>
            </w:pPr>
            <w:r w:rsidRPr="00AA6144">
              <w:rPr>
                <w:color w:val="auto"/>
                <w:szCs w:val="18"/>
                <w:lang w:val="en-CA"/>
              </w:rPr>
              <w:t xml:space="preserve">Controlled Drugs </w:t>
            </w:r>
            <w:r w:rsidR="004D4838" w:rsidRPr="00AA6144">
              <w:rPr>
                <w:color w:val="auto"/>
                <w:szCs w:val="18"/>
                <w:lang w:val="en-CA"/>
              </w:rPr>
              <w:t>and Substances Act, S.C. 1996, c. 19, ss. 4-7; Criminal Code, R.S.C. 1985, c.C-46, s. 462.2</w:t>
            </w:r>
          </w:p>
        </w:tc>
        <w:tc>
          <w:tcPr>
            <w:tcW w:w="1550" w:type="dxa"/>
          </w:tcPr>
          <w:p w14:paraId="4158E8B9"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r>
      <w:tr w:rsidR="004D4838" w:rsidRPr="00356280" w14:paraId="59CD14B7" w14:textId="77777777">
        <w:tc>
          <w:tcPr>
            <w:tcW w:w="2187" w:type="dxa"/>
          </w:tcPr>
          <w:p w14:paraId="0738C992" w14:textId="77777777" w:rsidR="004D4838" w:rsidRPr="00AA6144" w:rsidRDefault="004D4838" w:rsidP="004D4838">
            <w:pPr>
              <w:pStyle w:val="BodyText"/>
              <w:spacing w:line="240" w:lineRule="auto"/>
              <w:jc w:val="both"/>
              <w:rPr>
                <w:color w:val="auto"/>
                <w:szCs w:val="18"/>
                <w:lang w:val="en-CA"/>
              </w:rPr>
            </w:pPr>
            <w:r w:rsidRPr="00AA6144">
              <w:rPr>
                <w:bCs/>
                <w:iCs/>
                <w:color w:val="auto"/>
                <w:szCs w:val="18"/>
                <w:lang w:val="en-CA"/>
              </w:rPr>
              <w:t>Attacks on Aviation –</w:t>
            </w:r>
            <w:r w:rsidRPr="00AA6144">
              <w:rPr>
                <w:rFonts w:eastAsia="Times-Roman"/>
                <w:color w:val="auto"/>
                <w:szCs w:val="18"/>
                <w:lang w:val="en-CA"/>
              </w:rPr>
              <w:t xml:space="preserve"> 1971 Montreal Convention</w:t>
            </w:r>
          </w:p>
        </w:tc>
        <w:tc>
          <w:tcPr>
            <w:tcW w:w="1194" w:type="dxa"/>
          </w:tcPr>
          <w:p w14:paraId="289997F1"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19 September 1971</w:t>
            </w:r>
          </w:p>
        </w:tc>
        <w:tc>
          <w:tcPr>
            <w:tcW w:w="1194" w:type="dxa"/>
          </w:tcPr>
          <w:p w14:paraId="2766D158"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19 June 1972</w:t>
            </w:r>
          </w:p>
        </w:tc>
        <w:tc>
          <w:tcPr>
            <w:tcW w:w="1455" w:type="dxa"/>
          </w:tcPr>
          <w:p w14:paraId="2E79D9D0" w14:textId="77777777" w:rsidR="004D4838" w:rsidRPr="007B53D3" w:rsidRDefault="004D4838" w:rsidP="004D4838">
            <w:pPr>
              <w:pStyle w:val="BodyText"/>
              <w:spacing w:line="240" w:lineRule="auto"/>
              <w:jc w:val="both"/>
              <w:rPr>
                <w:color w:val="auto"/>
                <w:szCs w:val="18"/>
                <w:lang w:val="fr-CA"/>
              </w:rPr>
            </w:pPr>
            <w:r w:rsidRPr="007B53D3">
              <w:rPr>
                <w:color w:val="auto"/>
                <w:szCs w:val="18"/>
                <w:lang w:val="fr-CA"/>
              </w:rPr>
              <w:t>Criminal Code, R.S.C., 1985, c. C.-46, ss.76-77</w:t>
            </w:r>
          </w:p>
        </w:tc>
        <w:tc>
          <w:tcPr>
            <w:tcW w:w="1550" w:type="dxa"/>
          </w:tcPr>
          <w:p w14:paraId="13A5C6EC"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1985, c. C-46, s. 7 (2)</w:t>
            </w:r>
          </w:p>
        </w:tc>
      </w:tr>
      <w:tr w:rsidR="004D4838" w:rsidRPr="00AA6144" w14:paraId="1B8540ED" w14:textId="77777777">
        <w:tc>
          <w:tcPr>
            <w:tcW w:w="2187" w:type="dxa"/>
          </w:tcPr>
          <w:p w14:paraId="2BA0872D"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Internationally Significant Persons - 1971 OAS Convention </w:t>
            </w:r>
          </w:p>
        </w:tc>
        <w:tc>
          <w:tcPr>
            <w:tcW w:w="1194" w:type="dxa"/>
          </w:tcPr>
          <w:p w14:paraId="486E82E4"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194" w:type="dxa"/>
          </w:tcPr>
          <w:p w14:paraId="52A051D9"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455" w:type="dxa"/>
          </w:tcPr>
          <w:p w14:paraId="6B70D6AF"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550" w:type="dxa"/>
          </w:tcPr>
          <w:p w14:paraId="62E8E425"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r>
      <w:tr w:rsidR="004D4838" w:rsidRPr="00356280" w14:paraId="470CB008" w14:textId="77777777">
        <w:tc>
          <w:tcPr>
            <w:tcW w:w="2187" w:type="dxa"/>
          </w:tcPr>
          <w:p w14:paraId="621883A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Internationally Protected Persons - 1973 Convention</w:t>
            </w:r>
          </w:p>
        </w:tc>
        <w:tc>
          <w:tcPr>
            <w:tcW w:w="1194" w:type="dxa"/>
          </w:tcPr>
          <w:p w14:paraId="617EDF40"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26 June 1974</w:t>
            </w:r>
          </w:p>
        </w:tc>
        <w:tc>
          <w:tcPr>
            <w:tcW w:w="1194" w:type="dxa"/>
          </w:tcPr>
          <w:p w14:paraId="5B478EB0"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4 August 1976</w:t>
            </w:r>
          </w:p>
        </w:tc>
        <w:tc>
          <w:tcPr>
            <w:tcW w:w="1455" w:type="dxa"/>
          </w:tcPr>
          <w:p w14:paraId="6339DA1D" w14:textId="77777777" w:rsidR="004D4838" w:rsidRPr="007B53D3" w:rsidRDefault="004D4838" w:rsidP="004D4838">
            <w:pPr>
              <w:pStyle w:val="BodyText"/>
              <w:spacing w:line="240" w:lineRule="auto"/>
              <w:jc w:val="both"/>
              <w:rPr>
                <w:color w:val="auto"/>
                <w:szCs w:val="18"/>
                <w:lang w:val="fr-CA"/>
              </w:rPr>
            </w:pPr>
            <w:r w:rsidRPr="007B53D3">
              <w:rPr>
                <w:color w:val="auto"/>
                <w:szCs w:val="18"/>
                <w:lang w:val="fr-CA"/>
              </w:rPr>
              <w:t xml:space="preserve">Criminal Code, R.S.C. 1985, c. C-46, </w:t>
            </w:r>
            <w:proofErr w:type="spellStart"/>
            <w:r w:rsidRPr="007B53D3">
              <w:rPr>
                <w:color w:val="auto"/>
                <w:szCs w:val="18"/>
                <w:lang w:val="fr-CA"/>
              </w:rPr>
              <w:t>ss</w:t>
            </w:r>
            <w:proofErr w:type="spellEnd"/>
            <w:r w:rsidRPr="007B53D3">
              <w:rPr>
                <w:color w:val="auto"/>
                <w:szCs w:val="18"/>
                <w:lang w:val="fr-CA"/>
              </w:rPr>
              <w:t>. 279.01 – 279.03</w:t>
            </w:r>
          </w:p>
        </w:tc>
        <w:tc>
          <w:tcPr>
            <w:tcW w:w="1550" w:type="dxa"/>
          </w:tcPr>
          <w:p w14:paraId="3D71851E"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1985, c. C-46, s. 7 (3)</w:t>
            </w:r>
          </w:p>
        </w:tc>
      </w:tr>
      <w:tr w:rsidR="004D4838" w:rsidRPr="00356280" w14:paraId="13FC188D" w14:textId="77777777">
        <w:tc>
          <w:tcPr>
            <w:tcW w:w="2187" w:type="dxa"/>
          </w:tcPr>
          <w:p w14:paraId="4CC9FE78" w14:textId="77777777" w:rsidR="004D4838" w:rsidRPr="00356280" w:rsidRDefault="004D4838" w:rsidP="004D4838">
            <w:pPr>
              <w:pStyle w:val="BodyText"/>
              <w:spacing w:line="240" w:lineRule="auto"/>
              <w:jc w:val="both"/>
              <w:rPr>
                <w:color w:val="auto"/>
                <w:szCs w:val="18"/>
                <w:lang w:val="fr-CA"/>
              </w:rPr>
            </w:pPr>
          </w:p>
        </w:tc>
        <w:tc>
          <w:tcPr>
            <w:tcW w:w="1194" w:type="dxa"/>
          </w:tcPr>
          <w:p w14:paraId="7C341A15" w14:textId="77777777" w:rsidR="004D4838" w:rsidRPr="00AA6144" w:rsidRDefault="004D4838" w:rsidP="004D4838">
            <w:pPr>
              <w:pStyle w:val="BodyText"/>
              <w:spacing w:line="240" w:lineRule="auto"/>
              <w:jc w:val="both"/>
              <w:rPr>
                <w:color w:val="auto"/>
                <w:szCs w:val="18"/>
                <w:lang w:val="en-CA"/>
              </w:rPr>
            </w:pPr>
            <w:r w:rsidRPr="00356280">
              <w:rPr>
                <w:color w:val="auto"/>
                <w:szCs w:val="18"/>
                <w:lang w:val="fr-CA"/>
              </w:rPr>
              <w:t xml:space="preserve"> </w:t>
            </w:r>
            <w:r w:rsidRPr="00AA6144">
              <w:rPr>
                <w:color w:val="auto"/>
                <w:szCs w:val="18"/>
                <w:lang w:val="en-CA"/>
              </w:rPr>
              <w:t xml:space="preserve">18 February 1980                                                                                                                                                                                                                                                                                                                                                                                                                                                         </w:t>
            </w:r>
          </w:p>
        </w:tc>
        <w:tc>
          <w:tcPr>
            <w:tcW w:w="1194" w:type="dxa"/>
          </w:tcPr>
          <w:p w14:paraId="75D98552"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4 December 1985</w:t>
            </w:r>
          </w:p>
        </w:tc>
        <w:tc>
          <w:tcPr>
            <w:tcW w:w="1455" w:type="dxa"/>
          </w:tcPr>
          <w:p w14:paraId="34DC97FF"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1985, c. C-46, s. 279.1</w:t>
            </w:r>
          </w:p>
        </w:tc>
        <w:tc>
          <w:tcPr>
            <w:tcW w:w="1550" w:type="dxa"/>
          </w:tcPr>
          <w:p w14:paraId="0DBFD932"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1985, c. C-46, s. 7 (3.1)</w:t>
            </w:r>
            <w:r w:rsidRPr="00AA6144">
              <w:rPr>
                <w:rStyle w:val="FootnoteReference"/>
                <w:color w:val="auto"/>
                <w:szCs w:val="18"/>
                <w:lang w:val="en-CA"/>
              </w:rPr>
              <w:footnoteReference w:id="90"/>
            </w:r>
          </w:p>
        </w:tc>
      </w:tr>
      <w:tr w:rsidR="004D4838" w:rsidRPr="00356280" w14:paraId="7068532C" w14:textId="77777777">
        <w:tc>
          <w:tcPr>
            <w:tcW w:w="2187" w:type="dxa"/>
          </w:tcPr>
          <w:p w14:paraId="49469457"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Nuclear Materials - 1979 </w:t>
            </w:r>
            <w:r w:rsidRPr="00AA6144">
              <w:rPr>
                <w:color w:val="auto"/>
                <w:szCs w:val="18"/>
                <w:lang w:val="en-CA"/>
              </w:rPr>
              <w:lastRenderedPageBreak/>
              <w:t>Convention</w:t>
            </w:r>
          </w:p>
        </w:tc>
        <w:tc>
          <w:tcPr>
            <w:tcW w:w="1194" w:type="dxa"/>
          </w:tcPr>
          <w:p w14:paraId="33B5B382"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lastRenderedPageBreak/>
              <w:t xml:space="preserve">22 </w:t>
            </w:r>
            <w:r w:rsidRPr="00AA6144">
              <w:rPr>
                <w:color w:val="auto"/>
                <w:szCs w:val="18"/>
                <w:lang w:val="en-CA"/>
              </w:rPr>
              <w:lastRenderedPageBreak/>
              <w:t>September 1980</w:t>
            </w:r>
          </w:p>
        </w:tc>
        <w:tc>
          <w:tcPr>
            <w:tcW w:w="1194" w:type="dxa"/>
          </w:tcPr>
          <w:p w14:paraId="5CB45D4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lastRenderedPageBreak/>
              <w:t xml:space="preserve">21 March </w:t>
            </w:r>
            <w:r w:rsidRPr="00AA6144">
              <w:rPr>
                <w:color w:val="auto"/>
                <w:szCs w:val="18"/>
                <w:lang w:val="en-CA"/>
              </w:rPr>
              <w:lastRenderedPageBreak/>
              <w:t>1986</w:t>
            </w:r>
          </w:p>
        </w:tc>
        <w:tc>
          <w:tcPr>
            <w:tcW w:w="1455" w:type="dxa"/>
          </w:tcPr>
          <w:p w14:paraId="0E6AC7C8" w14:textId="77777777" w:rsidR="004D4838" w:rsidRPr="007B53D3" w:rsidRDefault="004D4838" w:rsidP="004D4838">
            <w:pPr>
              <w:pStyle w:val="BodyText"/>
              <w:spacing w:line="240" w:lineRule="auto"/>
              <w:jc w:val="both"/>
              <w:rPr>
                <w:color w:val="auto"/>
                <w:szCs w:val="18"/>
                <w:lang w:val="fr-CA"/>
              </w:rPr>
            </w:pPr>
            <w:r w:rsidRPr="007B53D3">
              <w:rPr>
                <w:color w:val="auto"/>
                <w:szCs w:val="18"/>
                <w:lang w:val="fr-CA"/>
              </w:rPr>
              <w:lastRenderedPageBreak/>
              <w:t xml:space="preserve">Criminal Code, </w:t>
            </w:r>
            <w:r w:rsidRPr="007B53D3">
              <w:rPr>
                <w:color w:val="auto"/>
                <w:szCs w:val="18"/>
                <w:lang w:val="fr-CA"/>
              </w:rPr>
              <w:lastRenderedPageBreak/>
              <w:t xml:space="preserve">R.S.C., c. C-46, </w:t>
            </w:r>
            <w:proofErr w:type="spellStart"/>
            <w:r w:rsidRPr="007B53D3">
              <w:rPr>
                <w:color w:val="auto"/>
                <w:szCs w:val="18"/>
                <w:lang w:val="fr-CA"/>
              </w:rPr>
              <w:t>ss</w:t>
            </w:r>
            <w:proofErr w:type="spellEnd"/>
            <w:r w:rsidRPr="007B53D3">
              <w:rPr>
                <w:color w:val="auto"/>
                <w:szCs w:val="18"/>
                <w:lang w:val="fr-CA"/>
              </w:rPr>
              <w:t>. 7 (3.2), 7 (3.6)</w:t>
            </w:r>
          </w:p>
        </w:tc>
        <w:tc>
          <w:tcPr>
            <w:tcW w:w="1550" w:type="dxa"/>
          </w:tcPr>
          <w:p w14:paraId="317F0179"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lastRenderedPageBreak/>
              <w:t xml:space="preserve">Criminal Code, </w:t>
            </w:r>
            <w:r w:rsidRPr="00356280">
              <w:rPr>
                <w:color w:val="auto"/>
                <w:szCs w:val="18"/>
                <w:lang w:val="fr-CA"/>
              </w:rPr>
              <w:lastRenderedPageBreak/>
              <w:t>R.S.C. 1985, c. C-46, s. 7 (3.5) (c)</w:t>
            </w:r>
          </w:p>
        </w:tc>
      </w:tr>
      <w:tr w:rsidR="004D4838" w:rsidRPr="00AA6144" w14:paraId="1AFE503C" w14:textId="77777777">
        <w:tc>
          <w:tcPr>
            <w:tcW w:w="2187" w:type="dxa"/>
          </w:tcPr>
          <w:p w14:paraId="6D4BC57A"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lastRenderedPageBreak/>
              <w:t>Attacks on Navigation - 1988 Convention</w:t>
            </w:r>
          </w:p>
        </w:tc>
        <w:tc>
          <w:tcPr>
            <w:tcW w:w="1194" w:type="dxa"/>
          </w:tcPr>
          <w:p w14:paraId="0EE3DB5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10 March 1998</w:t>
            </w:r>
          </w:p>
        </w:tc>
        <w:tc>
          <w:tcPr>
            <w:tcW w:w="1194" w:type="dxa"/>
          </w:tcPr>
          <w:p w14:paraId="5661B852"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18 June 1993</w:t>
            </w:r>
          </w:p>
        </w:tc>
        <w:tc>
          <w:tcPr>
            <w:tcW w:w="1455" w:type="dxa"/>
          </w:tcPr>
          <w:p w14:paraId="7DE91254"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c. C-46, s. 78.1</w:t>
            </w:r>
          </w:p>
        </w:tc>
        <w:tc>
          <w:tcPr>
            <w:tcW w:w="1550" w:type="dxa"/>
          </w:tcPr>
          <w:p w14:paraId="717119F9"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Criminal Code, R.S.C., 1985, c. C-46, ss. 7 (2.1); 7 (2.2) (b) (</w:t>
            </w:r>
            <w:proofErr w:type="spellStart"/>
            <w:r w:rsidRPr="00AA6144">
              <w:rPr>
                <w:color w:val="auto"/>
                <w:szCs w:val="18"/>
                <w:lang w:val="en-CA"/>
              </w:rPr>
              <w:t>i</w:t>
            </w:r>
            <w:proofErr w:type="spellEnd"/>
            <w:r w:rsidRPr="00AA6144">
              <w:rPr>
                <w:color w:val="auto"/>
                <w:szCs w:val="18"/>
                <w:lang w:val="en-CA"/>
              </w:rPr>
              <w:t xml:space="preserve">) – (ii) </w:t>
            </w:r>
          </w:p>
        </w:tc>
      </w:tr>
      <w:tr w:rsidR="004D4838" w:rsidRPr="00AA6144" w14:paraId="4548DC7C" w14:textId="77777777">
        <w:tc>
          <w:tcPr>
            <w:tcW w:w="2187" w:type="dxa"/>
          </w:tcPr>
          <w:p w14:paraId="2958BB21"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Mercenaries – 1989 Convention</w:t>
            </w:r>
          </w:p>
        </w:tc>
        <w:tc>
          <w:tcPr>
            <w:tcW w:w="1194" w:type="dxa"/>
          </w:tcPr>
          <w:p w14:paraId="4C0FB6B5"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194" w:type="dxa"/>
          </w:tcPr>
          <w:p w14:paraId="11E10FCE"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455" w:type="dxa"/>
          </w:tcPr>
          <w:p w14:paraId="02280158"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550" w:type="dxa"/>
          </w:tcPr>
          <w:p w14:paraId="53C84696"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r>
      <w:tr w:rsidR="004D4838" w:rsidRPr="00AA6144" w14:paraId="5DEB2499" w14:textId="77777777">
        <w:tc>
          <w:tcPr>
            <w:tcW w:w="2187" w:type="dxa"/>
          </w:tcPr>
          <w:p w14:paraId="173F526C"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Trafficking </w:t>
            </w:r>
            <w:proofErr w:type="gramStart"/>
            <w:r w:rsidRPr="00AA6144">
              <w:rPr>
                <w:color w:val="auto"/>
                <w:szCs w:val="18"/>
                <w:lang w:val="en-CA"/>
              </w:rPr>
              <w:t>In</w:t>
            </w:r>
            <w:proofErr w:type="gramEnd"/>
            <w:r w:rsidRPr="00AA6144">
              <w:rPr>
                <w:color w:val="auto"/>
                <w:szCs w:val="18"/>
                <w:lang w:val="en-CA"/>
              </w:rPr>
              <w:t xml:space="preserve"> Minors: 1994 Convention </w:t>
            </w:r>
          </w:p>
        </w:tc>
        <w:tc>
          <w:tcPr>
            <w:tcW w:w="1194" w:type="dxa"/>
          </w:tcPr>
          <w:p w14:paraId="7349B6BF"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194" w:type="dxa"/>
          </w:tcPr>
          <w:p w14:paraId="6DF4C275"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455" w:type="dxa"/>
          </w:tcPr>
          <w:p w14:paraId="61D4F31F"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Criminal Code, R.S.C. 1985, c. C-46, s. 279.01 – 279.04 (trafficking in persons); Immigration and Refugee Protection Act (ditto)</w:t>
            </w:r>
          </w:p>
        </w:tc>
        <w:tc>
          <w:tcPr>
            <w:tcW w:w="1550" w:type="dxa"/>
          </w:tcPr>
          <w:p w14:paraId="417FC667"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Immigration and Refugee Protection Act, ds. 135 (only over trafficking covered by this act) </w:t>
            </w:r>
          </w:p>
        </w:tc>
      </w:tr>
      <w:tr w:rsidR="004D4838" w:rsidRPr="00356280" w14:paraId="7912911E" w14:textId="77777777">
        <w:tc>
          <w:tcPr>
            <w:tcW w:w="2187" w:type="dxa"/>
          </w:tcPr>
          <w:p w14:paraId="20E7F0DA"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UN Personnel - 1994 Convention</w:t>
            </w:r>
          </w:p>
        </w:tc>
        <w:tc>
          <w:tcPr>
            <w:tcW w:w="1194" w:type="dxa"/>
          </w:tcPr>
          <w:p w14:paraId="7D0FAAEA"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15 December 1994</w:t>
            </w:r>
          </w:p>
        </w:tc>
        <w:tc>
          <w:tcPr>
            <w:tcW w:w="1194" w:type="dxa"/>
          </w:tcPr>
          <w:p w14:paraId="5D1CDD66"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3 April 2002</w:t>
            </w:r>
          </w:p>
        </w:tc>
        <w:tc>
          <w:tcPr>
            <w:tcW w:w="1455" w:type="dxa"/>
          </w:tcPr>
          <w:p w14:paraId="37667EC7" w14:textId="77777777" w:rsidR="004D4838" w:rsidRPr="007B53D3" w:rsidRDefault="004D4838" w:rsidP="004D4838">
            <w:pPr>
              <w:pStyle w:val="BodyText"/>
              <w:spacing w:line="240" w:lineRule="auto"/>
              <w:jc w:val="both"/>
              <w:rPr>
                <w:color w:val="auto"/>
                <w:szCs w:val="18"/>
                <w:lang w:val="fr-CA"/>
              </w:rPr>
            </w:pPr>
            <w:r w:rsidRPr="007B53D3">
              <w:rPr>
                <w:color w:val="auto"/>
                <w:szCs w:val="18"/>
                <w:lang w:val="fr-CA"/>
              </w:rPr>
              <w:t xml:space="preserve">Criminal Code, R.S.C. 1985, c. C-46, </w:t>
            </w:r>
            <w:proofErr w:type="spellStart"/>
            <w:r w:rsidRPr="007B53D3">
              <w:rPr>
                <w:color w:val="auto"/>
                <w:szCs w:val="18"/>
                <w:lang w:val="fr-CA"/>
              </w:rPr>
              <w:t>ss</w:t>
            </w:r>
            <w:proofErr w:type="spellEnd"/>
            <w:r w:rsidRPr="007B53D3">
              <w:rPr>
                <w:color w:val="auto"/>
                <w:szCs w:val="18"/>
                <w:lang w:val="fr-CA"/>
              </w:rPr>
              <w:t>. 2, 431.1</w:t>
            </w:r>
          </w:p>
        </w:tc>
        <w:tc>
          <w:tcPr>
            <w:tcW w:w="1550" w:type="dxa"/>
          </w:tcPr>
          <w:p w14:paraId="721A6145"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1985, c. C-46, s. 7 (3.71)</w:t>
            </w:r>
          </w:p>
        </w:tc>
      </w:tr>
      <w:tr w:rsidR="004D4838" w:rsidRPr="00AA6144" w14:paraId="389426EC" w14:textId="77777777">
        <w:tc>
          <w:tcPr>
            <w:tcW w:w="2187" w:type="dxa"/>
          </w:tcPr>
          <w:p w14:paraId="5856323E"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UN Personnel - 2005 Protocol</w:t>
            </w:r>
          </w:p>
        </w:tc>
        <w:tc>
          <w:tcPr>
            <w:tcW w:w="1194" w:type="dxa"/>
          </w:tcPr>
          <w:p w14:paraId="7DD26895"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194" w:type="dxa"/>
          </w:tcPr>
          <w:p w14:paraId="0C032A32"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455" w:type="dxa"/>
          </w:tcPr>
          <w:p w14:paraId="7076829F"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550" w:type="dxa"/>
          </w:tcPr>
          <w:p w14:paraId="0D7E126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r>
      <w:tr w:rsidR="004D4838" w:rsidRPr="00356280" w14:paraId="28DCE671" w14:textId="77777777">
        <w:tc>
          <w:tcPr>
            <w:tcW w:w="2187" w:type="dxa"/>
          </w:tcPr>
          <w:p w14:paraId="26A6061A"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Terrorist Bombing - 1997 Convention</w:t>
            </w:r>
          </w:p>
        </w:tc>
        <w:tc>
          <w:tcPr>
            <w:tcW w:w="1194" w:type="dxa"/>
          </w:tcPr>
          <w:p w14:paraId="4A44C92B"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12 January 1998</w:t>
            </w:r>
          </w:p>
        </w:tc>
        <w:tc>
          <w:tcPr>
            <w:tcW w:w="1194" w:type="dxa"/>
          </w:tcPr>
          <w:p w14:paraId="4BE65987"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3 April 2002</w:t>
            </w:r>
          </w:p>
        </w:tc>
        <w:tc>
          <w:tcPr>
            <w:tcW w:w="1455" w:type="dxa"/>
          </w:tcPr>
          <w:p w14:paraId="5F0560E4"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Criminal Code, R.S.C. 1985, c. C-46, ss. 431.2, 431.2 (2) and 431.2 (3)</w:t>
            </w:r>
          </w:p>
        </w:tc>
        <w:tc>
          <w:tcPr>
            <w:tcW w:w="1550" w:type="dxa"/>
          </w:tcPr>
          <w:p w14:paraId="6C62E44A"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1985, c. C-46, s. 7 (3.72)</w:t>
            </w:r>
          </w:p>
        </w:tc>
      </w:tr>
      <w:tr w:rsidR="004D4838" w:rsidRPr="00356280" w14:paraId="4C3596B9" w14:textId="77777777">
        <w:tc>
          <w:tcPr>
            <w:tcW w:w="2187" w:type="dxa"/>
          </w:tcPr>
          <w:p w14:paraId="3D8144C2"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Financing of Terrorism - 1999 Convention</w:t>
            </w:r>
          </w:p>
        </w:tc>
        <w:tc>
          <w:tcPr>
            <w:tcW w:w="1194" w:type="dxa"/>
          </w:tcPr>
          <w:p w14:paraId="233799CD"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10 February 2000</w:t>
            </w:r>
          </w:p>
        </w:tc>
        <w:tc>
          <w:tcPr>
            <w:tcW w:w="1194" w:type="dxa"/>
          </w:tcPr>
          <w:p w14:paraId="2714005A"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19 February 2002</w:t>
            </w:r>
          </w:p>
        </w:tc>
        <w:tc>
          <w:tcPr>
            <w:tcW w:w="1455" w:type="dxa"/>
          </w:tcPr>
          <w:p w14:paraId="455E3CFC" w14:textId="77777777" w:rsidR="004D4838" w:rsidRPr="007B53D3" w:rsidRDefault="004D4838" w:rsidP="004D4838">
            <w:pPr>
              <w:pStyle w:val="BodyText"/>
              <w:spacing w:line="240" w:lineRule="auto"/>
              <w:jc w:val="both"/>
              <w:rPr>
                <w:color w:val="auto"/>
                <w:szCs w:val="18"/>
                <w:lang w:val="fr-CA"/>
              </w:rPr>
            </w:pPr>
            <w:r w:rsidRPr="007B53D3">
              <w:rPr>
                <w:color w:val="auto"/>
                <w:szCs w:val="18"/>
                <w:lang w:val="fr-CA"/>
              </w:rPr>
              <w:t xml:space="preserve">Criminal Code, R.S.C. 1985, c. C-46, </w:t>
            </w:r>
            <w:proofErr w:type="spellStart"/>
            <w:r w:rsidRPr="007B53D3">
              <w:rPr>
                <w:color w:val="auto"/>
                <w:szCs w:val="18"/>
                <w:lang w:val="fr-CA"/>
              </w:rPr>
              <w:t>ss</w:t>
            </w:r>
            <w:proofErr w:type="spellEnd"/>
            <w:r w:rsidRPr="007B53D3">
              <w:rPr>
                <w:color w:val="auto"/>
                <w:szCs w:val="18"/>
                <w:lang w:val="fr-CA"/>
              </w:rPr>
              <w:t>. 83.02 – 83.04</w:t>
            </w:r>
          </w:p>
        </w:tc>
        <w:tc>
          <w:tcPr>
            <w:tcW w:w="1550" w:type="dxa"/>
          </w:tcPr>
          <w:p w14:paraId="4B56638B" w14:textId="77777777" w:rsidR="004D4838" w:rsidRPr="00356280" w:rsidRDefault="004D4838" w:rsidP="004D4838">
            <w:pPr>
              <w:pStyle w:val="BodyText"/>
              <w:spacing w:line="240" w:lineRule="auto"/>
              <w:jc w:val="both"/>
              <w:rPr>
                <w:color w:val="auto"/>
                <w:szCs w:val="18"/>
                <w:lang w:val="fr-CA"/>
              </w:rPr>
            </w:pPr>
            <w:r w:rsidRPr="00356280">
              <w:rPr>
                <w:color w:val="auto"/>
                <w:szCs w:val="18"/>
                <w:lang w:val="fr-CA"/>
              </w:rPr>
              <w:t>Criminal Code, R.S.C. 1985, c. C-46, s. 7 (3.73)</w:t>
            </w:r>
          </w:p>
        </w:tc>
      </w:tr>
      <w:tr w:rsidR="004D4838" w:rsidRPr="00AA6144" w14:paraId="6045AF86" w14:textId="77777777">
        <w:tc>
          <w:tcPr>
            <w:tcW w:w="2187" w:type="dxa"/>
          </w:tcPr>
          <w:p w14:paraId="3EE41F22"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Transnational Organized Crime - 2000 UN Convention</w:t>
            </w:r>
          </w:p>
        </w:tc>
        <w:tc>
          <w:tcPr>
            <w:tcW w:w="1194" w:type="dxa"/>
          </w:tcPr>
          <w:p w14:paraId="508B32B8"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14 December 2000</w:t>
            </w:r>
          </w:p>
        </w:tc>
        <w:tc>
          <w:tcPr>
            <w:tcW w:w="1194" w:type="dxa"/>
          </w:tcPr>
          <w:p w14:paraId="07258EBF"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13 May 2002</w:t>
            </w:r>
          </w:p>
        </w:tc>
        <w:tc>
          <w:tcPr>
            <w:tcW w:w="1455" w:type="dxa"/>
          </w:tcPr>
          <w:p w14:paraId="46E1D6F4"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Criminal Code, R.S.C. 1985, c. C-46, ss. 119-120 and 139, </w:t>
            </w:r>
            <w:r w:rsidRPr="00AA6144">
              <w:rPr>
                <w:color w:val="auto"/>
                <w:szCs w:val="18"/>
                <w:lang w:val="en-CA"/>
              </w:rPr>
              <w:lastRenderedPageBreak/>
              <w:t xml:space="preserve">467.11 -467.13 and 462.31 </w:t>
            </w:r>
          </w:p>
        </w:tc>
        <w:tc>
          <w:tcPr>
            <w:tcW w:w="1550" w:type="dxa"/>
          </w:tcPr>
          <w:p w14:paraId="610036DD"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lastRenderedPageBreak/>
              <w:t>NO</w:t>
            </w:r>
          </w:p>
        </w:tc>
      </w:tr>
      <w:tr w:rsidR="004D4838" w:rsidRPr="00AA6144" w14:paraId="05F98FA0" w14:textId="77777777">
        <w:tc>
          <w:tcPr>
            <w:tcW w:w="2187" w:type="dxa"/>
          </w:tcPr>
          <w:p w14:paraId="6C6B8F74"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Trafficking of Human Beings - 2000 Protocol</w:t>
            </w:r>
          </w:p>
        </w:tc>
        <w:tc>
          <w:tcPr>
            <w:tcW w:w="1194" w:type="dxa"/>
          </w:tcPr>
          <w:p w14:paraId="756B44EE"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14 December 2000</w:t>
            </w:r>
          </w:p>
        </w:tc>
        <w:tc>
          <w:tcPr>
            <w:tcW w:w="1194" w:type="dxa"/>
          </w:tcPr>
          <w:p w14:paraId="2F405EF7"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13 May 2002</w:t>
            </w:r>
          </w:p>
        </w:tc>
        <w:tc>
          <w:tcPr>
            <w:tcW w:w="1455" w:type="dxa"/>
          </w:tcPr>
          <w:p w14:paraId="5387F0FD"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Criminal Code, R.S.C. 1985, c. C-46, ss. 279.01, 279.02, 279.03 and 279.04; Immigration and Refugee Protection Act, S.C. 2001, c. 27, s. 118</w:t>
            </w:r>
          </w:p>
        </w:tc>
        <w:tc>
          <w:tcPr>
            <w:tcW w:w="1550" w:type="dxa"/>
          </w:tcPr>
          <w:p w14:paraId="2134E9C9"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Immigration and Refugee Protection Act, S.C., c. 27, s. 135 (only trafficking under this act)</w:t>
            </w:r>
          </w:p>
        </w:tc>
      </w:tr>
      <w:tr w:rsidR="004D4838" w:rsidRPr="00AA6144" w14:paraId="0B5E7542" w14:textId="77777777">
        <w:tc>
          <w:tcPr>
            <w:tcW w:w="2187" w:type="dxa"/>
          </w:tcPr>
          <w:p w14:paraId="5207AB2A"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Firearms </w:t>
            </w:r>
            <w:r w:rsidR="00C82D85" w:rsidRPr="00AA6144">
              <w:rPr>
                <w:color w:val="auto"/>
                <w:szCs w:val="18"/>
                <w:lang w:val="en-CA"/>
              </w:rPr>
              <w:t>–</w:t>
            </w:r>
            <w:r w:rsidRPr="00AA6144">
              <w:rPr>
                <w:color w:val="auto"/>
                <w:szCs w:val="18"/>
                <w:lang w:val="en-CA"/>
              </w:rPr>
              <w:t xml:space="preserve"> 2001 Protocol</w:t>
            </w:r>
          </w:p>
        </w:tc>
        <w:tc>
          <w:tcPr>
            <w:tcW w:w="1194" w:type="dxa"/>
          </w:tcPr>
          <w:p w14:paraId="0B3E536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20 March 2002 </w:t>
            </w:r>
          </w:p>
        </w:tc>
        <w:tc>
          <w:tcPr>
            <w:tcW w:w="1194" w:type="dxa"/>
          </w:tcPr>
          <w:p w14:paraId="7111AA5E"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c>
          <w:tcPr>
            <w:tcW w:w="1455" w:type="dxa"/>
          </w:tcPr>
          <w:p w14:paraId="4DC1DB3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Firearms Act, S.C. 1995, c. 39, ss. 91, 92, 93, 99 – 101, 103 -104, 117.02 – 117.06; Export and Import Permits Act, R.S.C. 1985, c. E-19, ss. 13 – 21; Defence Production Act, R.S.C. 1985, c. D-1, ss. 37, 44, 45; United Nations Act, R.S.C. 1985, c. U-2 (Sudan Regs. S.O.R./2004-197)</w:t>
            </w:r>
          </w:p>
        </w:tc>
        <w:tc>
          <w:tcPr>
            <w:tcW w:w="1550" w:type="dxa"/>
          </w:tcPr>
          <w:p w14:paraId="21030188"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NO</w:t>
            </w:r>
          </w:p>
        </w:tc>
      </w:tr>
      <w:tr w:rsidR="004D4838" w:rsidRPr="00356280" w14:paraId="69A38E57" w14:textId="77777777">
        <w:tc>
          <w:tcPr>
            <w:tcW w:w="2187" w:type="dxa"/>
          </w:tcPr>
          <w:p w14:paraId="41C516F4"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t xml:space="preserve">Nuclear Terrorism - </w:t>
            </w:r>
            <w:r w:rsidRPr="00AA6144">
              <w:rPr>
                <w:color w:val="auto"/>
                <w:szCs w:val="18"/>
                <w:lang w:val="en-CA"/>
              </w:rPr>
              <w:lastRenderedPageBreak/>
              <w:t>2005 Convention</w:t>
            </w:r>
          </w:p>
        </w:tc>
        <w:tc>
          <w:tcPr>
            <w:tcW w:w="1194" w:type="dxa"/>
          </w:tcPr>
          <w:p w14:paraId="410E6E66"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lastRenderedPageBreak/>
              <w:t xml:space="preserve">14 </w:t>
            </w:r>
            <w:r w:rsidRPr="00AA6144">
              <w:rPr>
                <w:color w:val="auto"/>
                <w:szCs w:val="18"/>
                <w:lang w:val="en-CA"/>
              </w:rPr>
              <w:lastRenderedPageBreak/>
              <w:t xml:space="preserve">September 2005 </w:t>
            </w:r>
          </w:p>
        </w:tc>
        <w:tc>
          <w:tcPr>
            <w:tcW w:w="1194" w:type="dxa"/>
          </w:tcPr>
          <w:p w14:paraId="61AE1E23" w14:textId="77777777" w:rsidR="004D4838" w:rsidRPr="00AA6144" w:rsidRDefault="004D4838" w:rsidP="004D4838">
            <w:pPr>
              <w:pStyle w:val="BodyText"/>
              <w:spacing w:line="240" w:lineRule="auto"/>
              <w:jc w:val="both"/>
              <w:rPr>
                <w:color w:val="auto"/>
                <w:szCs w:val="18"/>
                <w:lang w:val="en-CA"/>
              </w:rPr>
            </w:pPr>
            <w:r w:rsidRPr="00AA6144">
              <w:rPr>
                <w:color w:val="auto"/>
                <w:szCs w:val="18"/>
                <w:lang w:val="en-CA"/>
              </w:rPr>
              <w:lastRenderedPageBreak/>
              <w:t>NO</w:t>
            </w:r>
            <w:r w:rsidR="005D1B49" w:rsidRPr="00AA6144">
              <w:rPr>
                <w:rStyle w:val="FootnoteReference"/>
                <w:color w:val="auto"/>
                <w:szCs w:val="18"/>
                <w:lang w:val="en-CA"/>
              </w:rPr>
              <w:footnoteReference w:id="91"/>
            </w:r>
          </w:p>
        </w:tc>
        <w:tc>
          <w:tcPr>
            <w:tcW w:w="1455" w:type="dxa"/>
          </w:tcPr>
          <w:p w14:paraId="6FC711CF" w14:textId="77777777" w:rsidR="004D4838" w:rsidRPr="007B53D3" w:rsidRDefault="004D4838" w:rsidP="0043405B">
            <w:pPr>
              <w:pStyle w:val="BodyText"/>
              <w:spacing w:line="240" w:lineRule="auto"/>
              <w:jc w:val="both"/>
              <w:rPr>
                <w:color w:val="auto"/>
                <w:szCs w:val="18"/>
                <w:lang w:val="fr-CA"/>
              </w:rPr>
            </w:pPr>
            <w:r w:rsidRPr="007B53D3">
              <w:rPr>
                <w:color w:val="auto"/>
                <w:szCs w:val="18"/>
                <w:lang w:val="fr-CA"/>
              </w:rPr>
              <w:t xml:space="preserve">Criminal Code, </w:t>
            </w:r>
            <w:r w:rsidRPr="007B53D3">
              <w:rPr>
                <w:color w:val="auto"/>
                <w:szCs w:val="18"/>
                <w:lang w:val="fr-CA"/>
              </w:rPr>
              <w:lastRenderedPageBreak/>
              <w:t>R.S.C. 1985, c. C-46,</w:t>
            </w:r>
            <w:r w:rsidR="0043405B" w:rsidRPr="007B53D3">
              <w:rPr>
                <w:color w:val="auto"/>
                <w:szCs w:val="18"/>
                <w:lang w:val="fr-CA"/>
              </w:rPr>
              <w:t xml:space="preserve"> </w:t>
            </w:r>
            <w:proofErr w:type="spellStart"/>
            <w:r w:rsidR="0043405B" w:rsidRPr="007B53D3">
              <w:rPr>
                <w:color w:val="auto"/>
                <w:szCs w:val="18"/>
                <w:lang w:val="fr-CA"/>
              </w:rPr>
              <w:t>ss</w:t>
            </w:r>
            <w:proofErr w:type="spellEnd"/>
            <w:r w:rsidR="0043405B" w:rsidRPr="007B53D3">
              <w:rPr>
                <w:color w:val="auto"/>
                <w:szCs w:val="18"/>
                <w:lang w:val="fr-CA"/>
              </w:rPr>
              <w:t xml:space="preserve">. </w:t>
            </w:r>
            <w:r w:rsidRPr="007B53D3">
              <w:rPr>
                <w:color w:val="auto"/>
                <w:szCs w:val="18"/>
                <w:lang w:val="fr-CA"/>
              </w:rPr>
              <w:t>83.01</w:t>
            </w:r>
            <w:r w:rsidR="00BA7519" w:rsidRPr="007B53D3">
              <w:rPr>
                <w:color w:val="auto"/>
                <w:szCs w:val="18"/>
                <w:lang w:val="fr-CA"/>
              </w:rPr>
              <w:t>, 82.3, 82.4, 82.5, 82.6</w:t>
            </w:r>
            <w:r w:rsidR="00B94418" w:rsidRPr="007B53D3">
              <w:rPr>
                <w:color w:val="auto"/>
                <w:szCs w:val="18"/>
                <w:lang w:val="fr-CA"/>
              </w:rPr>
              <w:t xml:space="preserve"> </w:t>
            </w:r>
          </w:p>
        </w:tc>
        <w:tc>
          <w:tcPr>
            <w:tcW w:w="1550" w:type="dxa"/>
          </w:tcPr>
          <w:p w14:paraId="43031E05" w14:textId="77777777" w:rsidR="004D4838" w:rsidRPr="00356280" w:rsidRDefault="004D4838" w:rsidP="004A4495">
            <w:pPr>
              <w:pStyle w:val="BodyText"/>
              <w:spacing w:line="240" w:lineRule="auto"/>
              <w:jc w:val="both"/>
              <w:rPr>
                <w:color w:val="auto"/>
                <w:szCs w:val="18"/>
                <w:lang w:val="fr-CA"/>
              </w:rPr>
            </w:pPr>
            <w:r w:rsidRPr="00356280">
              <w:rPr>
                <w:color w:val="auto"/>
                <w:szCs w:val="18"/>
                <w:lang w:val="fr-CA"/>
              </w:rPr>
              <w:lastRenderedPageBreak/>
              <w:t xml:space="preserve">Criminal Code, </w:t>
            </w:r>
            <w:r w:rsidRPr="00356280">
              <w:rPr>
                <w:color w:val="auto"/>
                <w:szCs w:val="18"/>
                <w:lang w:val="fr-CA"/>
              </w:rPr>
              <w:lastRenderedPageBreak/>
              <w:t>R.S.C. 1985, c. C-46,</w:t>
            </w:r>
            <w:r w:rsidR="004A4495" w:rsidRPr="00356280">
              <w:rPr>
                <w:color w:val="auto"/>
                <w:szCs w:val="18"/>
                <w:lang w:val="fr-CA"/>
              </w:rPr>
              <w:t xml:space="preserve"> s. 7 (2</w:t>
            </w:r>
            <w:r w:rsidRPr="00356280">
              <w:rPr>
                <w:color w:val="auto"/>
                <w:szCs w:val="18"/>
                <w:lang w:val="fr-CA"/>
              </w:rPr>
              <w:t>.2</w:t>
            </w:r>
            <w:r w:rsidR="004A4495" w:rsidRPr="00356280">
              <w:rPr>
                <w:color w:val="auto"/>
                <w:szCs w:val="18"/>
                <w:lang w:val="fr-CA"/>
              </w:rPr>
              <w:t>1).</w:t>
            </w:r>
          </w:p>
        </w:tc>
      </w:tr>
      <w:bookmarkEnd w:id="54"/>
    </w:tbl>
    <w:p w14:paraId="4298885B" w14:textId="77777777" w:rsidR="00922D24" w:rsidRPr="00356280" w:rsidRDefault="00922D24" w:rsidP="003F7AB3">
      <w:pPr>
        <w:pStyle w:val="BodyText"/>
        <w:rPr>
          <w:rFonts w:eastAsia="Times-Roman"/>
          <w:color w:val="auto"/>
          <w:lang w:val="fr-CA"/>
        </w:rPr>
      </w:pPr>
    </w:p>
    <w:p w14:paraId="70B3E259" w14:textId="77777777" w:rsidR="00E57056" w:rsidRPr="00AA6144" w:rsidRDefault="00E57056" w:rsidP="00E57056">
      <w:pPr>
        <w:pStyle w:val="Heading2"/>
        <w:rPr>
          <w:color w:val="auto"/>
          <w:lang w:val="en-CA"/>
        </w:rPr>
      </w:pPr>
      <w:bookmarkStart w:id="55" w:name="_Toc193798654"/>
      <w:bookmarkStart w:id="56" w:name="_Toc220954452"/>
      <w:bookmarkStart w:id="57" w:name="_Toc43382730"/>
      <w:r w:rsidRPr="00AA6144">
        <w:rPr>
          <w:color w:val="auto"/>
          <w:lang w:val="en-CA"/>
        </w:rPr>
        <w:t>4.3. Crimes under international law</w:t>
      </w:r>
      <w:bookmarkEnd w:id="55"/>
      <w:bookmarkEnd w:id="56"/>
      <w:bookmarkEnd w:id="57"/>
      <w:r w:rsidRPr="00AA6144">
        <w:rPr>
          <w:color w:val="auto"/>
          <w:lang w:val="en-CA"/>
        </w:rPr>
        <w:t xml:space="preserve"> </w:t>
      </w:r>
    </w:p>
    <w:p w14:paraId="3FFF61A0" w14:textId="77777777" w:rsidR="00E57056" w:rsidRPr="00AA6144" w:rsidRDefault="00E57056" w:rsidP="00E57056">
      <w:pPr>
        <w:pStyle w:val="Heading3"/>
        <w:rPr>
          <w:color w:val="auto"/>
          <w:lang w:val="en-CA"/>
        </w:rPr>
      </w:pPr>
      <w:bookmarkStart w:id="58" w:name="_Toc193798655"/>
    </w:p>
    <w:p w14:paraId="4351032D" w14:textId="77777777" w:rsidR="00E57056" w:rsidRPr="00AA6144" w:rsidRDefault="004D4838" w:rsidP="00C90252">
      <w:pPr>
        <w:pStyle w:val="AIBodyText"/>
        <w:rPr>
          <w:color w:val="auto"/>
          <w:lang w:val="en-CA"/>
        </w:rPr>
      </w:pPr>
      <w:r w:rsidRPr="00AA6144">
        <w:rPr>
          <w:color w:val="auto"/>
          <w:lang w:val="en-CA"/>
        </w:rPr>
        <w:t>Canada’s</w:t>
      </w:r>
      <w:r w:rsidR="001D354E" w:rsidRPr="00AA6144">
        <w:rPr>
          <w:color w:val="auto"/>
          <w:lang w:val="en-CA"/>
        </w:rPr>
        <w:t xml:space="preserve"> courts</w:t>
      </w:r>
      <w:r w:rsidR="00E57056" w:rsidRPr="00AA6144">
        <w:rPr>
          <w:color w:val="auto"/>
          <w:lang w:val="en-CA"/>
        </w:rPr>
        <w:t xml:space="preserve"> may exercise universal jurisdiction over grave breaches of the four 1949 Geneva Conventions</w:t>
      </w:r>
      <w:r w:rsidR="000443CE" w:rsidRPr="00AA6144">
        <w:rPr>
          <w:color w:val="auto"/>
          <w:lang w:val="en-CA"/>
        </w:rPr>
        <w:t xml:space="preserve">, </w:t>
      </w:r>
      <w:r w:rsidRPr="00AA6144">
        <w:rPr>
          <w:color w:val="auto"/>
          <w:lang w:val="en-CA"/>
        </w:rPr>
        <w:t xml:space="preserve">grave breaches of </w:t>
      </w:r>
      <w:r w:rsidR="00A53C00" w:rsidRPr="00AA6144">
        <w:rPr>
          <w:color w:val="auto"/>
          <w:lang w:val="en-CA"/>
        </w:rPr>
        <w:t xml:space="preserve">Additional </w:t>
      </w:r>
      <w:r w:rsidRPr="00AA6144">
        <w:rPr>
          <w:color w:val="auto"/>
          <w:lang w:val="en-CA"/>
        </w:rPr>
        <w:t xml:space="preserve">Protocol I, </w:t>
      </w:r>
      <w:r w:rsidR="001D354E" w:rsidRPr="00AA6144">
        <w:rPr>
          <w:color w:val="auto"/>
          <w:lang w:val="en-CA"/>
        </w:rPr>
        <w:t>other war crimes i</w:t>
      </w:r>
      <w:r w:rsidR="000443CE" w:rsidRPr="00AA6144">
        <w:rPr>
          <w:color w:val="auto"/>
          <w:lang w:val="en-CA"/>
        </w:rPr>
        <w:t>n international armed conflict, v</w:t>
      </w:r>
      <w:r w:rsidR="001D354E" w:rsidRPr="00AA6144">
        <w:rPr>
          <w:color w:val="auto"/>
          <w:lang w:val="en-CA"/>
        </w:rPr>
        <w:t>iolations of common Artic</w:t>
      </w:r>
      <w:r w:rsidRPr="00AA6144">
        <w:rPr>
          <w:color w:val="auto"/>
          <w:lang w:val="en-CA"/>
        </w:rPr>
        <w:t xml:space="preserve">le 3 to the Geneva Conventions, violations of </w:t>
      </w:r>
      <w:r w:rsidR="00A53C00" w:rsidRPr="00AA6144">
        <w:rPr>
          <w:color w:val="auto"/>
          <w:lang w:val="en-CA"/>
        </w:rPr>
        <w:t xml:space="preserve">Additional </w:t>
      </w:r>
      <w:r w:rsidRPr="00AA6144">
        <w:rPr>
          <w:color w:val="auto"/>
          <w:lang w:val="en-CA"/>
        </w:rPr>
        <w:t xml:space="preserve">Protocol II, </w:t>
      </w:r>
      <w:r w:rsidR="001D354E" w:rsidRPr="00AA6144">
        <w:rPr>
          <w:color w:val="auto"/>
          <w:lang w:val="en-CA"/>
        </w:rPr>
        <w:t>other war crimes in n</w:t>
      </w:r>
      <w:r w:rsidR="000443CE" w:rsidRPr="00AA6144">
        <w:rPr>
          <w:color w:val="auto"/>
          <w:lang w:val="en-CA"/>
        </w:rPr>
        <w:t xml:space="preserve">on-international armed conflict, crimes against humanity, genocide, and </w:t>
      </w:r>
      <w:r w:rsidR="001D354E" w:rsidRPr="00AA6144">
        <w:rPr>
          <w:color w:val="auto"/>
          <w:lang w:val="en-CA"/>
        </w:rPr>
        <w:t>t</w:t>
      </w:r>
      <w:r w:rsidR="000443CE" w:rsidRPr="00AA6144">
        <w:rPr>
          <w:color w:val="auto"/>
          <w:lang w:val="en-CA"/>
        </w:rPr>
        <w:t xml:space="preserve">orture. </w:t>
      </w:r>
      <w:r w:rsidR="00E57056" w:rsidRPr="00AA6144">
        <w:rPr>
          <w:color w:val="auto"/>
          <w:lang w:val="en-CA"/>
        </w:rPr>
        <w:t>However, they cannot exercise universal jurisdiction over other crimes under international law, including</w:t>
      </w:r>
      <w:r w:rsidR="00E551B2" w:rsidRPr="00AA6144">
        <w:rPr>
          <w:color w:val="auto"/>
          <w:lang w:val="en-CA"/>
        </w:rPr>
        <w:t xml:space="preserve"> extrajudicial execution,</w:t>
      </w:r>
      <w:r w:rsidR="000D6288" w:rsidRPr="00AA6144">
        <w:rPr>
          <w:color w:val="auto"/>
          <w:lang w:val="en-CA"/>
        </w:rPr>
        <w:t xml:space="preserve"> and</w:t>
      </w:r>
      <w:r w:rsidR="00E551B2" w:rsidRPr="00AA6144">
        <w:rPr>
          <w:color w:val="auto"/>
          <w:lang w:val="en-CA"/>
        </w:rPr>
        <w:t xml:space="preserve"> enforced disappearance</w:t>
      </w:r>
      <w:r w:rsidR="000D6288" w:rsidRPr="00AA6144">
        <w:rPr>
          <w:color w:val="auto"/>
          <w:lang w:val="en-CA"/>
        </w:rPr>
        <w:t xml:space="preserve">. </w:t>
      </w:r>
    </w:p>
    <w:p w14:paraId="15F3BD33" w14:textId="77777777" w:rsidR="00E57056" w:rsidRPr="00AA6144" w:rsidRDefault="00E57056" w:rsidP="008B472E">
      <w:pPr>
        <w:pStyle w:val="Heading3"/>
        <w:rPr>
          <w:color w:val="auto"/>
          <w:lang w:val="en-CA"/>
        </w:rPr>
      </w:pPr>
      <w:bookmarkStart w:id="59" w:name="_Toc220954453"/>
      <w:bookmarkStart w:id="60" w:name="_Toc43382731"/>
      <w:r w:rsidRPr="00AA6144">
        <w:rPr>
          <w:color w:val="auto"/>
          <w:lang w:val="en-CA"/>
        </w:rPr>
        <w:t>4.3.1. War crimes</w:t>
      </w:r>
      <w:bookmarkEnd w:id="58"/>
      <w:bookmarkEnd w:id="59"/>
      <w:bookmarkEnd w:id="60"/>
      <w:r w:rsidRPr="00AA6144">
        <w:rPr>
          <w:color w:val="auto"/>
          <w:lang w:val="en-CA"/>
        </w:rPr>
        <w:t xml:space="preserve"> </w:t>
      </w:r>
    </w:p>
    <w:p w14:paraId="42AE1DED" w14:textId="77777777" w:rsidR="00437A3D" w:rsidRPr="00AA6144" w:rsidRDefault="00437A3D" w:rsidP="00437A3D">
      <w:pPr>
        <w:spacing w:after="0"/>
        <w:rPr>
          <w:lang w:val="en-CA"/>
        </w:rPr>
      </w:pPr>
    </w:p>
    <w:p w14:paraId="2CBEE31E" w14:textId="77777777" w:rsidR="0028511B" w:rsidRPr="00AA6144" w:rsidRDefault="0028511B" w:rsidP="0095160B">
      <w:pPr>
        <w:rPr>
          <w:color w:val="auto"/>
          <w:lang w:val="en-CA"/>
        </w:rPr>
      </w:pPr>
      <w:r w:rsidRPr="00AA6144">
        <w:rPr>
          <w:color w:val="auto"/>
          <w:lang w:val="en-CA"/>
        </w:rPr>
        <w:t>Canada is a party to the four Geneva Conventions of 1949.</w:t>
      </w:r>
      <w:bookmarkStart w:id="61" w:name="_Ref266967085"/>
      <w:r w:rsidRPr="00AA6144">
        <w:rPr>
          <w:color w:val="auto"/>
          <w:vertAlign w:val="superscript"/>
          <w:lang w:val="en-CA"/>
        </w:rPr>
        <w:footnoteReference w:id="92"/>
      </w:r>
      <w:bookmarkEnd w:id="61"/>
      <w:r w:rsidRPr="00AA6144">
        <w:rPr>
          <w:color w:val="auto"/>
          <w:lang w:val="en-CA"/>
        </w:rPr>
        <w:t xml:space="preserve"> It has ratified </w:t>
      </w:r>
      <w:r w:rsidR="00A53C00" w:rsidRPr="00AA6144">
        <w:rPr>
          <w:color w:val="auto"/>
          <w:lang w:val="en-CA"/>
        </w:rPr>
        <w:t xml:space="preserve">Additional </w:t>
      </w:r>
      <w:r w:rsidRPr="00AA6144">
        <w:rPr>
          <w:color w:val="auto"/>
          <w:lang w:val="en-CA"/>
        </w:rPr>
        <w:t>Protocols I</w:t>
      </w:r>
      <w:bookmarkStart w:id="62" w:name="_Ref266969551"/>
      <w:r w:rsidRPr="00AA6144">
        <w:rPr>
          <w:color w:val="auto"/>
          <w:vertAlign w:val="superscript"/>
          <w:lang w:val="en-CA"/>
        </w:rPr>
        <w:footnoteReference w:id="93"/>
      </w:r>
      <w:bookmarkEnd w:id="62"/>
      <w:r w:rsidR="006A382F" w:rsidRPr="00AA6144">
        <w:rPr>
          <w:color w:val="auto"/>
          <w:lang w:val="en-CA"/>
        </w:rPr>
        <w:t>,</w:t>
      </w:r>
      <w:r w:rsidRPr="00AA6144">
        <w:rPr>
          <w:color w:val="auto"/>
          <w:lang w:val="en-CA"/>
        </w:rPr>
        <w:t xml:space="preserve"> II</w:t>
      </w:r>
      <w:bookmarkStart w:id="63" w:name="_Ref266972100"/>
      <w:r w:rsidRPr="00AA6144">
        <w:rPr>
          <w:color w:val="auto"/>
          <w:vertAlign w:val="superscript"/>
          <w:lang w:val="en-CA"/>
        </w:rPr>
        <w:footnoteReference w:id="94"/>
      </w:r>
      <w:bookmarkEnd w:id="63"/>
      <w:r w:rsidR="006A382F" w:rsidRPr="00AA6144">
        <w:rPr>
          <w:color w:val="auto"/>
          <w:lang w:val="en-CA"/>
        </w:rPr>
        <w:t>,</w:t>
      </w:r>
      <w:r w:rsidRPr="00AA6144">
        <w:rPr>
          <w:color w:val="auto"/>
          <w:lang w:val="en-CA"/>
        </w:rPr>
        <w:t xml:space="preserve"> and III</w:t>
      </w:r>
      <w:r w:rsidRPr="00AA6144">
        <w:rPr>
          <w:color w:val="auto"/>
          <w:vertAlign w:val="superscript"/>
          <w:lang w:val="en-CA"/>
        </w:rPr>
        <w:footnoteReference w:id="95"/>
      </w:r>
      <w:r w:rsidRPr="00AA6144">
        <w:rPr>
          <w:color w:val="auto"/>
          <w:lang w:val="en-CA"/>
        </w:rPr>
        <w:t xml:space="preserve"> to these conventions.</w:t>
      </w:r>
      <w:bookmarkStart w:id="64" w:name="_Ref266969518"/>
      <w:r w:rsidRPr="00AA6144">
        <w:rPr>
          <w:color w:val="auto"/>
          <w:vertAlign w:val="superscript"/>
          <w:lang w:val="en-CA"/>
        </w:rPr>
        <w:footnoteReference w:id="96"/>
      </w:r>
      <w:bookmarkEnd w:id="64"/>
      <w:r w:rsidRPr="00AA6144">
        <w:rPr>
          <w:color w:val="auto"/>
          <w:lang w:val="en-CA"/>
        </w:rPr>
        <w:t xml:space="preserve">  </w:t>
      </w:r>
    </w:p>
    <w:p w14:paraId="321BBD75" w14:textId="6751C8EA" w:rsidR="0028511B" w:rsidRPr="00AA6144" w:rsidRDefault="0028511B" w:rsidP="001A0CE0">
      <w:pPr>
        <w:rPr>
          <w:color w:val="auto"/>
          <w:lang w:val="en-CA"/>
        </w:rPr>
      </w:pPr>
      <w:r w:rsidRPr="00AA6144">
        <w:rPr>
          <w:color w:val="auto"/>
          <w:lang w:val="en-CA"/>
        </w:rPr>
        <w:t>In addition, Canada has been a party to the Rome Statute</w:t>
      </w:r>
      <w:r w:rsidR="007036F0" w:rsidRPr="00AA6144">
        <w:rPr>
          <w:color w:val="auto"/>
          <w:lang w:val="en-CA"/>
        </w:rPr>
        <w:t xml:space="preserve"> </w:t>
      </w:r>
      <w:r w:rsidRPr="00AA6144">
        <w:rPr>
          <w:color w:val="auto"/>
          <w:lang w:val="en-CA"/>
        </w:rPr>
        <w:t>of the International Criminal Court (‘‘Rome Statute</w:t>
      </w:r>
      <w:r w:rsidR="007036F0" w:rsidRPr="00AA6144">
        <w:rPr>
          <w:color w:val="auto"/>
          <w:lang w:val="en-CA"/>
        </w:rPr>
        <w:t>”</w:t>
      </w:r>
      <w:r w:rsidRPr="00AA6144">
        <w:rPr>
          <w:color w:val="auto"/>
          <w:lang w:val="en-CA"/>
        </w:rPr>
        <w:t>) since July 7, 2000.</w:t>
      </w:r>
      <w:bookmarkStart w:id="65" w:name="_Ref266968903"/>
      <w:r w:rsidRPr="00AA6144">
        <w:rPr>
          <w:color w:val="auto"/>
          <w:vertAlign w:val="superscript"/>
          <w:lang w:val="en-CA"/>
        </w:rPr>
        <w:footnoteReference w:id="97"/>
      </w:r>
      <w:bookmarkEnd w:id="65"/>
      <w:r w:rsidRPr="00AA6144">
        <w:rPr>
          <w:color w:val="auto"/>
          <w:lang w:val="en-CA"/>
        </w:rPr>
        <w:t xml:space="preserve"> </w:t>
      </w:r>
      <w:r w:rsidR="00A53C00" w:rsidRPr="00AA6144">
        <w:rPr>
          <w:color w:val="auto"/>
          <w:lang w:val="en-CA"/>
        </w:rPr>
        <w:t>On</w:t>
      </w:r>
      <w:r w:rsidRPr="00AA6144">
        <w:rPr>
          <w:color w:val="auto"/>
          <w:lang w:val="en-CA"/>
        </w:rPr>
        <w:t xml:space="preserve"> June 29, 2000, Canada enacted the </w:t>
      </w:r>
      <w:r w:rsidRPr="00AA6144">
        <w:rPr>
          <w:i/>
          <w:color w:val="auto"/>
          <w:lang w:val="en-CA"/>
        </w:rPr>
        <w:t>Crimes Against Humanity and War Crimes Act</w:t>
      </w:r>
      <w:r w:rsidR="00A53C00" w:rsidRPr="00AA6144">
        <w:rPr>
          <w:i/>
          <w:color w:val="auto"/>
          <w:lang w:val="en-CA"/>
        </w:rPr>
        <w:t xml:space="preserve"> </w:t>
      </w:r>
      <w:r w:rsidR="00A53C00" w:rsidRPr="00AA6144">
        <w:rPr>
          <w:color w:val="auto"/>
          <w:lang w:val="en-CA"/>
        </w:rPr>
        <w:t>(</w:t>
      </w:r>
      <w:r w:rsidR="00A53C00" w:rsidRPr="00AA6144">
        <w:rPr>
          <w:i/>
          <w:color w:val="auto"/>
          <w:lang w:val="en-CA"/>
        </w:rPr>
        <w:t>CAHWCA</w:t>
      </w:r>
      <w:r w:rsidR="00A53C00" w:rsidRPr="00AA6144">
        <w:rPr>
          <w:color w:val="auto"/>
          <w:lang w:val="en-CA"/>
        </w:rPr>
        <w:t>), which</w:t>
      </w:r>
      <w:r w:rsidR="006A382F" w:rsidRPr="00AA6144">
        <w:rPr>
          <w:color w:val="auto"/>
          <w:lang w:val="en-CA"/>
        </w:rPr>
        <w:t xml:space="preserve"> implemented the Rome Statu</w:t>
      </w:r>
      <w:r w:rsidR="00F501A2" w:rsidRPr="00AA6144">
        <w:rPr>
          <w:color w:val="auto"/>
          <w:lang w:val="en-CA"/>
        </w:rPr>
        <w:t>t</w:t>
      </w:r>
      <w:r w:rsidR="006A382F" w:rsidRPr="00AA6144">
        <w:rPr>
          <w:color w:val="auto"/>
          <w:lang w:val="en-CA"/>
        </w:rPr>
        <w:t xml:space="preserve">e. </w:t>
      </w:r>
      <w:r w:rsidR="00A53C00" w:rsidRPr="00AA6144">
        <w:rPr>
          <w:color w:val="auto"/>
          <w:lang w:val="en-CA"/>
        </w:rPr>
        <w:t xml:space="preserve">A Canadian legal </w:t>
      </w:r>
      <w:r w:rsidR="00A53C00" w:rsidRPr="00AA6144">
        <w:rPr>
          <w:color w:val="auto"/>
          <w:lang w:val="en-CA"/>
        </w:rPr>
        <w:lastRenderedPageBreak/>
        <w:t xml:space="preserve">scholar has argued that the definition of war crimes contained in the </w:t>
      </w:r>
      <w:r w:rsidR="00A53C00" w:rsidRPr="00AA6144">
        <w:rPr>
          <w:i/>
          <w:color w:val="auto"/>
          <w:lang w:val="en-CA"/>
        </w:rPr>
        <w:t>CAHWCA</w:t>
      </w:r>
      <w:r w:rsidR="00A53C00" w:rsidRPr="00AA6144">
        <w:rPr>
          <w:color w:val="auto"/>
          <w:lang w:val="en-CA"/>
        </w:rPr>
        <w:t xml:space="preserve"> </w:t>
      </w:r>
      <w:r w:rsidRPr="00AA6144">
        <w:rPr>
          <w:color w:val="auto"/>
          <w:lang w:val="en-CA"/>
        </w:rPr>
        <w:t>may be “broader or narrower than the Rome Statute”</w:t>
      </w:r>
      <w:bookmarkStart w:id="66" w:name="_Ref265358056"/>
      <w:r w:rsidRPr="00AA6144">
        <w:rPr>
          <w:color w:val="auto"/>
          <w:vertAlign w:val="superscript"/>
          <w:lang w:val="en-CA"/>
        </w:rPr>
        <w:footnoteReference w:id="98"/>
      </w:r>
      <w:bookmarkEnd w:id="66"/>
      <w:r w:rsidRPr="00AA6144">
        <w:rPr>
          <w:color w:val="auto"/>
          <w:lang w:val="en-CA"/>
        </w:rPr>
        <w:t>, because it relies on customary and conventional international law.</w:t>
      </w:r>
      <w:r w:rsidR="00A53C00" w:rsidRPr="00AA6144">
        <w:rPr>
          <w:color w:val="auto"/>
          <w:lang w:val="en-CA"/>
        </w:rPr>
        <w:t xml:space="preserve"> As a dualist state, treaty obligations do not become enforceable in Canadian courts until they are transformed into domestic law by statute or other legislative act.</w:t>
      </w:r>
      <w:r w:rsidR="00A53C00" w:rsidRPr="00AA6144">
        <w:rPr>
          <w:rStyle w:val="FootnoteReference"/>
          <w:color w:val="auto"/>
          <w:lang w:val="en-CA"/>
        </w:rPr>
        <w:footnoteReference w:id="99"/>
      </w:r>
      <w:r w:rsidR="00FD5C59" w:rsidRPr="00AA6144">
        <w:rPr>
          <w:color w:val="auto"/>
          <w:lang w:val="en-CA"/>
        </w:rPr>
        <w:t xml:space="preserve"> For the obligations under the </w:t>
      </w:r>
      <w:r w:rsidR="005C5FF0" w:rsidRPr="00AA6144">
        <w:rPr>
          <w:color w:val="auto"/>
          <w:lang w:val="en-CA"/>
        </w:rPr>
        <w:t>Rome Statute</w:t>
      </w:r>
      <w:r w:rsidR="00FD5C59" w:rsidRPr="00AA6144">
        <w:rPr>
          <w:color w:val="auto"/>
          <w:lang w:val="en-CA"/>
        </w:rPr>
        <w:t xml:space="preserve"> to become enforceable in Canadian law, Canada needed to enact the </w:t>
      </w:r>
      <w:r w:rsidR="00FD5C59" w:rsidRPr="00AA6144">
        <w:rPr>
          <w:i/>
          <w:color w:val="auto"/>
          <w:lang w:val="en-CA"/>
        </w:rPr>
        <w:t>CAHWC</w:t>
      </w:r>
      <w:r w:rsidR="00C52360" w:rsidRPr="00AA6144">
        <w:rPr>
          <w:i/>
          <w:color w:val="auto"/>
          <w:lang w:val="en-CA"/>
        </w:rPr>
        <w:t>A</w:t>
      </w:r>
      <w:r w:rsidR="00C52360" w:rsidRPr="00AA6144">
        <w:rPr>
          <w:color w:val="auto"/>
          <w:lang w:val="en-CA"/>
        </w:rPr>
        <w:t xml:space="preserve">. Enacting the </w:t>
      </w:r>
      <w:r w:rsidR="00C52360" w:rsidRPr="00AA6144">
        <w:rPr>
          <w:i/>
          <w:color w:val="auto"/>
          <w:lang w:val="en-CA"/>
        </w:rPr>
        <w:t>CAHWCA</w:t>
      </w:r>
      <w:r w:rsidR="00C52360" w:rsidRPr="00AA6144">
        <w:rPr>
          <w:color w:val="auto"/>
          <w:lang w:val="en-CA"/>
        </w:rPr>
        <w:t xml:space="preserve"> allows Canada </w:t>
      </w:r>
      <w:r w:rsidR="00711BF5">
        <w:rPr>
          <w:color w:val="auto"/>
          <w:lang w:val="en-CA"/>
        </w:rPr>
        <w:t xml:space="preserve">to comply with the obligation </w:t>
      </w:r>
      <w:r w:rsidR="00C52360" w:rsidRPr="00AA6144">
        <w:rPr>
          <w:color w:val="auto"/>
          <w:lang w:val="en-CA"/>
        </w:rPr>
        <w:t xml:space="preserve">to investigate or prosecute a crime under the </w:t>
      </w:r>
      <w:r w:rsidR="00E636E8" w:rsidRPr="00AA6144">
        <w:rPr>
          <w:color w:val="auto"/>
          <w:lang w:val="en-CA"/>
        </w:rPr>
        <w:t>International Criminal Court’s</w:t>
      </w:r>
      <w:r w:rsidR="00C52360" w:rsidRPr="00AA6144">
        <w:rPr>
          <w:color w:val="auto"/>
          <w:lang w:val="en-CA"/>
        </w:rPr>
        <w:t xml:space="preserve"> jurisdiction pursuant to the principle of complementarity</w:t>
      </w:r>
      <w:r w:rsidR="008F5E3E" w:rsidRPr="00AA6144">
        <w:rPr>
          <w:color w:val="auto"/>
          <w:lang w:val="en-CA"/>
        </w:rPr>
        <w:t xml:space="preserve"> </w:t>
      </w:r>
      <w:r w:rsidR="00193CF1" w:rsidRPr="00AA6144">
        <w:rPr>
          <w:color w:val="auto"/>
          <w:lang w:val="en-CA"/>
        </w:rPr>
        <w:t xml:space="preserve">in addition to its </w:t>
      </w:r>
      <w:r w:rsidR="004B40F2">
        <w:rPr>
          <w:color w:val="auto"/>
          <w:lang w:val="en-CA"/>
        </w:rPr>
        <w:t xml:space="preserve">duty </w:t>
      </w:r>
      <w:r w:rsidR="00193CF1" w:rsidRPr="00AA6144">
        <w:rPr>
          <w:color w:val="auto"/>
          <w:lang w:val="en-CA"/>
        </w:rPr>
        <w:t>to investigate or prosecute for non-treaty based crimes of universal jurisdiction</w:t>
      </w:r>
      <w:r w:rsidR="00C52360" w:rsidRPr="00AA6144">
        <w:rPr>
          <w:color w:val="auto"/>
          <w:lang w:val="en-CA"/>
        </w:rPr>
        <w:t>.</w:t>
      </w:r>
      <w:r w:rsidR="005C07A0" w:rsidRPr="00AA6144">
        <w:rPr>
          <w:rStyle w:val="FootnoteReference"/>
          <w:color w:val="auto"/>
          <w:lang w:val="en-CA"/>
        </w:rPr>
        <w:footnoteReference w:id="100"/>
      </w:r>
    </w:p>
    <w:p w14:paraId="6D3FF6E3" w14:textId="77777777" w:rsidR="0028511B" w:rsidRPr="00AA6144" w:rsidRDefault="0028511B" w:rsidP="001A0CE0">
      <w:pPr>
        <w:rPr>
          <w:color w:val="auto"/>
          <w:lang w:val="en-CA"/>
        </w:rPr>
      </w:pPr>
      <w:r w:rsidRPr="00AA6144">
        <w:rPr>
          <w:color w:val="auto"/>
          <w:lang w:val="en-CA"/>
        </w:rPr>
        <w:t xml:space="preserve">War crimes are defined as follows in section 4(3) and 6(3) of the </w:t>
      </w:r>
      <w:r w:rsidR="00D47EC1" w:rsidRPr="00AA6144">
        <w:rPr>
          <w:i/>
          <w:color w:val="auto"/>
          <w:lang w:val="en-CA"/>
        </w:rPr>
        <w:t>CAHWCA</w:t>
      </w:r>
      <w:r w:rsidRPr="00AA6144">
        <w:rPr>
          <w:color w:val="auto"/>
          <w:lang w:val="en-CA"/>
        </w:rPr>
        <w:t>:</w:t>
      </w:r>
    </w:p>
    <w:p w14:paraId="49EF43F2" w14:textId="32631239" w:rsidR="0028511B" w:rsidRPr="00AA6144" w:rsidRDefault="0028511B" w:rsidP="00EF7ABF">
      <w:pPr>
        <w:ind w:left="357" w:right="567"/>
        <w:rPr>
          <w:color w:val="auto"/>
          <w:lang w:val="en-CA"/>
        </w:rPr>
      </w:pPr>
      <w:r w:rsidRPr="00AA6144">
        <w:rPr>
          <w:color w:val="auto"/>
          <w:lang w:val="en-CA"/>
        </w:rPr>
        <w:t>An act or omission committed during an armed conflict that, at the time and in the place of its commission, constitutes a war crime according to customary international law or conventional international law applicable to armed conflicts.</w:t>
      </w:r>
    </w:p>
    <w:p w14:paraId="3E22E070" w14:textId="23793C2A" w:rsidR="003766F6" w:rsidRPr="00AA6144" w:rsidRDefault="003766F6" w:rsidP="00AA6144">
      <w:pPr>
        <w:pStyle w:val="AIBodyText"/>
        <w:rPr>
          <w:color w:val="auto"/>
          <w:szCs w:val="18"/>
          <w:lang w:val="en-CA"/>
        </w:rPr>
      </w:pPr>
      <w:r w:rsidRPr="00AA6144">
        <w:rPr>
          <w:color w:val="auto"/>
          <w:lang w:val="en-CA"/>
        </w:rPr>
        <w:t xml:space="preserve">Further, </w:t>
      </w:r>
      <w:r w:rsidR="007E5074" w:rsidRPr="00AA6144">
        <w:rPr>
          <w:color w:val="auto"/>
          <w:szCs w:val="18"/>
          <w:lang w:val="en-CA"/>
        </w:rPr>
        <w:t>s</w:t>
      </w:r>
      <w:r w:rsidRPr="00AA6144">
        <w:rPr>
          <w:color w:val="auto"/>
          <w:szCs w:val="18"/>
          <w:lang w:val="en-CA"/>
        </w:rPr>
        <w:t>ection 6(1.1)</w:t>
      </w:r>
      <w:r w:rsidR="007E5074" w:rsidRPr="00AA6144">
        <w:rPr>
          <w:color w:val="auto"/>
          <w:szCs w:val="18"/>
          <w:lang w:val="en-CA"/>
        </w:rPr>
        <w:t xml:space="preserve"> and section</w:t>
      </w:r>
      <w:r w:rsidRPr="00AA6144">
        <w:rPr>
          <w:color w:val="auto"/>
          <w:szCs w:val="18"/>
          <w:lang w:val="en-CA"/>
        </w:rPr>
        <w:t xml:space="preserve"> </w:t>
      </w:r>
      <w:r w:rsidR="007E5074" w:rsidRPr="00AA6144">
        <w:rPr>
          <w:color w:val="auto"/>
          <w:szCs w:val="18"/>
          <w:lang w:val="en-CA"/>
        </w:rPr>
        <w:t xml:space="preserve">4(1.1) </w:t>
      </w:r>
      <w:r w:rsidRPr="00AA6144">
        <w:rPr>
          <w:color w:val="auto"/>
          <w:szCs w:val="18"/>
          <w:lang w:val="en-CA"/>
        </w:rPr>
        <w:t>provide that ‘‘[e]very person who conspires or attempts to commit, is an accessory after the fact in relation to, or counsels in relation to [...] [war crimes] is guilty of an indictable offence’’.</w:t>
      </w:r>
      <w:r w:rsidRPr="00AA6144">
        <w:rPr>
          <w:rStyle w:val="FootnoteReference"/>
          <w:color w:val="auto"/>
          <w:szCs w:val="18"/>
          <w:lang w:val="en-CA"/>
        </w:rPr>
        <w:footnoteReference w:id="101"/>
      </w:r>
    </w:p>
    <w:p w14:paraId="7B0E80E3" w14:textId="53FAF4CA" w:rsidR="0028511B" w:rsidRPr="00AA6144" w:rsidRDefault="0028511B" w:rsidP="001A0CE0">
      <w:pPr>
        <w:rPr>
          <w:color w:val="auto"/>
          <w:lang w:val="en-CA"/>
        </w:rPr>
      </w:pPr>
      <w:r w:rsidRPr="00AA6144">
        <w:rPr>
          <w:color w:val="auto"/>
          <w:lang w:val="en-CA"/>
        </w:rPr>
        <w:t>As indicated in the charts below, Canada has also signed and</w:t>
      </w:r>
      <w:r w:rsidR="00E136BA" w:rsidRPr="00AA6144">
        <w:rPr>
          <w:color w:val="auto"/>
          <w:lang w:val="en-CA"/>
        </w:rPr>
        <w:t>,</w:t>
      </w:r>
      <w:r w:rsidRPr="00AA6144">
        <w:rPr>
          <w:color w:val="auto"/>
          <w:lang w:val="en-CA"/>
        </w:rPr>
        <w:t xml:space="preserve"> for the most part</w:t>
      </w:r>
      <w:r w:rsidR="00E136BA" w:rsidRPr="00AA6144">
        <w:rPr>
          <w:color w:val="auto"/>
          <w:lang w:val="en-CA"/>
        </w:rPr>
        <w:t>,</w:t>
      </w:r>
      <w:r w:rsidRPr="00AA6144">
        <w:rPr>
          <w:color w:val="auto"/>
          <w:lang w:val="en-CA"/>
        </w:rPr>
        <w:t xml:space="preserve"> ratified </w:t>
      </w:r>
      <w:proofErr w:type="gramStart"/>
      <w:r w:rsidRPr="00AA6144">
        <w:rPr>
          <w:color w:val="auto"/>
          <w:lang w:val="en-CA"/>
        </w:rPr>
        <w:t>a number of</w:t>
      </w:r>
      <w:proofErr w:type="gramEnd"/>
      <w:r w:rsidRPr="00AA6144">
        <w:rPr>
          <w:color w:val="auto"/>
          <w:lang w:val="en-CA"/>
        </w:rPr>
        <w:t xml:space="preserve"> other international human</w:t>
      </w:r>
      <w:r w:rsidR="00971925" w:rsidRPr="00AA6144">
        <w:rPr>
          <w:color w:val="auto"/>
          <w:lang w:val="en-CA"/>
        </w:rPr>
        <w:t xml:space="preserve">itarian law treaties with </w:t>
      </w:r>
      <w:r w:rsidRPr="00AA6144">
        <w:rPr>
          <w:color w:val="auto"/>
          <w:lang w:val="en-CA"/>
        </w:rPr>
        <w:t xml:space="preserve">provisions that may give rise to </w:t>
      </w:r>
      <w:r w:rsidR="00317FB1">
        <w:rPr>
          <w:color w:val="auto"/>
          <w:lang w:val="en-CA"/>
        </w:rPr>
        <w:t>individual</w:t>
      </w:r>
      <w:r w:rsidRPr="00AA6144">
        <w:rPr>
          <w:color w:val="auto"/>
          <w:lang w:val="en-CA"/>
        </w:rPr>
        <w:t xml:space="preserve"> criminal responsibility. However, such treaties will not always provide individual liability; most often, the crimes will have to qualify as crimes under customary international law, as war crimes in the </w:t>
      </w:r>
      <w:r w:rsidR="005C5FF0" w:rsidRPr="00AA6144">
        <w:rPr>
          <w:color w:val="auto"/>
          <w:lang w:val="en-CA"/>
        </w:rPr>
        <w:t>Rome Statute</w:t>
      </w:r>
      <w:r w:rsidRPr="00AA6144">
        <w:rPr>
          <w:color w:val="auto"/>
          <w:lang w:val="en-CA"/>
        </w:rPr>
        <w:t xml:space="preserve"> or as grave breaches of the Geneva Conventions.</w:t>
      </w:r>
      <w:r w:rsidRPr="00AA6144">
        <w:rPr>
          <w:color w:val="auto"/>
          <w:vertAlign w:val="superscript"/>
          <w:lang w:val="en-CA"/>
        </w:rPr>
        <w:footnoteReference w:id="102"/>
      </w:r>
    </w:p>
    <w:p w14:paraId="76738CD5" w14:textId="77777777" w:rsidR="0028511B" w:rsidRPr="00AA6144" w:rsidRDefault="0028511B" w:rsidP="001A0CE0">
      <w:pPr>
        <w:rPr>
          <w:color w:val="auto"/>
          <w:lang w:val="en-CA"/>
        </w:rPr>
      </w:pPr>
      <w:r w:rsidRPr="00AA6144">
        <w:rPr>
          <w:color w:val="auto"/>
          <w:lang w:val="en-CA"/>
        </w:rPr>
        <w:t xml:space="preserve">As the charts also indicate, Canada has defined war crimes </w:t>
      </w:r>
      <w:r w:rsidR="00761D58" w:rsidRPr="00AA6144">
        <w:rPr>
          <w:color w:val="auto"/>
          <w:lang w:val="en-CA"/>
        </w:rPr>
        <w:t xml:space="preserve">in domestic law based on the definitions </w:t>
      </w:r>
      <w:r w:rsidRPr="00AA6144">
        <w:rPr>
          <w:color w:val="auto"/>
          <w:lang w:val="en-CA"/>
        </w:rPr>
        <w:t xml:space="preserve">under conventional international law </w:t>
      </w:r>
      <w:r w:rsidR="00761D58" w:rsidRPr="00AA6144">
        <w:rPr>
          <w:color w:val="auto"/>
          <w:lang w:val="en-CA"/>
        </w:rPr>
        <w:t xml:space="preserve">and </w:t>
      </w:r>
      <w:r w:rsidRPr="00AA6144">
        <w:rPr>
          <w:color w:val="auto"/>
          <w:lang w:val="en-CA"/>
        </w:rPr>
        <w:t>customary international law</w:t>
      </w:r>
      <w:r w:rsidR="00761D58" w:rsidRPr="00AA6144">
        <w:rPr>
          <w:color w:val="auto"/>
          <w:lang w:val="en-CA"/>
        </w:rPr>
        <w:t>.</w:t>
      </w:r>
      <w:r w:rsidRPr="00AA6144">
        <w:rPr>
          <w:color w:val="auto"/>
          <w:lang w:val="en-CA"/>
        </w:rPr>
        <w:t xml:space="preserve"> </w:t>
      </w:r>
    </w:p>
    <w:p w14:paraId="49EEB7B2" w14:textId="77777777" w:rsidR="0028511B" w:rsidRPr="00AA6144" w:rsidRDefault="004C547A" w:rsidP="001A0CE0">
      <w:pPr>
        <w:rPr>
          <w:color w:val="auto"/>
          <w:lang w:val="en-CA"/>
        </w:rPr>
      </w:pPr>
      <w:r w:rsidRPr="00AA6144">
        <w:rPr>
          <w:color w:val="auto"/>
          <w:lang w:val="en-CA"/>
        </w:rPr>
        <w:t>Canadian courts were</w:t>
      </w:r>
      <w:r w:rsidR="0028511B" w:rsidRPr="00AA6144">
        <w:rPr>
          <w:color w:val="auto"/>
          <w:lang w:val="en-CA"/>
        </w:rPr>
        <w:t xml:space="preserve"> able to exercise universal jurisdiction over certain war crimes </w:t>
      </w:r>
      <w:r w:rsidRPr="00AA6144">
        <w:rPr>
          <w:color w:val="auto"/>
          <w:lang w:val="en-CA"/>
        </w:rPr>
        <w:t>committed abroad under the</w:t>
      </w:r>
      <w:r w:rsidR="0028511B" w:rsidRPr="00AA6144">
        <w:rPr>
          <w:color w:val="auto"/>
          <w:lang w:val="en-CA"/>
        </w:rPr>
        <w:t xml:space="preserve"> former 1987 </w:t>
      </w:r>
      <w:r w:rsidR="0028511B" w:rsidRPr="00AA6144">
        <w:rPr>
          <w:i/>
          <w:iCs/>
          <w:color w:val="auto"/>
          <w:lang w:val="en-CA"/>
        </w:rPr>
        <w:t>Criminal Code</w:t>
      </w:r>
      <w:r w:rsidR="00C15BFF" w:rsidRPr="00AA6144">
        <w:rPr>
          <w:iCs/>
          <w:color w:val="auto"/>
          <w:lang w:val="en-CA"/>
        </w:rPr>
        <w:t>,</w:t>
      </w:r>
      <w:r w:rsidR="0028511B" w:rsidRPr="00AA6144">
        <w:rPr>
          <w:color w:val="auto"/>
          <w:vertAlign w:val="superscript"/>
          <w:lang w:val="en-CA"/>
        </w:rPr>
        <w:footnoteReference w:id="103"/>
      </w:r>
      <w:r w:rsidR="00C15BFF" w:rsidRPr="00AA6144">
        <w:rPr>
          <w:iCs/>
          <w:color w:val="auto"/>
          <w:lang w:val="en-CA"/>
        </w:rPr>
        <w:t xml:space="preserve"> which only </w:t>
      </w:r>
      <w:r w:rsidR="00C15BFF" w:rsidRPr="00AA6144">
        <w:rPr>
          <w:color w:val="auto"/>
          <w:lang w:val="en-CA"/>
        </w:rPr>
        <w:t>criminalised war crimes committed in the context of international armed conflicts.</w:t>
      </w:r>
      <w:bookmarkStart w:id="67" w:name="_Ref267054720"/>
      <w:r w:rsidR="00C15BFF" w:rsidRPr="00AA6144">
        <w:rPr>
          <w:color w:val="auto"/>
          <w:vertAlign w:val="superscript"/>
          <w:lang w:val="en-CA"/>
        </w:rPr>
        <w:footnoteReference w:id="104"/>
      </w:r>
      <w:bookmarkEnd w:id="67"/>
      <w:r w:rsidRPr="00AA6144">
        <w:rPr>
          <w:color w:val="auto"/>
          <w:lang w:val="en-CA"/>
        </w:rPr>
        <w:t xml:space="preserve"> </w:t>
      </w:r>
      <w:r w:rsidR="0028511B" w:rsidRPr="00AA6144">
        <w:rPr>
          <w:color w:val="auto"/>
          <w:lang w:val="en-CA"/>
        </w:rPr>
        <w:t xml:space="preserve"> </w:t>
      </w:r>
      <w:r w:rsidR="002D756D" w:rsidRPr="00AA6144">
        <w:rPr>
          <w:color w:val="auto"/>
          <w:lang w:val="en-CA"/>
        </w:rPr>
        <w:t xml:space="preserve">Only </w:t>
      </w:r>
      <w:r w:rsidR="002D756D" w:rsidRPr="00AA6144">
        <w:rPr>
          <w:i/>
          <w:color w:val="auto"/>
          <w:lang w:val="en-CA"/>
        </w:rPr>
        <w:t>R v</w:t>
      </w:r>
      <w:r w:rsidR="00A51578" w:rsidRPr="00AA6144">
        <w:rPr>
          <w:i/>
          <w:color w:val="auto"/>
          <w:lang w:val="en-CA"/>
        </w:rPr>
        <w:t>.</w:t>
      </w:r>
      <w:r w:rsidR="002D756D" w:rsidRPr="00AA6144">
        <w:rPr>
          <w:i/>
          <w:color w:val="auto"/>
          <w:lang w:val="en-CA"/>
        </w:rPr>
        <w:t xml:space="preserve"> </w:t>
      </w:r>
      <w:proofErr w:type="spellStart"/>
      <w:r w:rsidR="002D756D" w:rsidRPr="00AA6144">
        <w:rPr>
          <w:i/>
          <w:color w:val="auto"/>
          <w:lang w:val="en-CA"/>
        </w:rPr>
        <w:t>Finta</w:t>
      </w:r>
      <w:proofErr w:type="spellEnd"/>
      <w:r w:rsidR="002D756D" w:rsidRPr="00AA6144">
        <w:rPr>
          <w:color w:val="auto"/>
          <w:lang w:val="en-CA"/>
        </w:rPr>
        <w:t xml:space="preserve"> was</w:t>
      </w:r>
      <w:r w:rsidR="00736277" w:rsidRPr="00AA6144">
        <w:rPr>
          <w:color w:val="auto"/>
          <w:lang w:val="en-CA"/>
        </w:rPr>
        <w:t xml:space="preserve"> </w:t>
      </w:r>
      <w:r w:rsidR="002D756D" w:rsidRPr="00AA6144">
        <w:rPr>
          <w:color w:val="auto"/>
          <w:lang w:val="en-CA"/>
        </w:rPr>
        <w:t>prosecuted under these former provisions.</w:t>
      </w:r>
      <w:r w:rsidR="002D756D" w:rsidRPr="00AA6144">
        <w:rPr>
          <w:rStyle w:val="FootnoteReference"/>
          <w:color w:val="auto"/>
          <w:lang w:val="en-CA"/>
        </w:rPr>
        <w:footnoteReference w:id="105"/>
      </w:r>
      <w:r w:rsidR="002D756D" w:rsidRPr="00AA6144">
        <w:rPr>
          <w:color w:val="auto"/>
          <w:lang w:val="en-CA"/>
        </w:rPr>
        <w:t xml:space="preserve"> </w:t>
      </w:r>
      <w:r w:rsidRPr="00AA6144">
        <w:rPr>
          <w:color w:val="auto"/>
          <w:lang w:val="en-CA"/>
        </w:rPr>
        <w:t xml:space="preserve">The </w:t>
      </w:r>
      <w:r w:rsidRPr="00AA6144">
        <w:rPr>
          <w:i/>
          <w:color w:val="auto"/>
          <w:lang w:val="en-CA"/>
        </w:rPr>
        <w:t>Crimes Against Humanity and War Crimes Act</w:t>
      </w:r>
      <w:r w:rsidRPr="00AA6144">
        <w:rPr>
          <w:color w:val="auto"/>
          <w:lang w:val="en-CA"/>
        </w:rPr>
        <w:t xml:space="preserve"> does not include this</w:t>
      </w:r>
      <w:r w:rsidR="0028511B" w:rsidRPr="00AA6144">
        <w:rPr>
          <w:color w:val="auto"/>
          <w:lang w:val="en-CA"/>
        </w:rPr>
        <w:t xml:space="preserve"> limitation</w:t>
      </w:r>
      <w:r w:rsidRPr="00AA6144">
        <w:rPr>
          <w:color w:val="auto"/>
          <w:lang w:val="en-CA"/>
        </w:rPr>
        <w:t xml:space="preserve"> and has since repealed </w:t>
      </w:r>
      <w:r w:rsidR="00B41CBF" w:rsidRPr="00AA6144">
        <w:rPr>
          <w:color w:val="auto"/>
          <w:lang w:val="en-CA"/>
        </w:rPr>
        <w:t>the</w:t>
      </w:r>
      <w:r w:rsidRPr="00AA6144">
        <w:rPr>
          <w:color w:val="auto"/>
          <w:lang w:val="en-CA"/>
        </w:rPr>
        <w:t xml:space="preserve"> provisions</w:t>
      </w:r>
      <w:r w:rsidR="00B41CBF" w:rsidRPr="00AA6144">
        <w:rPr>
          <w:color w:val="auto"/>
          <w:lang w:val="en-CA"/>
        </w:rPr>
        <w:t xml:space="preserve"> of the former statute</w:t>
      </w:r>
      <w:r w:rsidRPr="00AA6144">
        <w:rPr>
          <w:color w:val="auto"/>
          <w:lang w:val="en-CA"/>
        </w:rPr>
        <w:t>.</w:t>
      </w:r>
    </w:p>
    <w:p w14:paraId="660A0C4A" w14:textId="77777777" w:rsidR="00E57056" w:rsidRPr="00AA6144" w:rsidRDefault="00E93FE3" w:rsidP="005D4819">
      <w:pPr>
        <w:pStyle w:val="Heading4"/>
        <w:rPr>
          <w:color w:val="auto"/>
          <w:lang w:val="en-CA"/>
        </w:rPr>
      </w:pPr>
      <w:bookmarkStart w:id="68" w:name="_Toc43382732"/>
      <w:r w:rsidRPr="00AA6144">
        <w:rPr>
          <w:color w:val="auto"/>
          <w:lang w:val="en-CA"/>
        </w:rPr>
        <w:lastRenderedPageBreak/>
        <w:t xml:space="preserve">4.3.1.1. </w:t>
      </w:r>
      <w:r w:rsidR="00E57056" w:rsidRPr="00AA6144">
        <w:rPr>
          <w:color w:val="auto"/>
          <w:lang w:val="en-CA"/>
        </w:rPr>
        <w:t>War crimes in international armed conflict: Grave breaches of the 1949 Geneva Conventions</w:t>
      </w:r>
      <w:bookmarkEnd w:id="68"/>
      <w:r w:rsidR="00E57056" w:rsidRPr="00AA6144">
        <w:rPr>
          <w:color w:val="auto"/>
          <w:lang w:val="en-CA"/>
        </w:rPr>
        <w:t xml:space="preserve">  </w:t>
      </w:r>
    </w:p>
    <w:p w14:paraId="2A8670EA" w14:textId="2C3B7AFE" w:rsidR="00E57056" w:rsidRPr="00AA6144" w:rsidRDefault="00E57056" w:rsidP="001A0CE0">
      <w:pPr>
        <w:rPr>
          <w:color w:val="auto"/>
          <w:lang w:val="en-CA"/>
        </w:rPr>
      </w:pPr>
      <w:r w:rsidRPr="00AA6144">
        <w:rPr>
          <w:color w:val="auto"/>
          <w:lang w:val="en-CA"/>
        </w:rPr>
        <w:t xml:space="preserve">The four Geneva Conventions of 1949 each contain a list of </w:t>
      </w:r>
      <w:r w:rsidR="00B41CBF" w:rsidRPr="00AA6144">
        <w:rPr>
          <w:color w:val="auto"/>
          <w:lang w:val="en-CA"/>
        </w:rPr>
        <w:t>prohibited acts which constitute “</w:t>
      </w:r>
      <w:r w:rsidRPr="00AA6144">
        <w:rPr>
          <w:color w:val="auto"/>
          <w:lang w:val="en-CA"/>
        </w:rPr>
        <w:t>grave breaches</w:t>
      </w:r>
      <w:r w:rsidR="00B41CBF" w:rsidRPr="00AA6144">
        <w:rPr>
          <w:color w:val="auto"/>
          <w:lang w:val="en-CA"/>
        </w:rPr>
        <w:t>” when committed against “protected persons”</w:t>
      </w:r>
      <w:r w:rsidR="008B6DBD">
        <w:rPr>
          <w:color w:val="auto"/>
          <w:lang w:val="en-CA"/>
        </w:rPr>
        <w:t xml:space="preserve"> or “protected objects”</w:t>
      </w:r>
      <w:r w:rsidR="00B41CBF" w:rsidRPr="00AA6144">
        <w:rPr>
          <w:color w:val="auto"/>
          <w:lang w:val="en-CA"/>
        </w:rPr>
        <w:t xml:space="preserve">, </w:t>
      </w:r>
      <w:r w:rsidRPr="00AA6144">
        <w:rPr>
          <w:color w:val="auto"/>
          <w:lang w:val="en-CA"/>
        </w:rPr>
        <w:t>including wounded and sick members of the armed forces in the field, wounded and sick and shipwrecked members of armed forces at sea, prisoners of war and civilian</w:t>
      </w:r>
      <w:r w:rsidR="00B41CBF" w:rsidRPr="00AA6144">
        <w:rPr>
          <w:color w:val="auto"/>
          <w:lang w:val="en-CA"/>
        </w:rPr>
        <w:t>s</w:t>
      </w:r>
      <w:r w:rsidRPr="00AA6144">
        <w:rPr>
          <w:color w:val="auto"/>
          <w:lang w:val="en-CA"/>
        </w:rPr>
        <w:t>.</w:t>
      </w:r>
      <w:r w:rsidRPr="00AA6144">
        <w:rPr>
          <w:rStyle w:val="FootnoteReference"/>
          <w:color w:val="auto"/>
          <w:lang w:val="en-CA"/>
        </w:rPr>
        <w:footnoteReference w:id="106"/>
      </w:r>
      <w:r w:rsidRPr="00AA6144">
        <w:rPr>
          <w:color w:val="auto"/>
          <w:lang w:val="en-CA"/>
        </w:rPr>
        <w:t xml:space="preserve"> Those breaches</w:t>
      </w:r>
      <w:r w:rsidR="002C50EE" w:rsidRPr="00AA6144">
        <w:rPr>
          <w:color w:val="auto"/>
          <w:lang w:val="en-CA"/>
        </w:rPr>
        <w:t xml:space="preserve"> have been</w:t>
      </w:r>
      <w:r w:rsidRPr="00AA6144">
        <w:rPr>
          <w:color w:val="auto"/>
          <w:lang w:val="en-CA"/>
        </w:rPr>
        <w:t xml:space="preserve"> consolidated without change in substance in Article 8</w:t>
      </w:r>
      <w:r w:rsidR="00504720" w:rsidRPr="00AA6144">
        <w:rPr>
          <w:lang w:val="en-CA"/>
        </w:rPr>
        <w:t>.2(a)</w:t>
      </w:r>
      <w:r w:rsidRPr="00AA6144">
        <w:rPr>
          <w:color w:val="auto"/>
          <w:lang w:val="en-CA"/>
        </w:rPr>
        <w:t xml:space="preserve"> of the </w:t>
      </w:r>
      <w:r w:rsidR="005C5FF0" w:rsidRPr="00AA6144">
        <w:rPr>
          <w:color w:val="auto"/>
          <w:lang w:val="en-CA"/>
        </w:rPr>
        <w:t>Rome Statute</w:t>
      </w:r>
      <w:r w:rsidR="002C50EE" w:rsidRPr="00AA6144">
        <w:rPr>
          <w:color w:val="auto"/>
          <w:lang w:val="en-CA"/>
        </w:rPr>
        <w:t>.</w:t>
      </w:r>
      <w:r w:rsidRPr="00AA6144">
        <w:rPr>
          <w:rStyle w:val="FootnoteReference"/>
          <w:color w:val="auto"/>
          <w:lang w:val="en-CA"/>
        </w:rPr>
        <w:footnoteReference w:id="107"/>
      </w:r>
      <w:r w:rsidRPr="00AA6144">
        <w:rPr>
          <w:color w:val="auto"/>
          <w:lang w:val="en-CA"/>
        </w:rPr>
        <w:t xml:space="preserve"> </w:t>
      </w:r>
    </w:p>
    <w:p w14:paraId="02A6886B" w14:textId="77777777" w:rsidR="00E57056" w:rsidRPr="00AA6144" w:rsidRDefault="002D756D" w:rsidP="001A0CE0">
      <w:pPr>
        <w:rPr>
          <w:color w:val="auto"/>
          <w:lang w:val="en-CA"/>
        </w:rPr>
      </w:pPr>
      <w:r w:rsidRPr="00AA6144">
        <w:rPr>
          <w:color w:val="auto"/>
          <w:lang w:val="en-CA"/>
        </w:rPr>
        <w:t xml:space="preserve">Each of the Conventions contains a common article which requires each </w:t>
      </w:r>
      <w:r w:rsidR="00E57056" w:rsidRPr="00AA6144">
        <w:rPr>
          <w:color w:val="auto"/>
          <w:lang w:val="en-CA"/>
        </w:rPr>
        <w:t xml:space="preserve">state party </w:t>
      </w:r>
      <w:r w:rsidRPr="00AA6144">
        <w:rPr>
          <w:color w:val="auto"/>
          <w:lang w:val="en-CA"/>
        </w:rPr>
        <w:t xml:space="preserve">to fulfil </w:t>
      </w:r>
      <w:r w:rsidR="00E57056" w:rsidRPr="00AA6144">
        <w:rPr>
          <w:color w:val="auto"/>
          <w:lang w:val="en-CA"/>
        </w:rPr>
        <w:t>a two-part obligation</w:t>
      </w:r>
      <w:r w:rsidRPr="00AA6144">
        <w:rPr>
          <w:color w:val="auto"/>
          <w:lang w:val="en-CA"/>
        </w:rPr>
        <w:t>. First</w:t>
      </w:r>
      <w:r w:rsidR="00B41CBF" w:rsidRPr="00AA6144">
        <w:rPr>
          <w:color w:val="auto"/>
          <w:lang w:val="en-CA"/>
        </w:rPr>
        <w:t>,</w:t>
      </w:r>
      <w:r w:rsidRPr="00AA6144">
        <w:rPr>
          <w:color w:val="auto"/>
          <w:lang w:val="en-CA"/>
        </w:rPr>
        <w:t xml:space="preserve"> states undertake </w:t>
      </w:r>
      <w:r w:rsidR="00E57056" w:rsidRPr="00AA6144">
        <w:rPr>
          <w:color w:val="auto"/>
          <w:lang w:val="en-CA"/>
        </w:rPr>
        <w:t>to define grave breaches as crimes under national law</w:t>
      </w:r>
      <w:r w:rsidRPr="00AA6144">
        <w:rPr>
          <w:color w:val="auto"/>
          <w:lang w:val="en-CA"/>
        </w:rPr>
        <w:t xml:space="preserve">. </w:t>
      </w:r>
      <w:r w:rsidR="00B41CBF" w:rsidRPr="00AA6144">
        <w:rPr>
          <w:color w:val="auto"/>
          <w:lang w:val="en-CA"/>
        </w:rPr>
        <w:t>Second,</w:t>
      </w:r>
      <w:r w:rsidRPr="00AA6144">
        <w:rPr>
          <w:color w:val="auto"/>
          <w:lang w:val="en-CA"/>
        </w:rPr>
        <w:t xml:space="preserve"> states parties must either </w:t>
      </w:r>
      <w:r w:rsidR="00E57056" w:rsidRPr="00AA6144">
        <w:rPr>
          <w:color w:val="auto"/>
          <w:lang w:val="en-CA"/>
        </w:rPr>
        <w:t>exercise universal jurisdiction over persons suspected of committing grave breaches</w:t>
      </w:r>
      <w:r w:rsidRPr="00AA6144">
        <w:rPr>
          <w:color w:val="auto"/>
          <w:lang w:val="en-CA"/>
        </w:rPr>
        <w:t>; or</w:t>
      </w:r>
      <w:r w:rsidR="00E57056" w:rsidRPr="00AA6144">
        <w:rPr>
          <w:color w:val="auto"/>
          <w:lang w:val="en-CA"/>
        </w:rPr>
        <w:t xml:space="preserve"> extradite them to another state party able and willing to do so</w:t>
      </w:r>
      <w:r w:rsidRPr="00AA6144">
        <w:rPr>
          <w:color w:val="auto"/>
          <w:lang w:val="en-CA"/>
        </w:rPr>
        <w:t>;</w:t>
      </w:r>
      <w:r w:rsidR="00E57056" w:rsidRPr="00AA6144">
        <w:rPr>
          <w:color w:val="auto"/>
          <w:lang w:val="en-CA"/>
        </w:rPr>
        <w:t xml:space="preserve"> or surrender them to an international criminal court with jurisdiction over them.</w:t>
      </w:r>
      <w:r w:rsidR="00E57056" w:rsidRPr="00AA6144">
        <w:rPr>
          <w:rStyle w:val="FootnoteReference"/>
          <w:color w:val="auto"/>
          <w:lang w:val="en-CA"/>
        </w:rPr>
        <w:footnoteReference w:id="108"/>
      </w:r>
      <w:r w:rsidR="00E57056" w:rsidRPr="00AA6144">
        <w:rPr>
          <w:color w:val="auto"/>
          <w:lang w:val="en-CA"/>
        </w:rPr>
        <w:t xml:space="preserve"> That common article states in relevant part:</w:t>
      </w:r>
    </w:p>
    <w:p w14:paraId="49CC2851" w14:textId="77777777" w:rsidR="00E57056" w:rsidRPr="00AA6144" w:rsidRDefault="00E57056" w:rsidP="00EF7ABF">
      <w:pPr>
        <w:ind w:left="357" w:right="425"/>
        <w:rPr>
          <w:color w:val="auto"/>
          <w:lang w:val="en-CA"/>
        </w:rPr>
      </w:pPr>
      <w:r w:rsidRPr="00AA6144">
        <w:rPr>
          <w:rFonts w:cs="Arial"/>
          <w:color w:val="auto"/>
          <w:lang w:val="en-CA"/>
        </w:rPr>
        <w:t>The High Contracting Parties undertake to enact any legislation necessary to provide effective penal sanctions for persons committing, or ordering to be committed, any of the grave breaches of the present Convention defined in the following Article.</w:t>
      </w:r>
      <w:r w:rsidRPr="00AA6144">
        <w:rPr>
          <w:color w:val="auto"/>
          <w:lang w:val="en-CA"/>
        </w:rPr>
        <w:br/>
      </w:r>
      <w:r w:rsidRPr="00AA6144">
        <w:rPr>
          <w:color w:val="auto"/>
          <w:lang w:val="en-CA"/>
        </w:rPr>
        <w:br/>
      </w:r>
      <w:r w:rsidRPr="00AA6144">
        <w:rPr>
          <w:rFonts w:cs="Arial"/>
          <w:color w:val="auto"/>
          <w:lang w:val="en-CA"/>
        </w:rPr>
        <w:t>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prima facie case.</w:t>
      </w:r>
      <w:r w:rsidRPr="00AA6144">
        <w:rPr>
          <w:rStyle w:val="FootnoteReference"/>
          <w:color w:val="auto"/>
          <w:lang w:val="en-CA"/>
        </w:rPr>
        <w:footnoteReference w:id="109"/>
      </w:r>
    </w:p>
    <w:p w14:paraId="4F0B2831" w14:textId="77777777" w:rsidR="00356280" w:rsidRDefault="0028511B" w:rsidP="00356280">
      <w:pPr>
        <w:rPr>
          <w:color w:val="auto"/>
          <w:lang w:val="en-CA"/>
        </w:rPr>
      </w:pPr>
      <w:r w:rsidRPr="00AA6144">
        <w:rPr>
          <w:color w:val="auto"/>
          <w:lang w:val="en-CA"/>
        </w:rPr>
        <w:t xml:space="preserve">Canada has defined grave breaches of the Geneva Conventions as crimes under national law through the </w:t>
      </w:r>
      <w:r w:rsidRPr="00AA6144">
        <w:rPr>
          <w:i/>
          <w:iCs/>
          <w:color w:val="auto"/>
          <w:lang w:val="en-CA"/>
        </w:rPr>
        <w:t>Geneva Conventions Act.</w:t>
      </w:r>
      <w:r w:rsidRPr="00AA6144">
        <w:rPr>
          <w:color w:val="auto"/>
          <w:vertAlign w:val="superscript"/>
          <w:lang w:val="en-CA"/>
        </w:rPr>
        <w:footnoteReference w:id="110"/>
      </w:r>
      <w:r w:rsidRPr="00AA6144">
        <w:rPr>
          <w:color w:val="auto"/>
          <w:lang w:val="en-CA"/>
        </w:rPr>
        <w:t xml:space="preserve">  Grave breaches can also be prosecuted under the </w:t>
      </w:r>
      <w:r w:rsidR="00DC07BC" w:rsidRPr="00AA6144">
        <w:rPr>
          <w:i/>
          <w:iCs/>
          <w:color w:val="auto"/>
          <w:lang w:val="en-CA"/>
        </w:rPr>
        <w:t>Crimes Against Humanity and War Crimes Act</w:t>
      </w:r>
      <w:r w:rsidR="00E119A2" w:rsidRPr="00AA6144">
        <w:rPr>
          <w:i/>
          <w:iCs/>
          <w:color w:val="auto"/>
          <w:lang w:val="en-CA"/>
        </w:rPr>
        <w:t>,</w:t>
      </w:r>
      <w:r w:rsidR="00E119A2" w:rsidRPr="00AA6144">
        <w:rPr>
          <w:color w:val="auto"/>
          <w:lang w:val="en-CA"/>
        </w:rPr>
        <w:t xml:space="preserve"> which</w:t>
      </w:r>
      <w:r w:rsidRPr="00AA6144">
        <w:rPr>
          <w:color w:val="auto"/>
          <w:lang w:val="en-CA"/>
        </w:rPr>
        <w:t xml:space="preserve"> establishes universal jurisdiction over genocide, war crimes and crimes against humanity under “conventional international law”</w:t>
      </w:r>
      <w:r w:rsidRPr="00AA6144">
        <w:rPr>
          <w:color w:val="auto"/>
          <w:vertAlign w:val="superscript"/>
          <w:lang w:val="en-CA"/>
        </w:rPr>
        <w:footnoteReference w:id="111"/>
      </w:r>
      <w:r w:rsidRPr="00AA6144">
        <w:rPr>
          <w:color w:val="auto"/>
          <w:lang w:val="en-CA"/>
        </w:rPr>
        <w:t xml:space="preserve"> </w:t>
      </w:r>
      <w:r w:rsidR="00E119A2" w:rsidRPr="00AA6144">
        <w:rPr>
          <w:color w:val="auto"/>
          <w:lang w:val="en-CA"/>
        </w:rPr>
        <w:t xml:space="preserve">and includes those breaches or crimes defined in </w:t>
      </w:r>
      <w:r w:rsidRPr="00AA6144">
        <w:rPr>
          <w:color w:val="auto"/>
          <w:lang w:val="en-CA"/>
        </w:rPr>
        <w:t xml:space="preserve">the Geneva Conventions and </w:t>
      </w:r>
      <w:r w:rsidR="00E119A2" w:rsidRPr="00AA6144">
        <w:rPr>
          <w:color w:val="auto"/>
          <w:lang w:val="en-CA"/>
        </w:rPr>
        <w:t xml:space="preserve">their </w:t>
      </w:r>
      <w:r w:rsidRPr="00AA6144">
        <w:rPr>
          <w:color w:val="auto"/>
          <w:lang w:val="en-CA"/>
        </w:rPr>
        <w:t xml:space="preserve">Additional Protocols as well as the </w:t>
      </w:r>
      <w:r w:rsidR="005C5FF0" w:rsidRPr="00AA6144">
        <w:rPr>
          <w:color w:val="auto"/>
          <w:lang w:val="en-CA"/>
        </w:rPr>
        <w:t>Rome Statute</w:t>
      </w:r>
      <w:r w:rsidRPr="00AA6144">
        <w:rPr>
          <w:color w:val="auto"/>
          <w:lang w:val="en-CA"/>
        </w:rPr>
        <w:t xml:space="preserve">. Canada </w:t>
      </w:r>
      <w:r w:rsidR="00E119A2" w:rsidRPr="00AA6144">
        <w:rPr>
          <w:color w:val="auto"/>
          <w:lang w:val="en-CA"/>
        </w:rPr>
        <w:t>can therefore exercise universal jurisdiction</w:t>
      </w:r>
      <w:r w:rsidRPr="00AA6144">
        <w:rPr>
          <w:color w:val="auto"/>
          <w:lang w:val="en-CA"/>
        </w:rPr>
        <w:t xml:space="preserve"> over grave breaches of the Geneva Conventions. </w:t>
      </w:r>
      <w:bookmarkStart w:id="69" w:name="_Toc43382733"/>
    </w:p>
    <w:p w14:paraId="2DEDCEF6" w14:textId="05956332" w:rsidR="00E57056" w:rsidRPr="00AA6144" w:rsidRDefault="00F619D0" w:rsidP="00356280">
      <w:pPr>
        <w:rPr>
          <w:color w:val="auto"/>
          <w:lang w:val="en-CA"/>
        </w:rPr>
      </w:pPr>
      <w:r w:rsidRPr="00AA6144">
        <w:rPr>
          <w:color w:val="auto"/>
          <w:lang w:val="en-CA"/>
        </w:rPr>
        <w:t>4.3.1.</w:t>
      </w:r>
      <w:r w:rsidR="00E93FE3" w:rsidRPr="00AA6144">
        <w:rPr>
          <w:color w:val="auto"/>
          <w:lang w:val="en-CA"/>
        </w:rPr>
        <w:t>2</w:t>
      </w:r>
      <w:r w:rsidRPr="00AA6144">
        <w:rPr>
          <w:color w:val="auto"/>
          <w:lang w:val="en-CA"/>
        </w:rPr>
        <w:t xml:space="preserve">. </w:t>
      </w:r>
      <w:r w:rsidR="00E57056" w:rsidRPr="00AA6144">
        <w:rPr>
          <w:color w:val="auto"/>
          <w:lang w:val="en-CA"/>
        </w:rPr>
        <w:t xml:space="preserve">War crimes in international armed conflict: Grave breaches of </w:t>
      </w:r>
      <w:r w:rsidR="0092139B" w:rsidRPr="00AA6144">
        <w:rPr>
          <w:color w:val="auto"/>
          <w:lang w:val="en-CA"/>
        </w:rPr>
        <w:t xml:space="preserve">Additional </w:t>
      </w:r>
      <w:r w:rsidR="00E57056" w:rsidRPr="00AA6144">
        <w:rPr>
          <w:color w:val="auto"/>
          <w:lang w:val="en-CA"/>
        </w:rPr>
        <w:t>Protocol I</w:t>
      </w:r>
      <w:bookmarkEnd w:id="69"/>
    </w:p>
    <w:p w14:paraId="17298C63" w14:textId="77777777" w:rsidR="00161B8D" w:rsidRPr="00AA6144" w:rsidRDefault="00161B8D" w:rsidP="001A0CE0">
      <w:pPr>
        <w:rPr>
          <w:color w:val="auto"/>
          <w:lang w:val="en-CA"/>
        </w:rPr>
      </w:pPr>
      <w:r w:rsidRPr="00AA6144">
        <w:rPr>
          <w:color w:val="auto"/>
          <w:lang w:val="en-CA"/>
        </w:rPr>
        <w:t xml:space="preserve">Canada signed </w:t>
      </w:r>
      <w:r w:rsidR="0092139B" w:rsidRPr="00AA6144">
        <w:rPr>
          <w:color w:val="auto"/>
          <w:lang w:val="en-CA"/>
        </w:rPr>
        <w:t xml:space="preserve">Additional Protocol I in </w:t>
      </w:r>
      <w:r w:rsidRPr="00AA6144">
        <w:rPr>
          <w:color w:val="auto"/>
          <w:lang w:val="en-CA"/>
        </w:rPr>
        <w:t xml:space="preserve">1977 and ratified </w:t>
      </w:r>
      <w:r w:rsidR="0092139B" w:rsidRPr="00AA6144">
        <w:rPr>
          <w:color w:val="auto"/>
          <w:lang w:val="en-CA"/>
        </w:rPr>
        <w:t>it</w:t>
      </w:r>
      <w:r w:rsidRPr="00AA6144">
        <w:rPr>
          <w:color w:val="auto"/>
          <w:lang w:val="en-CA"/>
        </w:rPr>
        <w:t xml:space="preserve"> on November 20, 1990. </w:t>
      </w:r>
      <w:r w:rsidR="0092139B" w:rsidRPr="00AA6144">
        <w:rPr>
          <w:color w:val="auto"/>
          <w:lang w:val="en-CA"/>
        </w:rPr>
        <w:t xml:space="preserve">Additional </w:t>
      </w:r>
      <w:r w:rsidRPr="00AA6144">
        <w:rPr>
          <w:color w:val="auto"/>
          <w:lang w:val="en-CA"/>
        </w:rPr>
        <w:lastRenderedPageBreak/>
        <w:t xml:space="preserve">Protocol I </w:t>
      </w:r>
      <w:proofErr w:type="gramStart"/>
      <w:r w:rsidRPr="00AA6144">
        <w:rPr>
          <w:color w:val="auto"/>
          <w:lang w:val="en-CA"/>
        </w:rPr>
        <w:t>applies</w:t>
      </w:r>
      <w:proofErr w:type="gramEnd"/>
      <w:r w:rsidRPr="00AA6144">
        <w:rPr>
          <w:color w:val="auto"/>
          <w:lang w:val="en-CA"/>
        </w:rPr>
        <w:t xml:space="preserve"> to international armed </w:t>
      </w:r>
      <w:r w:rsidR="008361F2" w:rsidRPr="00AA6144">
        <w:rPr>
          <w:color w:val="auto"/>
          <w:lang w:val="en-CA"/>
        </w:rPr>
        <w:t>conflict</w:t>
      </w:r>
      <w:r w:rsidR="00CB43E1" w:rsidRPr="00AA6144">
        <w:rPr>
          <w:color w:val="auto"/>
          <w:lang w:val="en-CA"/>
        </w:rPr>
        <w:t>s</w:t>
      </w:r>
      <w:r w:rsidR="008361F2" w:rsidRPr="00AA6144">
        <w:rPr>
          <w:color w:val="auto"/>
          <w:lang w:val="en-CA"/>
        </w:rPr>
        <w:t xml:space="preserve">. </w:t>
      </w:r>
      <w:r w:rsidRPr="00AA6144">
        <w:rPr>
          <w:color w:val="auto"/>
          <w:lang w:val="en-CA"/>
        </w:rPr>
        <w:t>It enlarges the</w:t>
      </w:r>
      <w:r w:rsidR="00E23C0D" w:rsidRPr="00AA6144">
        <w:rPr>
          <w:color w:val="auto"/>
          <w:lang w:val="en-CA"/>
        </w:rPr>
        <w:t xml:space="preserve"> traditional concept of</w:t>
      </w:r>
      <w:r w:rsidRPr="00AA6144">
        <w:rPr>
          <w:color w:val="auto"/>
          <w:lang w:val="en-CA"/>
        </w:rPr>
        <w:t xml:space="preserve"> international armed conflict to include </w:t>
      </w:r>
      <w:r w:rsidR="008361F2" w:rsidRPr="00AA6144">
        <w:rPr>
          <w:color w:val="auto"/>
          <w:lang w:val="en-CA"/>
        </w:rPr>
        <w:t>peoples exercising their right of self-determination in fighting against colonial domination, alien occupation, and against racist regimes.</w:t>
      </w:r>
      <w:r w:rsidR="008361F2" w:rsidRPr="00AA6144">
        <w:rPr>
          <w:color w:val="auto"/>
          <w:vertAlign w:val="superscript"/>
          <w:lang w:val="en-CA"/>
        </w:rPr>
        <w:footnoteReference w:id="112"/>
      </w:r>
      <w:r w:rsidRPr="00AA6144">
        <w:rPr>
          <w:color w:val="auto"/>
          <w:lang w:val="en-CA"/>
        </w:rPr>
        <w:t xml:space="preserve"> </w:t>
      </w:r>
      <w:r w:rsidR="008361F2" w:rsidRPr="00AA6144">
        <w:rPr>
          <w:color w:val="auto"/>
          <w:lang w:val="en-CA"/>
        </w:rPr>
        <w:t>I</w:t>
      </w:r>
      <w:r w:rsidRPr="00AA6144">
        <w:rPr>
          <w:color w:val="auto"/>
          <w:lang w:val="en-CA"/>
        </w:rPr>
        <w:t xml:space="preserve">t expands the range of grave breaches and basic humanitarian protections required of states </w:t>
      </w:r>
      <w:r w:rsidR="00CB43E1" w:rsidRPr="00AA6144">
        <w:rPr>
          <w:color w:val="auto"/>
          <w:lang w:val="en-CA"/>
        </w:rPr>
        <w:t>during international</w:t>
      </w:r>
      <w:r w:rsidRPr="00AA6144">
        <w:rPr>
          <w:color w:val="auto"/>
          <w:lang w:val="en-CA"/>
        </w:rPr>
        <w:t xml:space="preserve"> armed conflicts.</w:t>
      </w:r>
      <w:r w:rsidRPr="00AA6144">
        <w:rPr>
          <w:color w:val="auto"/>
          <w:vertAlign w:val="superscript"/>
          <w:lang w:val="en-CA"/>
        </w:rPr>
        <w:footnoteReference w:id="113"/>
      </w:r>
      <w:r w:rsidRPr="00AA6144">
        <w:rPr>
          <w:color w:val="auto"/>
          <w:lang w:val="en-CA"/>
        </w:rPr>
        <w:t xml:space="preserve"> Article 85(2) of </w:t>
      </w:r>
      <w:r w:rsidR="00CB43E1" w:rsidRPr="00AA6144">
        <w:rPr>
          <w:color w:val="auto"/>
          <w:lang w:val="en-CA"/>
        </w:rPr>
        <w:t xml:space="preserve">Additional </w:t>
      </w:r>
      <w:r w:rsidRPr="00AA6144">
        <w:rPr>
          <w:color w:val="auto"/>
          <w:lang w:val="en-CA"/>
        </w:rPr>
        <w:t>Protocol I expands the scope of persons protected by the Geneva Conventions.</w:t>
      </w:r>
      <w:r w:rsidRPr="00AA6144">
        <w:rPr>
          <w:color w:val="auto"/>
          <w:vertAlign w:val="superscript"/>
          <w:lang w:val="en-CA"/>
        </w:rPr>
        <w:footnoteReference w:id="114"/>
      </w:r>
      <w:r w:rsidRPr="00AA6144">
        <w:rPr>
          <w:color w:val="auto"/>
          <w:lang w:val="en-CA"/>
        </w:rPr>
        <w:t xml:space="preserve"> </w:t>
      </w:r>
      <w:r w:rsidR="00CB43E1" w:rsidRPr="00AA6144">
        <w:rPr>
          <w:color w:val="auto"/>
          <w:lang w:val="en-CA"/>
        </w:rPr>
        <w:t xml:space="preserve">Additional </w:t>
      </w:r>
      <w:r w:rsidRPr="00AA6144">
        <w:rPr>
          <w:color w:val="auto"/>
          <w:lang w:val="en-CA"/>
        </w:rPr>
        <w:t xml:space="preserve">Protocol I also </w:t>
      </w:r>
      <w:r w:rsidR="00CB43E1" w:rsidRPr="00AA6144">
        <w:rPr>
          <w:color w:val="auto"/>
          <w:lang w:val="en-CA"/>
        </w:rPr>
        <w:t xml:space="preserve">enumerates </w:t>
      </w:r>
      <w:r w:rsidRPr="00AA6144">
        <w:rPr>
          <w:color w:val="auto"/>
          <w:lang w:val="en-CA"/>
        </w:rPr>
        <w:t>grave breaches</w:t>
      </w:r>
      <w:r w:rsidR="00CB43E1" w:rsidRPr="00AA6144">
        <w:rPr>
          <w:color w:val="auto"/>
          <w:lang w:val="en-CA"/>
        </w:rPr>
        <w:t xml:space="preserve"> </w:t>
      </w:r>
      <w:r w:rsidR="00B838A6" w:rsidRPr="00AA6144">
        <w:rPr>
          <w:color w:val="auto"/>
          <w:lang w:val="en-CA"/>
        </w:rPr>
        <w:t>supplementary</w:t>
      </w:r>
      <w:r w:rsidR="00CB43E1" w:rsidRPr="00AA6144">
        <w:rPr>
          <w:color w:val="auto"/>
          <w:lang w:val="en-CA"/>
        </w:rPr>
        <w:t xml:space="preserve"> to those of the Geneva Conventions </w:t>
      </w:r>
      <w:r w:rsidRPr="00AA6144">
        <w:rPr>
          <w:color w:val="auto"/>
          <w:lang w:val="en-CA"/>
        </w:rPr>
        <w:t xml:space="preserve">in </w:t>
      </w:r>
      <w:r w:rsidR="00CB43E1" w:rsidRPr="00AA6144">
        <w:rPr>
          <w:color w:val="auto"/>
          <w:lang w:val="en-CA"/>
        </w:rPr>
        <w:t xml:space="preserve">articles </w:t>
      </w:r>
      <w:r w:rsidRPr="00AA6144">
        <w:rPr>
          <w:color w:val="auto"/>
          <w:lang w:val="en-CA"/>
        </w:rPr>
        <w:t>11</w:t>
      </w:r>
      <w:r w:rsidR="00CB43E1" w:rsidRPr="00AA6144">
        <w:rPr>
          <w:color w:val="auto"/>
          <w:lang w:val="en-CA"/>
        </w:rPr>
        <w:t>, 85(3), 85(4)</w:t>
      </w:r>
      <w:r w:rsidRPr="00AA6144">
        <w:rPr>
          <w:color w:val="auto"/>
          <w:lang w:val="en-CA"/>
        </w:rPr>
        <w:t xml:space="preserve"> and 85(5).</w:t>
      </w:r>
      <w:r w:rsidRPr="00AA6144">
        <w:rPr>
          <w:color w:val="auto"/>
          <w:vertAlign w:val="superscript"/>
          <w:lang w:val="en-CA"/>
        </w:rPr>
        <w:footnoteReference w:id="115"/>
      </w:r>
      <w:r w:rsidRPr="00AA6144">
        <w:rPr>
          <w:color w:val="auto"/>
          <w:lang w:val="en-CA"/>
        </w:rPr>
        <w:t xml:space="preserve"> Finally, </w:t>
      </w:r>
      <w:r w:rsidR="0029207D" w:rsidRPr="00AA6144">
        <w:rPr>
          <w:color w:val="auto"/>
          <w:lang w:val="en-CA"/>
        </w:rPr>
        <w:t xml:space="preserve">Additional </w:t>
      </w:r>
      <w:r w:rsidRPr="00AA6144">
        <w:rPr>
          <w:color w:val="auto"/>
          <w:lang w:val="en-CA"/>
        </w:rPr>
        <w:t xml:space="preserve">Protocol I imposes the same two-part obligation on states parties to </w:t>
      </w:r>
      <w:r w:rsidR="002045EC" w:rsidRPr="00AA6144">
        <w:rPr>
          <w:color w:val="auto"/>
          <w:lang w:val="en-CA"/>
        </w:rPr>
        <w:t xml:space="preserve">1) </w:t>
      </w:r>
      <w:r w:rsidRPr="00AA6144">
        <w:rPr>
          <w:color w:val="auto"/>
          <w:lang w:val="en-CA"/>
        </w:rPr>
        <w:t xml:space="preserve">define grave breaches </w:t>
      </w:r>
      <w:r w:rsidR="0029207D" w:rsidRPr="00AA6144">
        <w:rPr>
          <w:color w:val="auto"/>
          <w:lang w:val="en-CA"/>
        </w:rPr>
        <w:t>as</w:t>
      </w:r>
      <w:r w:rsidRPr="00AA6144">
        <w:rPr>
          <w:color w:val="auto"/>
          <w:lang w:val="en-CA"/>
        </w:rPr>
        <w:t xml:space="preserve"> crimes under national law</w:t>
      </w:r>
      <w:r w:rsidR="002045EC" w:rsidRPr="00AA6144">
        <w:rPr>
          <w:color w:val="auto"/>
          <w:lang w:val="en-CA"/>
        </w:rPr>
        <w:t>,</w:t>
      </w:r>
      <w:r w:rsidRPr="00AA6144">
        <w:rPr>
          <w:color w:val="auto"/>
          <w:lang w:val="en-CA"/>
        </w:rPr>
        <w:t xml:space="preserve"> and </w:t>
      </w:r>
      <w:r w:rsidR="002045EC" w:rsidRPr="00AA6144">
        <w:rPr>
          <w:color w:val="auto"/>
          <w:lang w:val="en-CA"/>
        </w:rPr>
        <w:t xml:space="preserve">2) </w:t>
      </w:r>
      <w:r w:rsidRPr="00AA6144">
        <w:rPr>
          <w:color w:val="auto"/>
          <w:lang w:val="en-CA"/>
        </w:rPr>
        <w:t>to try or extradite persons suspected of such grave breaches.</w:t>
      </w:r>
      <w:r w:rsidRPr="00AA6144">
        <w:rPr>
          <w:color w:val="auto"/>
          <w:vertAlign w:val="superscript"/>
          <w:lang w:val="en-CA"/>
        </w:rPr>
        <w:footnoteReference w:id="116"/>
      </w:r>
      <w:r w:rsidRPr="00AA6144">
        <w:rPr>
          <w:color w:val="auto"/>
          <w:lang w:val="en-CA"/>
        </w:rPr>
        <w:t xml:space="preserve">  </w:t>
      </w:r>
    </w:p>
    <w:p w14:paraId="2FFB5D5A" w14:textId="77777777" w:rsidR="00161B8D" w:rsidRPr="00AA6144" w:rsidRDefault="00161B8D" w:rsidP="001A0CE0">
      <w:pPr>
        <w:rPr>
          <w:color w:val="auto"/>
          <w:lang w:val="en-CA"/>
        </w:rPr>
      </w:pPr>
      <w:r w:rsidRPr="00AA6144">
        <w:rPr>
          <w:color w:val="auto"/>
          <w:lang w:val="en-CA"/>
        </w:rPr>
        <w:t xml:space="preserve">Canada has fulfilled its obligations under </w:t>
      </w:r>
      <w:r w:rsidR="0029207D" w:rsidRPr="00AA6144">
        <w:rPr>
          <w:color w:val="auto"/>
          <w:lang w:val="en-CA"/>
        </w:rPr>
        <w:t xml:space="preserve">Additional </w:t>
      </w:r>
      <w:r w:rsidRPr="00AA6144">
        <w:rPr>
          <w:color w:val="auto"/>
          <w:lang w:val="en-CA"/>
        </w:rPr>
        <w:t xml:space="preserve">Protocol I </w:t>
      </w:r>
      <w:r w:rsidR="0029207D" w:rsidRPr="00AA6144">
        <w:rPr>
          <w:color w:val="auto"/>
          <w:lang w:val="en-CA"/>
        </w:rPr>
        <w:t xml:space="preserve">in </w:t>
      </w:r>
      <w:r w:rsidRPr="00AA6144">
        <w:rPr>
          <w:color w:val="auto"/>
          <w:lang w:val="en-CA"/>
        </w:rPr>
        <w:t>defin</w:t>
      </w:r>
      <w:r w:rsidR="0029207D" w:rsidRPr="00AA6144">
        <w:rPr>
          <w:color w:val="auto"/>
          <w:lang w:val="en-CA"/>
        </w:rPr>
        <w:t>ing</w:t>
      </w:r>
      <w:r w:rsidRPr="00AA6144">
        <w:rPr>
          <w:color w:val="auto"/>
          <w:lang w:val="en-CA"/>
        </w:rPr>
        <w:t xml:space="preserve"> grave breaches as crimes under its national law</w:t>
      </w:r>
      <w:r w:rsidR="0029207D" w:rsidRPr="00AA6144">
        <w:rPr>
          <w:color w:val="auto"/>
          <w:lang w:val="en-CA"/>
        </w:rPr>
        <w:t xml:space="preserve"> and providing courts with universal jurisdiction over such grave breaches </w:t>
      </w:r>
      <w:r w:rsidRPr="00AA6144">
        <w:rPr>
          <w:color w:val="auto"/>
          <w:lang w:val="en-CA"/>
        </w:rPr>
        <w:t xml:space="preserve">through the </w:t>
      </w:r>
      <w:r w:rsidRPr="00AA6144">
        <w:rPr>
          <w:i/>
          <w:color w:val="auto"/>
          <w:lang w:val="en-CA"/>
        </w:rPr>
        <w:t>Geneva Conventions Act</w:t>
      </w:r>
      <w:r w:rsidRPr="00AA6144">
        <w:rPr>
          <w:color w:val="auto"/>
          <w:lang w:val="en-CA"/>
        </w:rPr>
        <w:t xml:space="preserve"> and the </w:t>
      </w:r>
      <w:r w:rsidRPr="00AA6144">
        <w:rPr>
          <w:i/>
          <w:color w:val="auto"/>
          <w:lang w:val="en-CA"/>
        </w:rPr>
        <w:t>Crimes Against Humanity and War Crimes Act</w:t>
      </w:r>
      <w:r w:rsidRPr="00AA6144">
        <w:rPr>
          <w:color w:val="auto"/>
          <w:lang w:val="en-CA"/>
        </w:rPr>
        <w:t>.</w:t>
      </w:r>
    </w:p>
    <w:p w14:paraId="5938FFB0" w14:textId="77777777" w:rsidR="00E57056" w:rsidRPr="00AA6144" w:rsidRDefault="00F619D0" w:rsidP="005D4819">
      <w:pPr>
        <w:pStyle w:val="Heading4"/>
        <w:rPr>
          <w:color w:val="auto"/>
          <w:lang w:val="en-CA"/>
        </w:rPr>
      </w:pPr>
      <w:bookmarkStart w:id="70" w:name="_Toc43382734"/>
      <w:r w:rsidRPr="00AA6144">
        <w:rPr>
          <w:color w:val="auto"/>
          <w:lang w:val="en-CA"/>
        </w:rPr>
        <w:t>4.3.1.</w:t>
      </w:r>
      <w:r w:rsidR="00E93FE3" w:rsidRPr="00AA6144">
        <w:rPr>
          <w:color w:val="auto"/>
          <w:lang w:val="en-CA"/>
        </w:rPr>
        <w:t>3</w:t>
      </w:r>
      <w:r w:rsidRPr="00AA6144">
        <w:rPr>
          <w:color w:val="auto"/>
          <w:lang w:val="en-CA"/>
        </w:rPr>
        <w:t xml:space="preserve">. </w:t>
      </w:r>
      <w:r w:rsidR="00E57056" w:rsidRPr="00AA6144">
        <w:rPr>
          <w:color w:val="auto"/>
          <w:lang w:val="en-CA"/>
        </w:rPr>
        <w:t xml:space="preserve">War crimes in international armed conflict: </w:t>
      </w:r>
      <w:r w:rsidR="005C5FF0" w:rsidRPr="00AA6144">
        <w:rPr>
          <w:color w:val="auto"/>
          <w:lang w:val="en-CA"/>
        </w:rPr>
        <w:t>Rome Statute</w:t>
      </w:r>
      <w:r w:rsidR="00D34CB2" w:rsidRPr="00AA6144">
        <w:rPr>
          <w:color w:val="auto"/>
          <w:lang w:val="en-CA"/>
        </w:rPr>
        <w:t>, other treaties</w:t>
      </w:r>
      <w:r w:rsidR="008417A6" w:rsidRPr="00AA6144">
        <w:rPr>
          <w:color w:val="auto"/>
          <w:lang w:val="en-CA"/>
        </w:rPr>
        <w:t>,</w:t>
      </w:r>
      <w:r w:rsidR="00E57056" w:rsidRPr="00AA6144">
        <w:rPr>
          <w:color w:val="auto"/>
          <w:lang w:val="en-CA"/>
        </w:rPr>
        <w:t xml:space="preserve"> and customary international law</w:t>
      </w:r>
      <w:bookmarkEnd w:id="70"/>
    </w:p>
    <w:p w14:paraId="7AB5F367" w14:textId="77777777" w:rsidR="0030265E" w:rsidRPr="00AA6144" w:rsidRDefault="00D34CB2" w:rsidP="005D4819">
      <w:pPr>
        <w:pStyle w:val="AIBodyText"/>
        <w:rPr>
          <w:color w:val="auto"/>
          <w:lang w:val="en-CA"/>
        </w:rPr>
      </w:pPr>
      <w:r w:rsidRPr="00AA6144">
        <w:rPr>
          <w:color w:val="auto"/>
          <w:lang w:val="en-CA"/>
        </w:rPr>
        <w:t>In addition to grave breaches of the Geneva Conventions and</w:t>
      </w:r>
      <w:r w:rsidR="0067715A" w:rsidRPr="00AA6144">
        <w:rPr>
          <w:color w:val="auto"/>
          <w:lang w:val="en-CA"/>
        </w:rPr>
        <w:t xml:space="preserve"> Additional</w:t>
      </w:r>
      <w:r w:rsidRPr="00AA6144">
        <w:rPr>
          <w:color w:val="auto"/>
          <w:lang w:val="en-CA"/>
        </w:rPr>
        <w:t xml:space="preserve"> Protocol I, there are other war crimes</w:t>
      </w:r>
      <w:r w:rsidR="008C7876" w:rsidRPr="00AA6144">
        <w:rPr>
          <w:color w:val="auto"/>
          <w:lang w:val="en-CA"/>
        </w:rPr>
        <w:t xml:space="preserve"> in international armed conflict that</w:t>
      </w:r>
      <w:r w:rsidRPr="00AA6144">
        <w:rPr>
          <w:color w:val="auto"/>
          <w:lang w:val="en-CA"/>
        </w:rPr>
        <w:t xml:space="preserve"> are defined in the </w:t>
      </w:r>
      <w:r w:rsidR="005C5FF0" w:rsidRPr="00AA6144">
        <w:rPr>
          <w:color w:val="auto"/>
          <w:lang w:val="en-CA"/>
        </w:rPr>
        <w:t>Rome Statute</w:t>
      </w:r>
      <w:r w:rsidRPr="00AA6144">
        <w:rPr>
          <w:color w:val="auto"/>
          <w:lang w:val="en-CA"/>
        </w:rPr>
        <w:t xml:space="preserve">, </w:t>
      </w:r>
      <w:proofErr w:type="gramStart"/>
      <w:r w:rsidR="0067715A" w:rsidRPr="00AA6144">
        <w:rPr>
          <w:color w:val="auto"/>
          <w:lang w:val="en-CA"/>
        </w:rPr>
        <w:t xml:space="preserve">a </w:t>
      </w:r>
      <w:r w:rsidRPr="00AA6144">
        <w:rPr>
          <w:color w:val="auto"/>
          <w:lang w:val="en-CA"/>
        </w:rPr>
        <w:t>number of</w:t>
      </w:r>
      <w:proofErr w:type="gramEnd"/>
      <w:r w:rsidRPr="00AA6144">
        <w:rPr>
          <w:color w:val="auto"/>
          <w:lang w:val="en-CA"/>
        </w:rPr>
        <w:t xml:space="preserve"> international humanitarian law treaties</w:t>
      </w:r>
      <w:r w:rsidR="0067715A" w:rsidRPr="00AA6144">
        <w:rPr>
          <w:color w:val="auto"/>
          <w:lang w:val="en-CA"/>
        </w:rPr>
        <w:t>,</w:t>
      </w:r>
      <w:r w:rsidRPr="00AA6144">
        <w:rPr>
          <w:color w:val="auto"/>
          <w:lang w:val="en-CA"/>
        </w:rPr>
        <w:t xml:space="preserve"> and customary international law. </w:t>
      </w:r>
    </w:p>
    <w:p w14:paraId="3147A8E9" w14:textId="77777777" w:rsidR="009D3342" w:rsidRPr="00AA6144" w:rsidRDefault="005C5FF0" w:rsidP="009D3342">
      <w:pPr>
        <w:pStyle w:val="AIBodyText"/>
        <w:rPr>
          <w:color w:val="auto"/>
          <w:lang w:val="en-CA"/>
        </w:rPr>
      </w:pPr>
      <w:r w:rsidRPr="00AA6144">
        <w:rPr>
          <w:b/>
          <w:color w:val="auto"/>
          <w:lang w:val="en-CA"/>
        </w:rPr>
        <w:t>Rome Statute</w:t>
      </w:r>
      <w:r w:rsidR="0030265E" w:rsidRPr="00AA6144">
        <w:rPr>
          <w:b/>
          <w:i/>
          <w:color w:val="auto"/>
          <w:lang w:val="en-CA"/>
        </w:rPr>
        <w:t xml:space="preserve">. </w:t>
      </w:r>
      <w:r w:rsidR="00D34CB2" w:rsidRPr="00AA6144">
        <w:rPr>
          <w:color w:val="auto"/>
          <w:lang w:val="en-CA"/>
        </w:rPr>
        <w:t xml:space="preserve">Article 8(2)(b) of the </w:t>
      </w:r>
      <w:r w:rsidRPr="00AA6144">
        <w:rPr>
          <w:color w:val="auto"/>
          <w:lang w:val="en-CA"/>
        </w:rPr>
        <w:t>Rome Statute</w:t>
      </w:r>
      <w:r w:rsidR="00D34CB2" w:rsidRPr="00AA6144">
        <w:rPr>
          <w:color w:val="auto"/>
          <w:lang w:val="en-CA"/>
        </w:rPr>
        <w:t xml:space="preserve"> defines a broad range of war crimes in international armed conflict. </w:t>
      </w:r>
      <w:r w:rsidR="009D3342" w:rsidRPr="00AA6144">
        <w:rPr>
          <w:color w:val="auto"/>
          <w:lang w:val="en-CA"/>
        </w:rPr>
        <w:t>Canada has defined these war crimes as crimes under national law</w:t>
      </w:r>
      <w:r w:rsidR="008417A6" w:rsidRPr="00AA6144">
        <w:rPr>
          <w:color w:val="auto"/>
          <w:lang w:val="en-CA"/>
        </w:rPr>
        <w:t xml:space="preserve"> in </w:t>
      </w:r>
      <w:r w:rsidR="009D3342" w:rsidRPr="00AA6144">
        <w:rPr>
          <w:color w:val="auto"/>
          <w:lang w:val="en-CA"/>
        </w:rPr>
        <w:t xml:space="preserve">sections 4(4) and 6(4) of the </w:t>
      </w:r>
      <w:r w:rsidR="009D3342" w:rsidRPr="00AA6144">
        <w:rPr>
          <w:i/>
          <w:iCs/>
          <w:color w:val="auto"/>
          <w:lang w:val="en-CA"/>
        </w:rPr>
        <w:t>Crimes Against Humanity and War Crimes Act</w:t>
      </w:r>
      <w:r w:rsidR="009D3342" w:rsidRPr="00AA6144">
        <w:rPr>
          <w:color w:val="auto"/>
          <w:lang w:val="en-CA"/>
        </w:rPr>
        <w:t xml:space="preserve">. However, the provisions of the </w:t>
      </w:r>
      <w:r w:rsidRPr="00AA6144">
        <w:rPr>
          <w:color w:val="auto"/>
          <w:lang w:val="en-CA"/>
        </w:rPr>
        <w:t>Rome Statute</w:t>
      </w:r>
      <w:r w:rsidR="009D3342" w:rsidRPr="00AA6144">
        <w:rPr>
          <w:color w:val="auto"/>
          <w:lang w:val="en-CA"/>
        </w:rPr>
        <w:t xml:space="preserve"> have </w:t>
      </w:r>
      <w:r w:rsidR="006B7B70" w:rsidRPr="00AA6144">
        <w:rPr>
          <w:color w:val="auto"/>
          <w:lang w:val="en-CA"/>
        </w:rPr>
        <w:t xml:space="preserve">not </w:t>
      </w:r>
      <w:r w:rsidR="009D3342" w:rsidRPr="00AA6144">
        <w:rPr>
          <w:color w:val="auto"/>
          <w:lang w:val="en-CA"/>
        </w:rPr>
        <w:t>been implemented in their entirety</w:t>
      </w:r>
      <w:r w:rsidR="008417A6" w:rsidRPr="00AA6144">
        <w:rPr>
          <w:color w:val="auto"/>
          <w:lang w:val="en-CA"/>
        </w:rPr>
        <w:t xml:space="preserve"> in Canadian domestic law</w:t>
      </w:r>
      <w:r w:rsidR="0035440E" w:rsidRPr="00AA6144">
        <w:rPr>
          <w:color w:val="auto"/>
          <w:lang w:val="en-CA"/>
        </w:rPr>
        <w:t>.</w:t>
      </w:r>
      <w:r w:rsidR="009D3342" w:rsidRPr="00AA6144">
        <w:rPr>
          <w:color w:val="auto"/>
          <w:vertAlign w:val="superscript"/>
          <w:lang w:val="en-CA"/>
        </w:rPr>
        <w:footnoteReference w:id="117"/>
      </w:r>
      <w:r w:rsidR="009D3342" w:rsidRPr="00AA6144">
        <w:rPr>
          <w:color w:val="auto"/>
          <w:lang w:val="en-CA"/>
        </w:rPr>
        <w:t xml:space="preserve">  Instead, “the </w:t>
      </w:r>
      <w:r w:rsidR="009D3342" w:rsidRPr="00AA6144">
        <w:rPr>
          <w:i/>
          <w:iCs/>
          <w:color w:val="auto"/>
          <w:lang w:val="en-CA"/>
        </w:rPr>
        <w:t xml:space="preserve">Act </w:t>
      </w:r>
      <w:r w:rsidR="009D3342" w:rsidRPr="00AA6144">
        <w:rPr>
          <w:color w:val="auto"/>
          <w:lang w:val="en-CA"/>
        </w:rPr>
        <w:t xml:space="preserve">relies expressly on the </w:t>
      </w:r>
      <w:r w:rsidRPr="00AA6144">
        <w:rPr>
          <w:iCs/>
          <w:color w:val="auto"/>
          <w:lang w:val="en-CA"/>
        </w:rPr>
        <w:t>Rome Statute</w:t>
      </w:r>
      <w:r w:rsidR="009D3342" w:rsidRPr="00AA6144">
        <w:rPr>
          <w:i/>
          <w:iCs/>
          <w:color w:val="auto"/>
          <w:lang w:val="en-CA"/>
        </w:rPr>
        <w:t xml:space="preserve"> </w:t>
      </w:r>
      <w:r w:rsidR="009D3342" w:rsidRPr="00AA6144">
        <w:rPr>
          <w:color w:val="auto"/>
          <w:lang w:val="en-CA"/>
        </w:rPr>
        <w:t>only as an interpretative guide of customary international law and only with respect to the definitions of the crimes”.</w:t>
      </w:r>
      <w:r w:rsidR="009D3342" w:rsidRPr="00AA6144">
        <w:rPr>
          <w:color w:val="auto"/>
          <w:vertAlign w:val="superscript"/>
          <w:lang w:val="en-CA"/>
        </w:rPr>
        <w:footnoteReference w:id="118"/>
      </w:r>
      <w:r w:rsidR="009D3342" w:rsidRPr="00AA6144">
        <w:rPr>
          <w:color w:val="auto"/>
          <w:lang w:val="en-CA"/>
        </w:rPr>
        <w:t xml:space="preserve">  Therefore, the </w:t>
      </w:r>
      <w:r w:rsidR="00D427E1" w:rsidRPr="00AA6144">
        <w:rPr>
          <w:color w:val="auto"/>
          <w:lang w:val="en-CA"/>
        </w:rPr>
        <w:t xml:space="preserve">explicit </w:t>
      </w:r>
      <w:r w:rsidR="009D3342" w:rsidRPr="00AA6144">
        <w:rPr>
          <w:color w:val="auto"/>
          <w:lang w:val="en-CA"/>
        </w:rPr>
        <w:t>reference to</w:t>
      </w:r>
      <w:r w:rsidR="00D427E1" w:rsidRPr="00AA6144">
        <w:rPr>
          <w:color w:val="auto"/>
          <w:lang w:val="en-CA"/>
        </w:rPr>
        <w:t xml:space="preserve"> Article 8(2)(b) of the </w:t>
      </w:r>
      <w:r w:rsidRPr="00AA6144">
        <w:rPr>
          <w:color w:val="auto"/>
          <w:lang w:val="en-CA"/>
        </w:rPr>
        <w:t>Rome Statute</w:t>
      </w:r>
      <w:r w:rsidR="00D427E1" w:rsidRPr="00AA6144">
        <w:rPr>
          <w:color w:val="auto"/>
          <w:lang w:val="en-CA"/>
        </w:rPr>
        <w:t xml:space="preserve"> in s</w:t>
      </w:r>
      <w:r w:rsidR="0035440E" w:rsidRPr="00AA6144">
        <w:rPr>
          <w:color w:val="auto"/>
          <w:lang w:val="en-CA"/>
        </w:rPr>
        <w:t>ection</w:t>
      </w:r>
      <w:r w:rsidR="00D427E1" w:rsidRPr="00AA6144">
        <w:rPr>
          <w:color w:val="auto"/>
          <w:lang w:val="en-CA"/>
        </w:rPr>
        <w:t xml:space="preserve"> 4(4) of the </w:t>
      </w:r>
      <w:r w:rsidR="00D427E1" w:rsidRPr="00AA6144">
        <w:rPr>
          <w:i/>
          <w:color w:val="auto"/>
          <w:lang w:val="en-CA"/>
        </w:rPr>
        <w:t xml:space="preserve">CAHWCA </w:t>
      </w:r>
      <w:r w:rsidR="009D3342" w:rsidRPr="00AA6144">
        <w:rPr>
          <w:color w:val="auto"/>
          <w:lang w:val="en-CA"/>
        </w:rPr>
        <w:t>“does not limit or prejudice in any way the application of existing or developing rules of international law.”</w:t>
      </w:r>
      <w:r w:rsidR="009D3342" w:rsidRPr="00AA6144">
        <w:rPr>
          <w:color w:val="auto"/>
          <w:vertAlign w:val="superscript"/>
          <w:lang w:val="en-CA"/>
        </w:rPr>
        <w:footnoteReference w:id="119"/>
      </w:r>
      <w:r w:rsidR="009D3342" w:rsidRPr="00AA6144">
        <w:rPr>
          <w:color w:val="auto"/>
          <w:lang w:val="en-CA"/>
        </w:rPr>
        <w:t xml:space="preserve"> </w:t>
      </w:r>
    </w:p>
    <w:p w14:paraId="2527BB1A" w14:textId="266F8660" w:rsidR="003F31C5" w:rsidRPr="00AA6144" w:rsidRDefault="00284BDA" w:rsidP="009D3342">
      <w:pPr>
        <w:pStyle w:val="AIBodyText"/>
        <w:rPr>
          <w:color w:val="auto"/>
          <w:lang w:val="en-CA"/>
        </w:rPr>
      </w:pPr>
      <w:r w:rsidRPr="00AA6144">
        <w:rPr>
          <w:color w:val="auto"/>
          <w:lang w:val="en-CA"/>
        </w:rPr>
        <w:t xml:space="preserve">Canada has authorized its courts to exercise universal jurisdiction over war crimes in the </w:t>
      </w:r>
      <w:r w:rsidR="005C5FF0" w:rsidRPr="00AA6144">
        <w:rPr>
          <w:color w:val="auto"/>
          <w:lang w:val="en-CA"/>
        </w:rPr>
        <w:t>Rome Statute</w:t>
      </w:r>
      <w:r w:rsidRPr="00AA6144">
        <w:rPr>
          <w:color w:val="auto"/>
          <w:lang w:val="en-CA"/>
        </w:rPr>
        <w:t>.</w:t>
      </w:r>
      <w:r w:rsidRPr="00AA6144">
        <w:rPr>
          <w:color w:val="auto"/>
          <w:vertAlign w:val="superscript"/>
          <w:lang w:val="en-CA"/>
        </w:rPr>
        <w:footnoteReference w:id="120"/>
      </w:r>
      <w:r w:rsidR="007B53D3">
        <w:rPr>
          <w:color w:val="auto"/>
          <w:lang w:val="en-CA"/>
        </w:rPr>
        <w:t xml:space="preserve"> </w:t>
      </w:r>
      <w:r w:rsidRPr="00AA6144">
        <w:rPr>
          <w:color w:val="auto"/>
          <w:lang w:val="en-CA"/>
        </w:rPr>
        <w:t>This is despite the fact that</w:t>
      </w:r>
      <w:r w:rsidR="00EC7018">
        <w:rPr>
          <w:color w:val="auto"/>
          <w:lang w:val="en-CA"/>
        </w:rPr>
        <w:t>, strictly speaking,</w:t>
      </w:r>
      <w:r w:rsidRPr="00AA6144">
        <w:rPr>
          <w:color w:val="auto"/>
          <w:lang w:val="en-CA"/>
        </w:rPr>
        <w:t xml:space="preserve"> the</w:t>
      </w:r>
      <w:r w:rsidR="003F31C5" w:rsidRPr="00AA6144">
        <w:rPr>
          <w:color w:val="auto"/>
          <w:lang w:val="en-CA"/>
        </w:rPr>
        <w:t xml:space="preserve"> </w:t>
      </w:r>
      <w:r w:rsidR="005C5FF0" w:rsidRPr="00AA6144">
        <w:rPr>
          <w:color w:val="auto"/>
          <w:lang w:val="en-CA"/>
        </w:rPr>
        <w:t>Rome Statute</w:t>
      </w:r>
      <w:r w:rsidR="003F31C5" w:rsidRPr="00AA6144">
        <w:rPr>
          <w:color w:val="auto"/>
          <w:lang w:val="en-CA"/>
        </w:rPr>
        <w:t xml:space="preserve"> does not</w:t>
      </w:r>
      <w:r w:rsidR="00145A0B" w:rsidRPr="00AA6144">
        <w:rPr>
          <w:color w:val="auto"/>
          <w:lang w:val="en-CA"/>
        </w:rPr>
        <w:t xml:space="preserve"> contain an explicit obligation </w:t>
      </w:r>
      <w:r w:rsidR="009D309C" w:rsidRPr="00AA6144">
        <w:rPr>
          <w:color w:val="auto"/>
          <w:lang w:val="en-CA"/>
        </w:rPr>
        <w:t>for</w:t>
      </w:r>
      <w:r w:rsidR="00145A0B" w:rsidRPr="00AA6144">
        <w:rPr>
          <w:color w:val="auto"/>
          <w:lang w:val="en-CA"/>
        </w:rPr>
        <w:t xml:space="preserve"> </w:t>
      </w:r>
      <w:r w:rsidR="003F31C5" w:rsidRPr="00AA6144">
        <w:rPr>
          <w:color w:val="auto"/>
          <w:lang w:val="en-CA"/>
        </w:rPr>
        <w:t xml:space="preserve">states parties to </w:t>
      </w:r>
      <w:r w:rsidR="00145A0B" w:rsidRPr="00AA6144">
        <w:rPr>
          <w:color w:val="auto"/>
          <w:lang w:val="en-CA"/>
        </w:rPr>
        <w:t>establish jurisdiction over war crimes</w:t>
      </w:r>
      <w:r w:rsidR="009D309C" w:rsidRPr="00AA6144">
        <w:rPr>
          <w:color w:val="auto"/>
          <w:lang w:val="en-CA"/>
        </w:rPr>
        <w:t xml:space="preserve"> and</w:t>
      </w:r>
      <w:r w:rsidR="00145A0B" w:rsidRPr="00AA6144">
        <w:rPr>
          <w:color w:val="auto"/>
          <w:lang w:val="en-CA"/>
        </w:rPr>
        <w:t xml:space="preserve"> </w:t>
      </w:r>
      <w:r w:rsidR="003F31C5" w:rsidRPr="00AA6144">
        <w:rPr>
          <w:color w:val="auto"/>
          <w:lang w:val="en-CA"/>
        </w:rPr>
        <w:t xml:space="preserve">prosecute </w:t>
      </w:r>
      <w:r w:rsidR="00145A0B" w:rsidRPr="00AA6144">
        <w:rPr>
          <w:color w:val="auto"/>
          <w:lang w:val="en-CA"/>
        </w:rPr>
        <w:t>them</w:t>
      </w:r>
      <w:r w:rsidR="003F31C5" w:rsidRPr="00AA6144">
        <w:rPr>
          <w:color w:val="auto"/>
          <w:lang w:val="en-CA"/>
        </w:rPr>
        <w:t xml:space="preserve">. </w:t>
      </w:r>
      <w:r w:rsidR="00145A0B" w:rsidRPr="00AA6144">
        <w:rPr>
          <w:color w:val="auto"/>
          <w:lang w:val="en-CA"/>
        </w:rPr>
        <w:lastRenderedPageBreak/>
        <w:t>However, some argue that there is a duty to prosecute implied in the</w:t>
      </w:r>
      <w:r w:rsidR="003F31C5" w:rsidRPr="00AA6144">
        <w:rPr>
          <w:color w:val="auto"/>
          <w:lang w:val="en-CA"/>
        </w:rPr>
        <w:t xml:space="preserve"> </w:t>
      </w:r>
      <w:r w:rsidR="00145A0B" w:rsidRPr="00AA6144">
        <w:rPr>
          <w:color w:val="auto"/>
          <w:lang w:val="en-CA"/>
        </w:rPr>
        <w:t xml:space="preserve">preamble to the </w:t>
      </w:r>
      <w:r w:rsidR="005C5FF0" w:rsidRPr="00AA6144">
        <w:rPr>
          <w:color w:val="auto"/>
          <w:lang w:val="en-CA"/>
        </w:rPr>
        <w:t>Rome Statute</w:t>
      </w:r>
      <w:r w:rsidR="00145A0B" w:rsidRPr="00AA6144">
        <w:rPr>
          <w:color w:val="auto"/>
          <w:lang w:val="en-CA"/>
        </w:rPr>
        <w:t xml:space="preserve"> and the complementarity principle.</w:t>
      </w:r>
      <w:r w:rsidR="009D309C" w:rsidRPr="00AA6144">
        <w:rPr>
          <w:rStyle w:val="FootnoteReference"/>
          <w:color w:val="auto"/>
          <w:lang w:val="en-CA"/>
        </w:rPr>
        <w:footnoteReference w:id="121"/>
      </w:r>
      <w:r w:rsidR="00D31862" w:rsidRPr="00AA6144">
        <w:rPr>
          <w:color w:val="auto"/>
          <w:lang w:val="en-CA"/>
        </w:rPr>
        <w:t xml:space="preserve"> Despite a lack of </w:t>
      </w:r>
      <w:r w:rsidR="00632FC8">
        <w:rPr>
          <w:color w:val="auto"/>
          <w:lang w:val="en-CA"/>
        </w:rPr>
        <w:t>an explicit</w:t>
      </w:r>
      <w:r w:rsidRPr="00AA6144">
        <w:rPr>
          <w:color w:val="auto"/>
          <w:lang w:val="en-CA"/>
        </w:rPr>
        <w:t xml:space="preserve"> </w:t>
      </w:r>
      <w:r w:rsidR="00D31862" w:rsidRPr="00AA6144">
        <w:rPr>
          <w:color w:val="auto"/>
          <w:lang w:val="en-CA"/>
        </w:rPr>
        <w:t xml:space="preserve">obligation on states parties to prosecute, “many states have taken the opportunity presented by the need to modify their domestic law to implement their obligations under the </w:t>
      </w:r>
      <w:r w:rsidR="005C5FF0" w:rsidRPr="00AA6144">
        <w:rPr>
          <w:i/>
          <w:color w:val="auto"/>
          <w:lang w:val="en-CA"/>
        </w:rPr>
        <w:t>Rome Statute</w:t>
      </w:r>
      <w:r w:rsidR="00D31862" w:rsidRPr="00AA6144">
        <w:rPr>
          <w:color w:val="auto"/>
          <w:lang w:val="en-CA"/>
        </w:rPr>
        <w:t>, to give their domestic courts jurisdiction to try these crimes on the basis of universality</w:t>
      </w:r>
      <w:r w:rsidRPr="00AA6144">
        <w:rPr>
          <w:color w:val="auto"/>
          <w:lang w:val="en-CA"/>
        </w:rPr>
        <w:t>”</w:t>
      </w:r>
      <w:r w:rsidR="00D31862" w:rsidRPr="00AA6144">
        <w:rPr>
          <w:color w:val="auto"/>
          <w:lang w:val="en-CA"/>
        </w:rPr>
        <w:t>.</w:t>
      </w:r>
      <w:r w:rsidR="00BE552E" w:rsidRPr="00AA6144">
        <w:rPr>
          <w:rStyle w:val="FootnoteReference"/>
          <w:color w:val="auto"/>
          <w:lang w:val="en-CA"/>
        </w:rPr>
        <w:footnoteReference w:id="122"/>
      </w:r>
    </w:p>
    <w:p w14:paraId="0041A0BA" w14:textId="77777777" w:rsidR="009A05C7" w:rsidRPr="00AA6144" w:rsidRDefault="00B3025F" w:rsidP="005D4819">
      <w:pPr>
        <w:pStyle w:val="AIBodyText"/>
        <w:rPr>
          <w:color w:val="auto"/>
          <w:lang w:val="en-CA"/>
        </w:rPr>
      </w:pPr>
      <w:r w:rsidRPr="00AA6144">
        <w:rPr>
          <w:b/>
          <w:bCs/>
          <w:i/>
          <w:iCs/>
          <w:color w:val="auto"/>
          <w:lang w:val="en-CA"/>
        </w:rPr>
        <w:t xml:space="preserve">Treaties </w:t>
      </w:r>
      <w:r w:rsidR="003F31C5" w:rsidRPr="00AA6144">
        <w:rPr>
          <w:b/>
          <w:bCs/>
          <w:i/>
          <w:iCs/>
          <w:color w:val="auto"/>
          <w:lang w:val="en-CA"/>
        </w:rPr>
        <w:t xml:space="preserve">addressing </w:t>
      </w:r>
      <w:r w:rsidR="00C61CE8" w:rsidRPr="00AA6144">
        <w:rPr>
          <w:b/>
          <w:bCs/>
          <w:i/>
          <w:iCs/>
          <w:color w:val="auto"/>
          <w:lang w:val="en-CA"/>
        </w:rPr>
        <w:t>war crimes</w:t>
      </w:r>
      <w:r w:rsidR="0030265E" w:rsidRPr="00AA6144">
        <w:rPr>
          <w:b/>
          <w:bCs/>
          <w:i/>
          <w:iCs/>
          <w:color w:val="auto"/>
          <w:lang w:val="en-CA"/>
        </w:rPr>
        <w:t>.</w:t>
      </w:r>
      <w:r w:rsidR="0030265E" w:rsidRPr="00AA6144">
        <w:rPr>
          <w:color w:val="auto"/>
          <w:lang w:val="en-CA"/>
        </w:rPr>
        <w:t xml:space="preserve">  The </w:t>
      </w:r>
      <w:r w:rsidR="005C5FF0" w:rsidRPr="00AA6144">
        <w:rPr>
          <w:color w:val="auto"/>
          <w:lang w:val="en-CA"/>
        </w:rPr>
        <w:t>Rome Statute</w:t>
      </w:r>
      <w:r w:rsidR="0030265E" w:rsidRPr="00AA6144">
        <w:rPr>
          <w:color w:val="auto"/>
          <w:lang w:val="en-CA"/>
        </w:rPr>
        <w:t xml:space="preserve"> leaves out </w:t>
      </w:r>
      <w:proofErr w:type="gramStart"/>
      <w:r w:rsidR="0030265E" w:rsidRPr="00AA6144">
        <w:rPr>
          <w:color w:val="auto"/>
          <w:lang w:val="en-CA"/>
        </w:rPr>
        <w:t>a number of</w:t>
      </w:r>
      <w:proofErr w:type="gramEnd"/>
      <w:r w:rsidR="0030265E" w:rsidRPr="00AA6144">
        <w:rPr>
          <w:color w:val="auto"/>
          <w:lang w:val="en-CA"/>
        </w:rPr>
        <w:t xml:space="preserve"> war crimes in international armed conflict </w:t>
      </w:r>
      <w:r w:rsidR="00284BDA" w:rsidRPr="00AA6144">
        <w:rPr>
          <w:color w:val="auto"/>
          <w:lang w:val="en-CA"/>
        </w:rPr>
        <w:t xml:space="preserve">that are listed </w:t>
      </w:r>
      <w:r w:rsidR="0030265E" w:rsidRPr="00AA6144">
        <w:rPr>
          <w:color w:val="auto"/>
          <w:lang w:val="en-CA"/>
        </w:rPr>
        <w:t>in</w:t>
      </w:r>
      <w:r w:rsidR="00284BDA" w:rsidRPr="00AA6144">
        <w:rPr>
          <w:color w:val="auto"/>
          <w:lang w:val="en-CA"/>
        </w:rPr>
        <w:t xml:space="preserve"> other</w:t>
      </w:r>
      <w:r w:rsidR="0030265E" w:rsidRPr="00AA6144">
        <w:rPr>
          <w:color w:val="auto"/>
          <w:lang w:val="en-CA"/>
        </w:rPr>
        <w:t xml:space="preserve"> treaties</w:t>
      </w:r>
      <w:r w:rsidR="002A559B" w:rsidRPr="00AA6144">
        <w:rPr>
          <w:color w:val="auto"/>
          <w:lang w:val="en-CA"/>
        </w:rPr>
        <w:t xml:space="preserve">. </w:t>
      </w:r>
      <w:r w:rsidR="009D3342" w:rsidRPr="00AA6144">
        <w:rPr>
          <w:color w:val="auto"/>
          <w:lang w:val="en-CA"/>
        </w:rPr>
        <w:t xml:space="preserve">As </w:t>
      </w:r>
      <w:r w:rsidR="000D129B" w:rsidRPr="00AA6144">
        <w:rPr>
          <w:color w:val="auto"/>
          <w:lang w:val="en-CA"/>
        </w:rPr>
        <w:t>C</w:t>
      </w:r>
      <w:r w:rsidR="002A559B" w:rsidRPr="00AA6144">
        <w:rPr>
          <w:color w:val="auto"/>
          <w:lang w:val="en-CA"/>
        </w:rPr>
        <w:t xml:space="preserve">hart </w:t>
      </w:r>
      <w:r w:rsidR="000D129B" w:rsidRPr="00AA6144">
        <w:rPr>
          <w:color w:val="auto"/>
          <w:lang w:val="en-CA"/>
        </w:rPr>
        <w:t xml:space="preserve">II </w:t>
      </w:r>
      <w:r w:rsidR="002A559B" w:rsidRPr="00AA6144">
        <w:rPr>
          <w:color w:val="auto"/>
          <w:lang w:val="en-CA"/>
        </w:rPr>
        <w:t>indicate</w:t>
      </w:r>
      <w:r w:rsidR="00F351C5" w:rsidRPr="00AA6144">
        <w:rPr>
          <w:color w:val="auto"/>
          <w:lang w:val="en-CA"/>
        </w:rPr>
        <w:t>s</w:t>
      </w:r>
      <w:r w:rsidR="002115CB" w:rsidRPr="00AA6144">
        <w:rPr>
          <w:color w:val="auto"/>
          <w:lang w:val="en-CA"/>
        </w:rPr>
        <w:t>,</w:t>
      </w:r>
      <w:r w:rsidR="009D3342" w:rsidRPr="00AA6144">
        <w:rPr>
          <w:color w:val="auto"/>
          <w:lang w:val="en-CA"/>
        </w:rPr>
        <w:t xml:space="preserve"> Canada has </w:t>
      </w:r>
      <w:r w:rsidR="002A559B" w:rsidRPr="00AA6144">
        <w:rPr>
          <w:color w:val="auto"/>
          <w:lang w:val="en-CA"/>
        </w:rPr>
        <w:t xml:space="preserve">defined these </w:t>
      </w:r>
      <w:r w:rsidR="00284BDA" w:rsidRPr="00AA6144">
        <w:rPr>
          <w:color w:val="auto"/>
          <w:lang w:val="en-CA"/>
        </w:rPr>
        <w:t xml:space="preserve">other crimes </w:t>
      </w:r>
      <w:r w:rsidR="002A559B" w:rsidRPr="00AA6144">
        <w:rPr>
          <w:color w:val="auto"/>
          <w:lang w:val="en-CA"/>
        </w:rPr>
        <w:t xml:space="preserve">as </w:t>
      </w:r>
      <w:r w:rsidR="00C61CE8" w:rsidRPr="00AA6144">
        <w:rPr>
          <w:color w:val="auto"/>
          <w:lang w:val="en-CA"/>
        </w:rPr>
        <w:t xml:space="preserve">war </w:t>
      </w:r>
      <w:r w:rsidR="002A559B" w:rsidRPr="00AA6144">
        <w:rPr>
          <w:color w:val="auto"/>
          <w:lang w:val="en-CA"/>
        </w:rPr>
        <w:t>crimes under national law</w:t>
      </w:r>
      <w:r w:rsidR="00F322E4" w:rsidRPr="00AA6144">
        <w:rPr>
          <w:color w:val="auto"/>
          <w:lang w:val="en-CA"/>
        </w:rPr>
        <w:t xml:space="preserve">. </w:t>
      </w:r>
      <w:r w:rsidR="009D3342" w:rsidRPr="00AA6144">
        <w:rPr>
          <w:color w:val="auto"/>
          <w:lang w:val="en-CA"/>
        </w:rPr>
        <w:t xml:space="preserve">Canada has </w:t>
      </w:r>
      <w:r w:rsidR="00192F4C" w:rsidRPr="00AA6144">
        <w:rPr>
          <w:color w:val="auto"/>
          <w:lang w:val="en-CA"/>
        </w:rPr>
        <w:t xml:space="preserve">also </w:t>
      </w:r>
      <w:r w:rsidR="00F322E4" w:rsidRPr="00AA6144">
        <w:rPr>
          <w:color w:val="auto"/>
          <w:lang w:val="en-CA"/>
        </w:rPr>
        <w:t>authorized its courts to exercise u</w:t>
      </w:r>
      <w:r w:rsidR="009D3342" w:rsidRPr="00AA6144">
        <w:rPr>
          <w:color w:val="auto"/>
          <w:lang w:val="en-CA"/>
        </w:rPr>
        <w:t xml:space="preserve">niversal jurisdiction </w:t>
      </w:r>
      <w:r w:rsidR="00192F4C" w:rsidRPr="00AA6144">
        <w:rPr>
          <w:color w:val="auto"/>
          <w:lang w:val="en-CA"/>
        </w:rPr>
        <w:t>over these additional war crimes</w:t>
      </w:r>
      <w:r w:rsidR="00F619D0" w:rsidRPr="00AA6144">
        <w:rPr>
          <w:color w:val="auto"/>
          <w:lang w:val="en-CA"/>
        </w:rPr>
        <w:t>.</w:t>
      </w:r>
    </w:p>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77"/>
        <w:gridCol w:w="1080"/>
        <w:gridCol w:w="1080"/>
        <w:gridCol w:w="1260"/>
        <w:gridCol w:w="1092"/>
      </w:tblGrid>
      <w:tr w:rsidR="006628A5" w:rsidRPr="00AA6144" w14:paraId="04C06AFC" w14:textId="77777777">
        <w:trPr>
          <w:tblHeader/>
        </w:trPr>
        <w:tc>
          <w:tcPr>
            <w:tcW w:w="8040" w:type="dxa"/>
            <w:gridSpan w:val="6"/>
            <w:shd w:val="clear" w:color="auto" w:fill="000000"/>
          </w:tcPr>
          <w:p w14:paraId="70BFAF99" w14:textId="77777777" w:rsidR="006628A5" w:rsidRPr="00AA6144" w:rsidRDefault="006628A5" w:rsidP="002804B4">
            <w:pPr>
              <w:pStyle w:val="AIBodyText"/>
              <w:spacing w:line="240" w:lineRule="auto"/>
              <w:jc w:val="both"/>
              <w:rPr>
                <w:b/>
                <w:color w:val="auto"/>
                <w:szCs w:val="18"/>
                <w:lang w:val="en-CA"/>
              </w:rPr>
            </w:pPr>
            <w:r w:rsidRPr="00AA6144">
              <w:rPr>
                <w:b/>
                <w:color w:val="auto"/>
                <w:szCs w:val="18"/>
                <w:lang w:val="en-CA"/>
              </w:rPr>
              <w:t xml:space="preserve">CHART II. WAR CRIMES IN INTERNATIONAL ARMED CONFLICT IN THE THIRD GENEVA CONVENTION AND PROTOCOL I THAT HAVE BEEN OMITTED FROM THE </w:t>
            </w:r>
            <w:r w:rsidR="005C5FF0" w:rsidRPr="00AA6144">
              <w:rPr>
                <w:b/>
                <w:color w:val="auto"/>
                <w:szCs w:val="18"/>
                <w:lang w:val="en-CA"/>
              </w:rPr>
              <w:t>ROME STATUTE</w:t>
            </w:r>
          </w:p>
        </w:tc>
      </w:tr>
      <w:tr w:rsidR="006628A5" w:rsidRPr="00AA6144" w14:paraId="0ECED4E8" w14:textId="77777777">
        <w:trPr>
          <w:tblHeader/>
        </w:trPr>
        <w:tc>
          <w:tcPr>
            <w:tcW w:w="1951" w:type="dxa"/>
          </w:tcPr>
          <w:p w14:paraId="64D504B6" w14:textId="77777777" w:rsidR="006628A5" w:rsidRPr="00AA6144" w:rsidRDefault="006628A5" w:rsidP="002804B4">
            <w:pPr>
              <w:pStyle w:val="AIBodyText"/>
              <w:spacing w:line="240" w:lineRule="auto"/>
              <w:jc w:val="both"/>
              <w:rPr>
                <w:b/>
                <w:color w:val="auto"/>
                <w:szCs w:val="18"/>
                <w:lang w:val="en-CA"/>
              </w:rPr>
            </w:pPr>
            <w:r w:rsidRPr="00AA6144">
              <w:rPr>
                <w:b/>
                <w:color w:val="auto"/>
                <w:szCs w:val="18"/>
                <w:lang w:val="en-CA"/>
              </w:rPr>
              <w:t>Crime</w:t>
            </w:r>
          </w:p>
        </w:tc>
        <w:tc>
          <w:tcPr>
            <w:tcW w:w="1577" w:type="dxa"/>
          </w:tcPr>
          <w:p w14:paraId="5B2298AD" w14:textId="77777777" w:rsidR="006628A5" w:rsidRPr="00AA6144" w:rsidRDefault="006628A5" w:rsidP="002804B4">
            <w:pPr>
              <w:pStyle w:val="AIBodyText"/>
              <w:spacing w:line="240" w:lineRule="auto"/>
              <w:jc w:val="both"/>
              <w:rPr>
                <w:b/>
                <w:color w:val="auto"/>
                <w:szCs w:val="18"/>
                <w:lang w:val="en-CA"/>
              </w:rPr>
            </w:pPr>
            <w:r w:rsidRPr="00AA6144">
              <w:rPr>
                <w:b/>
                <w:color w:val="auto"/>
                <w:szCs w:val="18"/>
                <w:lang w:val="en-CA"/>
              </w:rPr>
              <w:t>Treaty</w:t>
            </w:r>
          </w:p>
        </w:tc>
        <w:tc>
          <w:tcPr>
            <w:tcW w:w="1080" w:type="dxa"/>
          </w:tcPr>
          <w:p w14:paraId="59480787" w14:textId="77777777" w:rsidR="006628A5" w:rsidRPr="00AA6144" w:rsidRDefault="006628A5" w:rsidP="002804B4">
            <w:pPr>
              <w:pStyle w:val="AIBodyText"/>
              <w:spacing w:line="240" w:lineRule="auto"/>
              <w:jc w:val="both"/>
              <w:rPr>
                <w:b/>
                <w:color w:val="auto"/>
                <w:szCs w:val="18"/>
                <w:lang w:val="en-CA"/>
              </w:rPr>
            </w:pPr>
            <w:r w:rsidRPr="00AA6144">
              <w:rPr>
                <w:b/>
                <w:color w:val="auto"/>
                <w:szCs w:val="18"/>
                <w:lang w:val="en-CA"/>
              </w:rPr>
              <w:t>Signed</w:t>
            </w:r>
          </w:p>
        </w:tc>
        <w:tc>
          <w:tcPr>
            <w:tcW w:w="1080" w:type="dxa"/>
          </w:tcPr>
          <w:p w14:paraId="3B55A859" w14:textId="77777777" w:rsidR="006628A5" w:rsidRPr="00AA6144" w:rsidRDefault="006628A5" w:rsidP="002804B4">
            <w:pPr>
              <w:pStyle w:val="AIBodyText"/>
              <w:spacing w:line="240" w:lineRule="auto"/>
              <w:jc w:val="both"/>
              <w:rPr>
                <w:b/>
                <w:color w:val="auto"/>
                <w:szCs w:val="18"/>
                <w:lang w:val="en-CA"/>
              </w:rPr>
            </w:pPr>
            <w:r w:rsidRPr="00AA6144">
              <w:rPr>
                <w:b/>
                <w:color w:val="auto"/>
                <w:szCs w:val="18"/>
                <w:lang w:val="en-CA"/>
              </w:rPr>
              <w:t>Ratified/</w:t>
            </w:r>
          </w:p>
          <w:p w14:paraId="60284428" w14:textId="77777777" w:rsidR="006628A5" w:rsidRPr="00AA6144" w:rsidRDefault="006628A5" w:rsidP="002804B4">
            <w:pPr>
              <w:pStyle w:val="AIBodyText"/>
              <w:spacing w:line="240" w:lineRule="auto"/>
              <w:jc w:val="both"/>
              <w:rPr>
                <w:b/>
                <w:color w:val="auto"/>
                <w:szCs w:val="18"/>
                <w:lang w:val="en-CA"/>
              </w:rPr>
            </w:pPr>
            <w:r w:rsidRPr="00AA6144">
              <w:rPr>
                <w:b/>
                <w:color w:val="auto"/>
                <w:szCs w:val="18"/>
                <w:lang w:val="en-CA"/>
              </w:rPr>
              <w:t>Acceded</w:t>
            </w:r>
          </w:p>
        </w:tc>
        <w:tc>
          <w:tcPr>
            <w:tcW w:w="1260" w:type="dxa"/>
          </w:tcPr>
          <w:p w14:paraId="03CBACF8" w14:textId="77777777" w:rsidR="006628A5" w:rsidRPr="00AA6144" w:rsidRDefault="006628A5" w:rsidP="002804B4">
            <w:pPr>
              <w:pStyle w:val="AIBodyText"/>
              <w:spacing w:line="240" w:lineRule="auto"/>
              <w:jc w:val="both"/>
              <w:rPr>
                <w:b/>
                <w:color w:val="auto"/>
                <w:szCs w:val="18"/>
                <w:lang w:val="en-CA"/>
              </w:rPr>
            </w:pPr>
            <w:r w:rsidRPr="00AA6144">
              <w:rPr>
                <w:b/>
                <w:color w:val="auto"/>
                <w:szCs w:val="18"/>
                <w:lang w:val="en-CA"/>
              </w:rPr>
              <w:t>Defined in national law (citing any relevant provision)</w:t>
            </w:r>
          </w:p>
        </w:tc>
        <w:tc>
          <w:tcPr>
            <w:tcW w:w="1092" w:type="dxa"/>
          </w:tcPr>
          <w:p w14:paraId="37B751ED" w14:textId="77777777" w:rsidR="006628A5" w:rsidRPr="00AA6144" w:rsidRDefault="006628A5" w:rsidP="002804B4">
            <w:pPr>
              <w:pStyle w:val="AIBodyText"/>
              <w:spacing w:line="240" w:lineRule="auto"/>
              <w:jc w:val="both"/>
              <w:rPr>
                <w:b/>
                <w:color w:val="auto"/>
                <w:szCs w:val="18"/>
                <w:lang w:val="en-CA"/>
              </w:rPr>
            </w:pPr>
            <w:r w:rsidRPr="00AA6144">
              <w:rPr>
                <w:b/>
                <w:color w:val="auto"/>
                <w:szCs w:val="18"/>
                <w:lang w:val="en-CA"/>
              </w:rPr>
              <w:t>Universal jurisdiction (citing any relevant provision)</w:t>
            </w:r>
          </w:p>
        </w:tc>
      </w:tr>
      <w:tr w:rsidR="006628A5" w:rsidRPr="00AA6144" w14:paraId="2CDC3593" w14:textId="77777777">
        <w:tc>
          <w:tcPr>
            <w:tcW w:w="1951" w:type="dxa"/>
          </w:tcPr>
          <w:p w14:paraId="2FCA79A9"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Unjustifiable delay in the repatriation of prisoners of war</w:t>
            </w:r>
          </w:p>
        </w:tc>
        <w:tc>
          <w:tcPr>
            <w:tcW w:w="1577" w:type="dxa"/>
          </w:tcPr>
          <w:p w14:paraId="05AA16C6"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Geneva Conv. III</w:t>
            </w:r>
            <w:bookmarkStart w:id="71" w:name="_Ref266970952"/>
            <w:r w:rsidRPr="00AA6144">
              <w:rPr>
                <w:rStyle w:val="FootnoteReference"/>
                <w:color w:val="auto"/>
                <w:szCs w:val="18"/>
                <w:lang w:val="en-CA"/>
              </w:rPr>
              <w:footnoteReference w:id="123"/>
            </w:r>
            <w:bookmarkEnd w:id="71"/>
            <w:r w:rsidRPr="00AA6144">
              <w:rPr>
                <w:color w:val="auto"/>
                <w:szCs w:val="18"/>
                <w:lang w:val="en-CA"/>
              </w:rPr>
              <w:t xml:space="preserve"> and Prot. I, art. 85 (4) (b)</w:t>
            </w:r>
            <w:r w:rsidRPr="00AA6144">
              <w:rPr>
                <w:rStyle w:val="FootnoteReference"/>
                <w:color w:val="auto"/>
                <w:szCs w:val="18"/>
                <w:lang w:val="en-CA"/>
              </w:rPr>
              <w:t xml:space="preserve"> </w:t>
            </w:r>
            <w:r w:rsidRPr="00AA6144">
              <w:rPr>
                <w:rStyle w:val="FootnoteReference"/>
                <w:color w:val="auto"/>
                <w:szCs w:val="18"/>
                <w:lang w:val="en-CA"/>
              </w:rPr>
              <w:footnoteReference w:id="124"/>
            </w:r>
          </w:p>
        </w:tc>
        <w:tc>
          <w:tcPr>
            <w:tcW w:w="1080" w:type="dxa"/>
          </w:tcPr>
          <w:p w14:paraId="69385D41"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November 2, 1950</w:t>
            </w:r>
          </w:p>
        </w:tc>
        <w:tc>
          <w:tcPr>
            <w:tcW w:w="1080" w:type="dxa"/>
          </w:tcPr>
          <w:p w14:paraId="325E70B7"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 xml:space="preserve">June 14, 1965/ </w:t>
            </w:r>
            <w:proofErr w:type="gramStart"/>
            <w:r w:rsidRPr="00AA6144">
              <w:rPr>
                <w:color w:val="auto"/>
                <w:szCs w:val="18"/>
                <w:lang w:val="en-CA"/>
              </w:rPr>
              <w:t>November  14</w:t>
            </w:r>
            <w:proofErr w:type="gramEnd"/>
            <w:r w:rsidRPr="00AA6144">
              <w:rPr>
                <w:color w:val="auto"/>
                <w:szCs w:val="18"/>
                <w:lang w:val="en-CA"/>
              </w:rPr>
              <w:t>, 1965</w:t>
            </w:r>
          </w:p>
        </w:tc>
        <w:tc>
          <w:tcPr>
            <w:tcW w:w="1260" w:type="dxa"/>
          </w:tcPr>
          <w:p w14:paraId="6C16D7BF" w14:textId="77777777" w:rsidR="006628A5" w:rsidRPr="00AA6144" w:rsidRDefault="006628A5" w:rsidP="002804B4">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s.4 and 6.</w:t>
            </w:r>
          </w:p>
          <w:p w14:paraId="435FAE3A" w14:textId="77777777" w:rsidR="006628A5" w:rsidRPr="00AA6144" w:rsidRDefault="006628A5" w:rsidP="002804B4">
            <w:pPr>
              <w:pStyle w:val="AIBodyText"/>
              <w:spacing w:line="240" w:lineRule="auto"/>
              <w:jc w:val="both"/>
              <w:rPr>
                <w:color w:val="auto"/>
                <w:szCs w:val="18"/>
                <w:lang w:val="en-CA"/>
              </w:rPr>
            </w:pPr>
            <w:r w:rsidRPr="00AA6144">
              <w:rPr>
                <w:i/>
                <w:color w:val="auto"/>
                <w:szCs w:val="16"/>
                <w:lang w:val="en-CA"/>
              </w:rPr>
              <w:t>Geneva Conventions Act</w:t>
            </w:r>
            <w:r w:rsidRPr="00AA6144">
              <w:rPr>
                <w:color w:val="auto"/>
                <w:szCs w:val="16"/>
                <w:lang w:val="en-CA"/>
              </w:rPr>
              <w:t>, R.S.C. 1985, c. G-3, s.3(1).</w:t>
            </w:r>
          </w:p>
          <w:p w14:paraId="48ABBA04" w14:textId="77777777" w:rsidR="006628A5" w:rsidRPr="00AA6144" w:rsidRDefault="006628A5" w:rsidP="002804B4">
            <w:pPr>
              <w:pStyle w:val="AIBodyText"/>
              <w:spacing w:line="240" w:lineRule="auto"/>
              <w:jc w:val="both"/>
              <w:rPr>
                <w:color w:val="auto"/>
                <w:szCs w:val="18"/>
                <w:lang w:val="en-CA"/>
              </w:rPr>
            </w:pPr>
          </w:p>
        </w:tc>
        <w:tc>
          <w:tcPr>
            <w:tcW w:w="1092" w:type="dxa"/>
          </w:tcPr>
          <w:p w14:paraId="7F0C0836" w14:textId="77777777" w:rsidR="006628A5" w:rsidRPr="00AA6144" w:rsidRDefault="006628A5" w:rsidP="002804B4">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p w14:paraId="0BA3FAE1" w14:textId="77777777" w:rsidR="006628A5" w:rsidRPr="00AA6144" w:rsidRDefault="006628A5" w:rsidP="002804B4">
            <w:pPr>
              <w:pStyle w:val="AIBodyText"/>
              <w:spacing w:line="240" w:lineRule="auto"/>
              <w:jc w:val="both"/>
              <w:rPr>
                <w:color w:val="auto"/>
                <w:szCs w:val="18"/>
                <w:lang w:val="en-CA"/>
              </w:rPr>
            </w:pPr>
            <w:r w:rsidRPr="00AA6144">
              <w:rPr>
                <w:i/>
                <w:color w:val="auto"/>
                <w:szCs w:val="16"/>
                <w:lang w:val="en-CA"/>
              </w:rPr>
              <w:t>Geneva Conventions Act</w:t>
            </w:r>
            <w:r w:rsidRPr="00AA6144">
              <w:rPr>
                <w:color w:val="auto"/>
                <w:szCs w:val="16"/>
                <w:lang w:val="en-CA"/>
              </w:rPr>
              <w:t>, R.S.C. 1985, c. G-3, s.3(2).</w:t>
            </w:r>
          </w:p>
        </w:tc>
      </w:tr>
      <w:tr w:rsidR="006628A5" w:rsidRPr="00AA6144" w14:paraId="091F31C0" w14:textId="77777777">
        <w:tc>
          <w:tcPr>
            <w:tcW w:w="1951" w:type="dxa"/>
          </w:tcPr>
          <w:p w14:paraId="170005D9"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 xml:space="preserve">Unjustifiable delay in the repatriation of </w:t>
            </w:r>
            <w:r w:rsidRPr="00AA6144">
              <w:rPr>
                <w:color w:val="auto"/>
                <w:szCs w:val="18"/>
                <w:lang w:val="en-CA"/>
              </w:rPr>
              <w:lastRenderedPageBreak/>
              <w:t>civilians</w:t>
            </w:r>
          </w:p>
        </w:tc>
        <w:tc>
          <w:tcPr>
            <w:tcW w:w="1577" w:type="dxa"/>
          </w:tcPr>
          <w:p w14:paraId="76ED0735"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lastRenderedPageBreak/>
              <w:t>Prot. I, art. 85 (4) (b)</w:t>
            </w:r>
            <w:r w:rsidRPr="00AA6144">
              <w:rPr>
                <w:rStyle w:val="FootnoteReference"/>
                <w:color w:val="auto"/>
                <w:szCs w:val="18"/>
                <w:lang w:val="en-CA"/>
              </w:rPr>
              <w:t xml:space="preserve"> </w:t>
            </w:r>
            <w:r w:rsidRPr="00AA6144">
              <w:rPr>
                <w:rStyle w:val="FootnoteReference"/>
                <w:color w:val="auto"/>
                <w:szCs w:val="18"/>
                <w:lang w:val="en-CA"/>
              </w:rPr>
              <w:footnoteReference w:id="125"/>
            </w:r>
          </w:p>
        </w:tc>
        <w:tc>
          <w:tcPr>
            <w:tcW w:w="1080" w:type="dxa"/>
          </w:tcPr>
          <w:p w14:paraId="7E3A70FD"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January 23, 1979</w:t>
            </w:r>
          </w:p>
        </w:tc>
        <w:tc>
          <w:tcPr>
            <w:tcW w:w="1080" w:type="dxa"/>
          </w:tcPr>
          <w:p w14:paraId="230D9A1D"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January 24,</w:t>
            </w:r>
            <w:r w:rsidRPr="00AA6144">
              <w:rPr>
                <w:color w:val="auto"/>
                <w:szCs w:val="18"/>
                <w:vertAlign w:val="superscript"/>
                <w:lang w:val="en-CA"/>
              </w:rPr>
              <w:t xml:space="preserve"> </w:t>
            </w:r>
            <w:r w:rsidRPr="00AA6144">
              <w:rPr>
                <w:color w:val="auto"/>
                <w:szCs w:val="18"/>
                <w:lang w:val="en-CA"/>
              </w:rPr>
              <w:t>1991/</w:t>
            </w:r>
            <w:r w:rsidRPr="00AA6144">
              <w:rPr>
                <w:color w:val="auto"/>
                <w:szCs w:val="18"/>
                <w:lang w:val="en-CA"/>
              </w:rPr>
              <w:br/>
              <w:t xml:space="preserve">May 20, </w:t>
            </w:r>
            <w:r w:rsidRPr="00AA6144">
              <w:rPr>
                <w:color w:val="auto"/>
                <w:szCs w:val="18"/>
                <w:lang w:val="en-CA"/>
              </w:rPr>
              <w:lastRenderedPageBreak/>
              <w:t>1991</w:t>
            </w:r>
          </w:p>
        </w:tc>
        <w:tc>
          <w:tcPr>
            <w:tcW w:w="1260" w:type="dxa"/>
          </w:tcPr>
          <w:p w14:paraId="5BDE1C48" w14:textId="77777777" w:rsidR="006628A5" w:rsidRPr="00AA6144" w:rsidRDefault="006628A5" w:rsidP="002804B4">
            <w:pPr>
              <w:pStyle w:val="AIBodyText"/>
              <w:spacing w:line="240" w:lineRule="auto"/>
              <w:jc w:val="both"/>
              <w:rPr>
                <w:color w:val="auto"/>
                <w:szCs w:val="18"/>
                <w:lang w:val="en-CA"/>
              </w:rPr>
            </w:pPr>
            <w:r w:rsidRPr="00AA6144">
              <w:rPr>
                <w:i/>
                <w:iCs/>
                <w:color w:val="auto"/>
                <w:szCs w:val="18"/>
                <w:lang w:val="en-CA"/>
              </w:rPr>
              <w:lastRenderedPageBreak/>
              <w:t xml:space="preserve">Crimes Against Humanity </w:t>
            </w:r>
            <w:r w:rsidRPr="00AA6144">
              <w:rPr>
                <w:i/>
                <w:iCs/>
                <w:color w:val="auto"/>
                <w:szCs w:val="18"/>
                <w:lang w:val="en-CA"/>
              </w:rPr>
              <w:lastRenderedPageBreak/>
              <w:t>and War Crimes Act</w:t>
            </w:r>
            <w:r w:rsidRPr="00AA6144">
              <w:rPr>
                <w:color w:val="auto"/>
                <w:szCs w:val="18"/>
                <w:lang w:val="en-CA"/>
              </w:rPr>
              <w:t>, S.C.-2000, c. 24, s.4 and 6.</w:t>
            </w:r>
          </w:p>
          <w:p w14:paraId="72EFD683" w14:textId="77777777" w:rsidR="006628A5" w:rsidRPr="00AA6144" w:rsidRDefault="006628A5" w:rsidP="002804B4">
            <w:pPr>
              <w:pStyle w:val="AIBodyText"/>
              <w:spacing w:line="240" w:lineRule="auto"/>
              <w:jc w:val="both"/>
              <w:rPr>
                <w:color w:val="auto"/>
                <w:szCs w:val="18"/>
                <w:lang w:val="en-CA"/>
              </w:rPr>
            </w:pPr>
            <w:r w:rsidRPr="00AA6144">
              <w:rPr>
                <w:i/>
                <w:color w:val="auto"/>
                <w:szCs w:val="16"/>
                <w:lang w:val="en-CA"/>
              </w:rPr>
              <w:t>Geneva Conventions Act</w:t>
            </w:r>
            <w:r w:rsidRPr="00AA6144">
              <w:rPr>
                <w:color w:val="auto"/>
                <w:szCs w:val="16"/>
                <w:lang w:val="en-CA"/>
              </w:rPr>
              <w:t>, R.S.C. 1985, c. G-3, s.3(1).</w:t>
            </w:r>
          </w:p>
          <w:p w14:paraId="7605500E" w14:textId="77777777" w:rsidR="006628A5" w:rsidRPr="00AA6144" w:rsidRDefault="006628A5" w:rsidP="002804B4">
            <w:pPr>
              <w:pStyle w:val="AIBodyText"/>
              <w:spacing w:line="240" w:lineRule="auto"/>
              <w:jc w:val="both"/>
              <w:rPr>
                <w:color w:val="auto"/>
                <w:szCs w:val="18"/>
                <w:lang w:val="en-CA"/>
              </w:rPr>
            </w:pPr>
          </w:p>
        </w:tc>
        <w:tc>
          <w:tcPr>
            <w:tcW w:w="1092" w:type="dxa"/>
          </w:tcPr>
          <w:p w14:paraId="44DD1BA7" w14:textId="77777777" w:rsidR="006628A5" w:rsidRPr="00AA6144" w:rsidRDefault="006628A5" w:rsidP="002804B4">
            <w:pPr>
              <w:pStyle w:val="AIBodyText"/>
              <w:spacing w:line="240" w:lineRule="auto"/>
              <w:jc w:val="both"/>
              <w:rPr>
                <w:color w:val="auto"/>
                <w:szCs w:val="18"/>
                <w:lang w:val="en-CA"/>
              </w:rPr>
            </w:pPr>
            <w:r w:rsidRPr="00AA6144">
              <w:rPr>
                <w:i/>
                <w:iCs/>
                <w:color w:val="auto"/>
                <w:szCs w:val="18"/>
                <w:lang w:val="en-CA"/>
              </w:rPr>
              <w:lastRenderedPageBreak/>
              <w:t xml:space="preserve">Crimes Against Humanity </w:t>
            </w:r>
            <w:r w:rsidRPr="00AA6144">
              <w:rPr>
                <w:i/>
                <w:iCs/>
                <w:color w:val="auto"/>
                <w:szCs w:val="18"/>
                <w:lang w:val="en-CA"/>
              </w:rPr>
              <w:lastRenderedPageBreak/>
              <w:t>and War Crimes Act</w:t>
            </w:r>
            <w:r w:rsidRPr="00AA6144">
              <w:rPr>
                <w:color w:val="auto"/>
                <w:szCs w:val="18"/>
                <w:lang w:val="en-CA"/>
              </w:rPr>
              <w:t>, S.C.-2000, c. 24, s.8 b).</w:t>
            </w:r>
          </w:p>
          <w:p w14:paraId="717AA52A" w14:textId="77777777" w:rsidR="006628A5" w:rsidRPr="00AA6144" w:rsidRDefault="006628A5" w:rsidP="002804B4">
            <w:pPr>
              <w:pStyle w:val="AIBodyText"/>
              <w:spacing w:line="240" w:lineRule="auto"/>
              <w:jc w:val="both"/>
              <w:rPr>
                <w:color w:val="auto"/>
                <w:szCs w:val="18"/>
                <w:lang w:val="en-CA"/>
              </w:rPr>
            </w:pPr>
            <w:r w:rsidRPr="00AA6144">
              <w:rPr>
                <w:i/>
                <w:color w:val="auto"/>
                <w:szCs w:val="16"/>
                <w:lang w:val="en-CA"/>
              </w:rPr>
              <w:t>Geneva Conventions Act</w:t>
            </w:r>
            <w:r w:rsidRPr="00AA6144">
              <w:rPr>
                <w:color w:val="auto"/>
                <w:szCs w:val="16"/>
                <w:lang w:val="en-CA"/>
              </w:rPr>
              <w:t>, R.S.C. 1985, c. G-3, s.3(2).</w:t>
            </w:r>
          </w:p>
        </w:tc>
      </w:tr>
      <w:tr w:rsidR="006628A5" w:rsidRPr="00AA6144" w14:paraId="5E0FB24F" w14:textId="77777777">
        <w:tc>
          <w:tcPr>
            <w:tcW w:w="1951" w:type="dxa"/>
          </w:tcPr>
          <w:p w14:paraId="0CC43F09"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lastRenderedPageBreak/>
              <w:t>Launching of an attack against works or installations containing dangerous forces in the knowledge that such attack will cause excessive loss of life, injury to civilians or damage to civilian objects</w:t>
            </w:r>
          </w:p>
        </w:tc>
        <w:tc>
          <w:tcPr>
            <w:tcW w:w="1577" w:type="dxa"/>
          </w:tcPr>
          <w:p w14:paraId="5FB2FD28"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Prot. I, art. 85 (3) (c)</w:t>
            </w:r>
            <w:r w:rsidRPr="00AA6144">
              <w:rPr>
                <w:rStyle w:val="FootnoteReference"/>
                <w:color w:val="auto"/>
                <w:szCs w:val="18"/>
                <w:lang w:val="en-CA"/>
              </w:rPr>
              <w:t xml:space="preserve"> </w:t>
            </w:r>
            <w:r w:rsidRPr="00AA6144">
              <w:rPr>
                <w:rStyle w:val="FootnoteReference"/>
                <w:color w:val="auto"/>
                <w:szCs w:val="18"/>
                <w:lang w:val="en-CA"/>
              </w:rPr>
              <w:footnoteReference w:id="126"/>
            </w:r>
          </w:p>
        </w:tc>
        <w:tc>
          <w:tcPr>
            <w:tcW w:w="1080" w:type="dxa"/>
          </w:tcPr>
          <w:p w14:paraId="70A6CCE8"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January 23, 1979</w:t>
            </w:r>
          </w:p>
        </w:tc>
        <w:tc>
          <w:tcPr>
            <w:tcW w:w="1080" w:type="dxa"/>
          </w:tcPr>
          <w:p w14:paraId="4A0FD744" w14:textId="77777777" w:rsidR="006628A5" w:rsidRPr="00AA6144" w:rsidRDefault="006628A5" w:rsidP="002804B4">
            <w:pPr>
              <w:pStyle w:val="AIBodyText"/>
              <w:spacing w:line="240" w:lineRule="auto"/>
              <w:jc w:val="both"/>
              <w:rPr>
                <w:color w:val="auto"/>
                <w:szCs w:val="18"/>
                <w:lang w:val="en-CA"/>
              </w:rPr>
            </w:pPr>
            <w:r w:rsidRPr="00AA6144">
              <w:rPr>
                <w:color w:val="auto"/>
                <w:szCs w:val="18"/>
                <w:lang w:val="en-CA"/>
              </w:rPr>
              <w:t>January 24,</w:t>
            </w:r>
            <w:r w:rsidRPr="00AA6144">
              <w:rPr>
                <w:color w:val="auto"/>
                <w:szCs w:val="18"/>
                <w:vertAlign w:val="superscript"/>
                <w:lang w:val="en-CA"/>
              </w:rPr>
              <w:t xml:space="preserve"> </w:t>
            </w:r>
            <w:r w:rsidRPr="00AA6144">
              <w:rPr>
                <w:color w:val="auto"/>
                <w:szCs w:val="18"/>
                <w:lang w:val="en-CA"/>
              </w:rPr>
              <w:t>1991/</w:t>
            </w:r>
            <w:r w:rsidRPr="00AA6144">
              <w:rPr>
                <w:color w:val="auto"/>
                <w:szCs w:val="18"/>
                <w:lang w:val="en-CA"/>
              </w:rPr>
              <w:br/>
              <w:t>May 20, 1991</w:t>
            </w:r>
          </w:p>
        </w:tc>
        <w:tc>
          <w:tcPr>
            <w:tcW w:w="1260" w:type="dxa"/>
          </w:tcPr>
          <w:p w14:paraId="5CC236A0" w14:textId="77777777" w:rsidR="006628A5" w:rsidRPr="00AA6144" w:rsidRDefault="006628A5" w:rsidP="002804B4">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s.4 and 6.</w:t>
            </w:r>
          </w:p>
          <w:p w14:paraId="21B679AF" w14:textId="77777777" w:rsidR="006628A5" w:rsidRPr="00AA6144" w:rsidRDefault="006628A5" w:rsidP="002804B4">
            <w:pPr>
              <w:pStyle w:val="AIBodyText"/>
              <w:spacing w:line="240" w:lineRule="auto"/>
              <w:jc w:val="both"/>
              <w:rPr>
                <w:color w:val="auto"/>
                <w:szCs w:val="18"/>
                <w:lang w:val="en-CA"/>
              </w:rPr>
            </w:pPr>
            <w:r w:rsidRPr="00AA6144">
              <w:rPr>
                <w:i/>
                <w:color w:val="auto"/>
                <w:szCs w:val="16"/>
                <w:lang w:val="en-CA"/>
              </w:rPr>
              <w:t>Geneva Conventions Act</w:t>
            </w:r>
            <w:r w:rsidRPr="00AA6144">
              <w:rPr>
                <w:color w:val="auto"/>
                <w:szCs w:val="16"/>
                <w:lang w:val="en-CA"/>
              </w:rPr>
              <w:t>, R.S.C. 1985, c. G-3, s.3(1).</w:t>
            </w:r>
          </w:p>
        </w:tc>
        <w:tc>
          <w:tcPr>
            <w:tcW w:w="1092" w:type="dxa"/>
          </w:tcPr>
          <w:p w14:paraId="7066F514" w14:textId="77777777" w:rsidR="006628A5" w:rsidRPr="00AA6144" w:rsidRDefault="006628A5" w:rsidP="002804B4">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p w14:paraId="38D4FD8C" w14:textId="77777777" w:rsidR="006628A5" w:rsidRPr="00AA6144" w:rsidRDefault="006628A5" w:rsidP="002804B4">
            <w:pPr>
              <w:pStyle w:val="AIBodyText"/>
              <w:spacing w:line="240" w:lineRule="auto"/>
              <w:jc w:val="both"/>
              <w:rPr>
                <w:color w:val="auto"/>
                <w:szCs w:val="18"/>
                <w:lang w:val="en-CA"/>
              </w:rPr>
            </w:pPr>
            <w:r w:rsidRPr="00AA6144">
              <w:rPr>
                <w:i/>
                <w:color w:val="auto"/>
                <w:szCs w:val="16"/>
                <w:lang w:val="en-CA"/>
              </w:rPr>
              <w:t>Geneva Conventions Act</w:t>
            </w:r>
            <w:r w:rsidRPr="00AA6144">
              <w:rPr>
                <w:color w:val="auto"/>
                <w:szCs w:val="16"/>
                <w:lang w:val="en-CA"/>
              </w:rPr>
              <w:t>, R.S.C. 1985, c. G-3, s.3(2).</w:t>
            </w:r>
          </w:p>
        </w:tc>
      </w:tr>
    </w:tbl>
    <w:p w14:paraId="1B38615C" w14:textId="77777777" w:rsidR="006628A5" w:rsidRPr="00AA6144" w:rsidRDefault="009D3342" w:rsidP="005D4819">
      <w:pPr>
        <w:pStyle w:val="AIBodyText"/>
        <w:rPr>
          <w:color w:val="auto"/>
          <w:lang w:val="en-CA"/>
        </w:rPr>
      </w:pPr>
      <w:r w:rsidRPr="00AA6144">
        <w:rPr>
          <w:color w:val="auto"/>
          <w:lang w:val="en-CA"/>
        </w:rPr>
        <w:t xml:space="preserve"> </w:t>
      </w:r>
    </w:p>
    <w:p w14:paraId="5CFBC609" w14:textId="77777777" w:rsidR="00CC2B5C" w:rsidRPr="00AA6144" w:rsidRDefault="00C61CE8" w:rsidP="005D4819">
      <w:pPr>
        <w:pStyle w:val="AIBodyText"/>
        <w:rPr>
          <w:b/>
          <w:bCs/>
          <w:i/>
          <w:iCs/>
          <w:color w:val="auto"/>
          <w:lang w:val="en-CA"/>
        </w:rPr>
      </w:pPr>
      <w:r w:rsidRPr="00AA6144">
        <w:rPr>
          <w:b/>
          <w:i/>
          <w:color w:val="auto"/>
          <w:lang w:val="en-CA"/>
        </w:rPr>
        <w:t>Other treaties</w:t>
      </w:r>
      <w:r w:rsidR="000C2F69" w:rsidRPr="00AA6144">
        <w:rPr>
          <w:b/>
          <w:i/>
          <w:color w:val="auto"/>
          <w:lang w:val="en-CA"/>
        </w:rPr>
        <w:t xml:space="preserve"> </w:t>
      </w:r>
      <w:r w:rsidR="00B3025F" w:rsidRPr="00AA6144">
        <w:rPr>
          <w:b/>
          <w:i/>
          <w:color w:val="auto"/>
          <w:lang w:val="en-CA"/>
        </w:rPr>
        <w:t>imposing</w:t>
      </w:r>
      <w:r w:rsidR="000C2F69" w:rsidRPr="00AA6144">
        <w:rPr>
          <w:b/>
          <w:i/>
          <w:color w:val="auto"/>
          <w:lang w:val="en-CA"/>
        </w:rPr>
        <w:t xml:space="preserve"> criminal responsibility.</w:t>
      </w:r>
      <w:r w:rsidRPr="00AA6144">
        <w:rPr>
          <w:color w:val="auto"/>
          <w:lang w:val="en-CA"/>
        </w:rPr>
        <w:t xml:space="preserve"> </w:t>
      </w:r>
      <w:r w:rsidR="00CC2B5C" w:rsidRPr="00AA6144">
        <w:rPr>
          <w:color w:val="auto"/>
          <w:lang w:val="en-CA"/>
        </w:rPr>
        <w:t>In addition</w:t>
      </w:r>
      <w:r w:rsidR="000F370E" w:rsidRPr="00AA6144">
        <w:rPr>
          <w:color w:val="auto"/>
          <w:lang w:val="en-CA"/>
        </w:rPr>
        <w:t xml:space="preserve"> to the Geneva Conventions and </w:t>
      </w:r>
      <w:r w:rsidR="00B3025F" w:rsidRPr="00AA6144">
        <w:rPr>
          <w:color w:val="auto"/>
          <w:lang w:val="en-CA"/>
        </w:rPr>
        <w:t xml:space="preserve">Additional </w:t>
      </w:r>
      <w:r w:rsidR="000F370E" w:rsidRPr="00AA6144">
        <w:rPr>
          <w:color w:val="auto"/>
          <w:lang w:val="en-CA"/>
        </w:rPr>
        <w:t>Protocol I</w:t>
      </w:r>
      <w:r w:rsidR="00CC2B5C" w:rsidRPr="00AA6144">
        <w:rPr>
          <w:color w:val="auto"/>
          <w:lang w:val="en-CA"/>
        </w:rPr>
        <w:t xml:space="preserve">, there are a number of international humanitarian law treaties applicable during international armed conflict </w:t>
      </w:r>
      <w:r w:rsidR="00B3025F" w:rsidRPr="00AA6144">
        <w:rPr>
          <w:color w:val="auto"/>
          <w:lang w:val="en-CA"/>
        </w:rPr>
        <w:t xml:space="preserve">which impose </w:t>
      </w:r>
      <w:r w:rsidR="00CC2B5C" w:rsidRPr="00AA6144">
        <w:rPr>
          <w:color w:val="auto"/>
          <w:lang w:val="en-CA"/>
        </w:rPr>
        <w:t xml:space="preserve">obligations which, if violated, </w:t>
      </w:r>
      <w:r w:rsidR="00B3025F" w:rsidRPr="00AA6144">
        <w:rPr>
          <w:color w:val="auto"/>
          <w:lang w:val="en-CA"/>
        </w:rPr>
        <w:t xml:space="preserve">can </w:t>
      </w:r>
      <w:r w:rsidR="00CC2B5C" w:rsidRPr="00AA6144">
        <w:rPr>
          <w:color w:val="auto"/>
          <w:lang w:val="en-CA"/>
        </w:rPr>
        <w:t xml:space="preserve">result in individual criminal responsibility, either under the </w:t>
      </w:r>
      <w:r w:rsidR="000F370E" w:rsidRPr="00AA6144">
        <w:rPr>
          <w:color w:val="auto"/>
          <w:lang w:val="en-CA"/>
        </w:rPr>
        <w:t xml:space="preserve">treaties </w:t>
      </w:r>
      <w:r w:rsidR="00CC2B5C" w:rsidRPr="00AA6144">
        <w:rPr>
          <w:color w:val="auto"/>
          <w:lang w:val="en-CA"/>
        </w:rPr>
        <w:t xml:space="preserve">or because the prohibitions are recognized as part of </w:t>
      </w:r>
      <w:r w:rsidR="00CC2B5C" w:rsidRPr="00AA6144">
        <w:rPr>
          <w:color w:val="auto"/>
          <w:lang w:val="en-CA"/>
        </w:rPr>
        <w:lastRenderedPageBreak/>
        <w:t xml:space="preserve">customary international law. </w:t>
      </w:r>
      <w:r w:rsidR="006628A5" w:rsidRPr="00AA6144">
        <w:rPr>
          <w:color w:val="auto"/>
          <w:lang w:val="en-CA"/>
        </w:rPr>
        <w:t xml:space="preserve">As </w:t>
      </w:r>
      <w:r w:rsidR="000D129B" w:rsidRPr="00AA6144">
        <w:rPr>
          <w:color w:val="auto"/>
          <w:lang w:val="en-CA"/>
        </w:rPr>
        <w:t>C</w:t>
      </w:r>
      <w:r w:rsidR="00F322E4" w:rsidRPr="00AA6144">
        <w:rPr>
          <w:color w:val="auto"/>
          <w:lang w:val="en-CA"/>
        </w:rPr>
        <w:t xml:space="preserve">hart </w:t>
      </w:r>
      <w:r w:rsidR="000D129B" w:rsidRPr="00AA6144">
        <w:rPr>
          <w:color w:val="auto"/>
          <w:lang w:val="en-CA"/>
        </w:rPr>
        <w:t xml:space="preserve">III </w:t>
      </w:r>
      <w:r w:rsidR="006628A5" w:rsidRPr="00AA6144">
        <w:rPr>
          <w:color w:val="auto"/>
          <w:lang w:val="en-CA"/>
        </w:rPr>
        <w:t>indicates, Canada has</w:t>
      </w:r>
      <w:r w:rsidR="00F322E4" w:rsidRPr="00AA6144">
        <w:rPr>
          <w:color w:val="auto"/>
          <w:lang w:val="en-CA"/>
        </w:rPr>
        <w:t xml:space="preserve"> defined</w:t>
      </w:r>
      <w:r w:rsidR="00F351C5" w:rsidRPr="00AA6144">
        <w:rPr>
          <w:color w:val="auto"/>
          <w:lang w:val="en-CA"/>
        </w:rPr>
        <w:t xml:space="preserve"> some of the</w:t>
      </w:r>
      <w:r w:rsidR="006628A5" w:rsidRPr="00AA6144">
        <w:rPr>
          <w:color w:val="auto"/>
          <w:lang w:val="en-CA"/>
        </w:rPr>
        <w:t xml:space="preserve"> violations of these treaties </w:t>
      </w:r>
      <w:r w:rsidR="00F322E4" w:rsidRPr="00AA6144">
        <w:rPr>
          <w:color w:val="auto"/>
          <w:lang w:val="en-CA"/>
        </w:rPr>
        <w:t>as war crimes under national law.</w:t>
      </w:r>
      <w:r w:rsidR="00F351C5" w:rsidRPr="00AA6144">
        <w:rPr>
          <w:color w:val="auto"/>
          <w:lang w:val="en-CA"/>
        </w:rPr>
        <w:t xml:space="preserve"> </w:t>
      </w:r>
      <w:r w:rsidR="00AA4C87" w:rsidRPr="00AA6144">
        <w:rPr>
          <w:color w:val="auto"/>
          <w:lang w:val="en-CA"/>
        </w:rPr>
        <w:t xml:space="preserve">The chart </w:t>
      </w:r>
      <w:r w:rsidR="00F351C5" w:rsidRPr="00AA6144">
        <w:rPr>
          <w:color w:val="auto"/>
          <w:lang w:val="en-CA"/>
        </w:rPr>
        <w:t>also indicate</w:t>
      </w:r>
      <w:r w:rsidR="003E6744" w:rsidRPr="00AA6144">
        <w:rPr>
          <w:color w:val="auto"/>
          <w:lang w:val="en-CA"/>
        </w:rPr>
        <w:t>s</w:t>
      </w:r>
      <w:r w:rsidR="00F351C5" w:rsidRPr="00AA6144">
        <w:rPr>
          <w:color w:val="auto"/>
          <w:lang w:val="en-CA"/>
        </w:rPr>
        <w:t xml:space="preserve"> that Canada has authorized its courts to exercise</w:t>
      </w:r>
      <w:r w:rsidR="005E51F3" w:rsidRPr="00AA6144">
        <w:rPr>
          <w:color w:val="auto"/>
          <w:lang w:val="en-CA"/>
        </w:rPr>
        <w:t xml:space="preserve"> universal jurisdiction over all</w:t>
      </w:r>
      <w:r w:rsidR="00F351C5" w:rsidRPr="00AA6144">
        <w:rPr>
          <w:color w:val="auto"/>
          <w:lang w:val="en-CA"/>
        </w:rPr>
        <w:t xml:space="preserve"> </w:t>
      </w:r>
      <w:r w:rsidR="005E51F3" w:rsidRPr="00AA6144">
        <w:rPr>
          <w:color w:val="auto"/>
          <w:lang w:val="en-CA"/>
        </w:rPr>
        <w:t>incorporated crimes</w:t>
      </w:r>
      <w:r w:rsidR="00F351C5" w:rsidRPr="00AA6144">
        <w:rPr>
          <w:color w:val="auto"/>
          <w:lang w:val="en-CA"/>
        </w:rPr>
        <w:t>.</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39"/>
        <w:gridCol w:w="1080"/>
        <w:gridCol w:w="1620"/>
        <w:gridCol w:w="1440"/>
        <w:gridCol w:w="1620"/>
        <w:gridCol w:w="56"/>
      </w:tblGrid>
      <w:tr w:rsidR="00F351C5" w:rsidRPr="00AA6144" w14:paraId="28E152C0" w14:textId="77777777">
        <w:trPr>
          <w:gridAfter w:val="1"/>
          <w:wAfter w:w="56" w:type="dxa"/>
          <w:tblHeader/>
        </w:trPr>
        <w:tc>
          <w:tcPr>
            <w:tcW w:w="9108" w:type="dxa"/>
            <w:gridSpan w:val="6"/>
            <w:shd w:val="clear" w:color="auto" w:fill="000000"/>
          </w:tcPr>
          <w:p w14:paraId="41E92947" w14:textId="77777777" w:rsidR="00F351C5" w:rsidRPr="00AA6144" w:rsidRDefault="00F351C5" w:rsidP="00F351C5">
            <w:pPr>
              <w:pStyle w:val="AIBodyText"/>
              <w:spacing w:line="240" w:lineRule="auto"/>
              <w:jc w:val="both"/>
              <w:rPr>
                <w:b/>
                <w:color w:val="auto"/>
                <w:szCs w:val="18"/>
                <w:lang w:val="en-CA"/>
              </w:rPr>
            </w:pPr>
            <w:r w:rsidRPr="00AA6144">
              <w:rPr>
                <w:b/>
                <w:color w:val="auto"/>
                <w:szCs w:val="18"/>
                <w:lang w:val="en-CA"/>
              </w:rPr>
              <w:t>CHART III. INTERNATIONAL HUMANITARIAN LAW TREATIES APPLICABLE DURING INTERNATIONAL ARMED CONFLICT IMPOSING OBLIGATIONS WHICH, IF VIOLATED, MAY POSSIBLY RESULT IN INDIVIDUAL CRIMINAL RESPONSIBILITY, EITHER UNDER THE CONVENTIONS OR BECAUSE THE PROHIBITIONS ARE RECOGNIZED AS PART OF CUSTOMARY INTERNATIONAL LAW</w:t>
            </w:r>
          </w:p>
        </w:tc>
      </w:tr>
      <w:tr w:rsidR="00F351C5" w:rsidRPr="00AA6144" w14:paraId="0A690F0B" w14:textId="77777777">
        <w:tc>
          <w:tcPr>
            <w:tcW w:w="1809" w:type="dxa"/>
          </w:tcPr>
          <w:p w14:paraId="67304DF0"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b/>
                <w:color w:val="auto"/>
                <w:sz w:val="18"/>
                <w:szCs w:val="18"/>
                <w:lang w:val="en-CA"/>
              </w:rPr>
              <w:t>Crime</w:t>
            </w:r>
          </w:p>
        </w:tc>
        <w:tc>
          <w:tcPr>
            <w:tcW w:w="1539" w:type="dxa"/>
          </w:tcPr>
          <w:p w14:paraId="432AE740"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b/>
                <w:color w:val="auto"/>
                <w:sz w:val="18"/>
                <w:szCs w:val="18"/>
                <w:lang w:val="en-CA"/>
              </w:rPr>
              <w:t>Treaty</w:t>
            </w:r>
          </w:p>
        </w:tc>
        <w:tc>
          <w:tcPr>
            <w:tcW w:w="1080" w:type="dxa"/>
          </w:tcPr>
          <w:p w14:paraId="5FF64DC7" w14:textId="77777777" w:rsidR="00F351C5" w:rsidRPr="00AA6144" w:rsidRDefault="00F351C5" w:rsidP="00F351C5">
            <w:pPr>
              <w:pStyle w:val="AIBodyText"/>
              <w:spacing w:line="240" w:lineRule="auto"/>
              <w:jc w:val="both"/>
              <w:rPr>
                <w:b/>
                <w:color w:val="auto"/>
                <w:szCs w:val="18"/>
                <w:lang w:val="en-CA"/>
              </w:rPr>
            </w:pPr>
            <w:r w:rsidRPr="00AA6144">
              <w:rPr>
                <w:b/>
                <w:color w:val="auto"/>
                <w:szCs w:val="18"/>
                <w:lang w:val="en-CA"/>
              </w:rPr>
              <w:t>Signed</w:t>
            </w:r>
          </w:p>
        </w:tc>
        <w:tc>
          <w:tcPr>
            <w:tcW w:w="1620" w:type="dxa"/>
          </w:tcPr>
          <w:p w14:paraId="0712A8BB" w14:textId="77777777" w:rsidR="00F351C5" w:rsidRPr="00AA6144" w:rsidRDefault="00F351C5" w:rsidP="00F351C5">
            <w:pPr>
              <w:pStyle w:val="AIBodyText"/>
              <w:spacing w:line="240" w:lineRule="auto"/>
              <w:jc w:val="both"/>
              <w:rPr>
                <w:b/>
                <w:color w:val="auto"/>
                <w:szCs w:val="18"/>
                <w:lang w:val="en-CA"/>
              </w:rPr>
            </w:pPr>
            <w:r w:rsidRPr="00AA6144">
              <w:rPr>
                <w:b/>
                <w:color w:val="auto"/>
                <w:szCs w:val="18"/>
                <w:lang w:val="en-CA"/>
              </w:rPr>
              <w:t>Ratified/</w:t>
            </w:r>
          </w:p>
          <w:p w14:paraId="71DFD4D0" w14:textId="77777777" w:rsidR="00F351C5" w:rsidRPr="00AA6144" w:rsidRDefault="00F351C5" w:rsidP="00F351C5">
            <w:pPr>
              <w:pStyle w:val="AIBodyText"/>
              <w:spacing w:line="240" w:lineRule="auto"/>
              <w:jc w:val="both"/>
              <w:rPr>
                <w:b/>
                <w:color w:val="auto"/>
                <w:szCs w:val="18"/>
                <w:lang w:val="en-CA"/>
              </w:rPr>
            </w:pPr>
            <w:r w:rsidRPr="00AA6144">
              <w:rPr>
                <w:b/>
                <w:color w:val="auto"/>
                <w:szCs w:val="18"/>
                <w:lang w:val="en-CA"/>
              </w:rPr>
              <w:t>Acceded</w:t>
            </w:r>
          </w:p>
        </w:tc>
        <w:tc>
          <w:tcPr>
            <w:tcW w:w="1440" w:type="dxa"/>
          </w:tcPr>
          <w:p w14:paraId="32F42952" w14:textId="77777777" w:rsidR="00F351C5" w:rsidRPr="00AA6144" w:rsidRDefault="00F351C5" w:rsidP="00F351C5">
            <w:pPr>
              <w:pStyle w:val="AIBodyText"/>
              <w:spacing w:line="240" w:lineRule="auto"/>
              <w:jc w:val="both"/>
              <w:rPr>
                <w:b/>
                <w:color w:val="auto"/>
                <w:szCs w:val="18"/>
                <w:lang w:val="en-CA"/>
              </w:rPr>
            </w:pPr>
            <w:r w:rsidRPr="00AA6144">
              <w:rPr>
                <w:b/>
                <w:color w:val="auto"/>
                <w:szCs w:val="18"/>
                <w:lang w:val="en-CA"/>
              </w:rPr>
              <w:t>Defined in national law (citing any relevant provision)</w:t>
            </w:r>
          </w:p>
        </w:tc>
        <w:tc>
          <w:tcPr>
            <w:tcW w:w="1676" w:type="dxa"/>
            <w:gridSpan w:val="2"/>
          </w:tcPr>
          <w:p w14:paraId="5BE20F12" w14:textId="77777777" w:rsidR="00F351C5" w:rsidRPr="00AA6144" w:rsidRDefault="00F351C5" w:rsidP="00F351C5">
            <w:pPr>
              <w:pStyle w:val="AIBodyText"/>
              <w:spacing w:line="240" w:lineRule="auto"/>
              <w:jc w:val="both"/>
              <w:rPr>
                <w:b/>
                <w:color w:val="auto"/>
                <w:szCs w:val="18"/>
                <w:lang w:val="en-CA"/>
              </w:rPr>
            </w:pPr>
            <w:r w:rsidRPr="00AA6144">
              <w:rPr>
                <w:b/>
                <w:color w:val="auto"/>
                <w:szCs w:val="18"/>
                <w:lang w:val="en-CA"/>
              </w:rPr>
              <w:t>Universal jurisdiction (citing any relevant provision)</w:t>
            </w:r>
          </w:p>
        </w:tc>
      </w:tr>
      <w:tr w:rsidR="00F351C5" w:rsidRPr="00AA6144" w14:paraId="2D3BFAFA" w14:textId="77777777">
        <w:trPr>
          <w:gridAfter w:val="1"/>
          <w:wAfter w:w="56" w:type="dxa"/>
        </w:trPr>
        <w:tc>
          <w:tcPr>
            <w:tcW w:w="1809" w:type="dxa"/>
          </w:tcPr>
          <w:p w14:paraId="7B72C2E1"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Use of poisonous gases or bacteriological weapons</w:t>
            </w:r>
          </w:p>
        </w:tc>
        <w:tc>
          <w:tcPr>
            <w:tcW w:w="1539" w:type="dxa"/>
          </w:tcPr>
          <w:p w14:paraId="25FCAAE1"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i/>
                <w:iCs/>
                <w:color w:val="auto"/>
                <w:sz w:val="18"/>
                <w:szCs w:val="18"/>
                <w:lang w:val="en-CA"/>
              </w:rPr>
              <w:t>Geneva Protocol</w:t>
            </w:r>
            <w:r w:rsidRPr="00AA6144">
              <w:rPr>
                <w:rStyle w:val="Style4Char"/>
                <w:color w:val="auto"/>
                <w:sz w:val="18"/>
                <w:szCs w:val="18"/>
                <w:lang w:val="en-CA"/>
              </w:rPr>
              <w:t xml:space="preserve"> 1925 </w:t>
            </w:r>
            <w:r w:rsidRPr="00AA6144">
              <w:rPr>
                <w:rStyle w:val="FootnoteReference"/>
                <w:color w:val="auto"/>
                <w:szCs w:val="18"/>
                <w:lang w:val="en-CA"/>
              </w:rPr>
              <w:footnoteReference w:id="127"/>
            </w:r>
            <w:r w:rsidRPr="00AA6144">
              <w:rPr>
                <w:rStyle w:val="Style4Char"/>
                <w:color w:val="auto"/>
                <w:sz w:val="18"/>
                <w:szCs w:val="18"/>
                <w:lang w:val="en-CA"/>
              </w:rPr>
              <w:t xml:space="preserve"> </w:t>
            </w:r>
          </w:p>
          <w:p w14:paraId="7CAB202E" w14:textId="21322F28" w:rsidR="005D66B8" w:rsidRPr="00AA6144" w:rsidRDefault="005D66B8" w:rsidP="00F351C5">
            <w:pPr>
              <w:pStyle w:val="AIBodyText"/>
              <w:spacing w:line="240" w:lineRule="auto"/>
              <w:jc w:val="both"/>
              <w:rPr>
                <w:i/>
                <w:color w:val="auto"/>
                <w:szCs w:val="18"/>
                <w:lang w:val="en-CA"/>
              </w:rPr>
            </w:pPr>
            <w:r w:rsidRPr="00AA6144">
              <w:rPr>
                <w:i/>
                <w:color w:val="auto"/>
                <w:szCs w:val="18"/>
                <w:lang w:val="en-CA"/>
              </w:rPr>
              <w:t>Rome</w:t>
            </w:r>
            <w:r w:rsidR="00F875EC" w:rsidRPr="00AA6144">
              <w:rPr>
                <w:i/>
                <w:color w:val="auto"/>
                <w:szCs w:val="18"/>
                <w:lang w:val="en-CA"/>
              </w:rPr>
              <w:t xml:space="preserve"> </w:t>
            </w:r>
            <w:r w:rsidRPr="00AA6144">
              <w:rPr>
                <w:i/>
                <w:color w:val="auto"/>
                <w:szCs w:val="18"/>
                <w:lang w:val="en-CA"/>
              </w:rPr>
              <w:t>Statute</w:t>
            </w:r>
            <w:r w:rsidR="00084F57" w:rsidRPr="00AA6144">
              <w:rPr>
                <w:i/>
                <w:color w:val="auto"/>
                <w:szCs w:val="18"/>
                <w:lang w:val="en-CA"/>
              </w:rPr>
              <w:t xml:space="preserve">, </w:t>
            </w:r>
            <w:r w:rsidR="00084F57" w:rsidRPr="00AA6144">
              <w:rPr>
                <w:color w:val="auto"/>
                <w:szCs w:val="18"/>
                <w:lang w:val="en-CA"/>
              </w:rPr>
              <w:t xml:space="preserve">article </w:t>
            </w:r>
            <w:r w:rsidR="00084F57" w:rsidRPr="00AA6144">
              <w:rPr>
                <w:lang w:val="en-CA"/>
              </w:rPr>
              <w:t>8(2)(b)(xviii</w:t>
            </w:r>
            <w:r w:rsidR="00084F57" w:rsidRPr="00AA6144">
              <w:rPr>
                <w:i/>
                <w:color w:val="auto"/>
                <w:szCs w:val="18"/>
                <w:lang w:val="en-CA"/>
              </w:rPr>
              <w:t>)</w:t>
            </w:r>
            <w:r w:rsidR="0098184F" w:rsidRPr="00AA6144">
              <w:rPr>
                <w:rStyle w:val="FootnoteReference"/>
                <w:i/>
                <w:color w:val="auto"/>
                <w:szCs w:val="18"/>
                <w:lang w:val="en-CA"/>
              </w:rPr>
              <w:footnoteReference w:id="128"/>
            </w:r>
          </w:p>
        </w:tc>
        <w:tc>
          <w:tcPr>
            <w:tcW w:w="1080" w:type="dxa"/>
          </w:tcPr>
          <w:p w14:paraId="0C3CE349"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June 17, 1925</w:t>
            </w:r>
          </w:p>
          <w:p w14:paraId="4BFE7B06" w14:textId="5E20937F" w:rsidR="00C52C74" w:rsidRPr="00AA6144" w:rsidRDefault="00C52C74" w:rsidP="00F351C5">
            <w:pPr>
              <w:pStyle w:val="AIBodyText"/>
              <w:spacing w:line="240" w:lineRule="auto"/>
              <w:jc w:val="both"/>
              <w:rPr>
                <w:color w:val="auto"/>
                <w:szCs w:val="18"/>
                <w:lang w:val="en-CA"/>
              </w:rPr>
            </w:pPr>
            <w:r w:rsidRPr="00AA6144">
              <w:rPr>
                <w:color w:val="auto"/>
                <w:szCs w:val="18"/>
                <w:lang w:val="en-CA"/>
              </w:rPr>
              <w:t>1 July 1998</w:t>
            </w:r>
          </w:p>
        </w:tc>
        <w:tc>
          <w:tcPr>
            <w:tcW w:w="1620" w:type="dxa"/>
          </w:tcPr>
          <w:p w14:paraId="161176E5"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September 7, 1929 (ratified)</w:t>
            </w:r>
          </w:p>
          <w:p w14:paraId="7CC267D2" w14:textId="6EFF6B86" w:rsidR="00C52C74" w:rsidRPr="00AA6144" w:rsidRDefault="00C52C74" w:rsidP="00F351C5">
            <w:pPr>
              <w:pStyle w:val="AIBodyText"/>
              <w:spacing w:line="240" w:lineRule="auto"/>
              <w:jc w:val="both"/>
              <w:rPr>
                <w:color w:val="auto"/>
                <w:szCs w:val="18"/>
                <w:lang w:val="en-CA"/>
              </w:rPr>
            </w:pPr>
            <w:r w:rsidRPr="00AA6144">
              <w:rPr>
                <w:color w:val="auto"/>
                <w:szCs w:val="18"/>
                <w:lang w:val="en-CA"/>
              </w:rPr>
              <w:t>17 July 1998</w:t>
            </w:r>
          </w:p>
        </w:tc>
        <w:tc>
          <w:tcPr>
            <w:tcW w:w="1440" w:type="dxa"/>
          </w:tcPr>
          <w:p w14:paraId="4915F0E7"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 (defined as a war crime</w:t>
            </w:r>
            <w:r w:rsidRPr="00AA6144">
              <w:rPr>
                <w:rStyle w:val="FootnoteReference"/>
                <w:color w:val="auto"/>
                <w:szCs w:val="18"/>
                <w:lang w:val="en-CA"/>
              </w:rPr>
              <w:footnoteReference w:id="129"/>
            </w:r>
            <w:r w:rsidRPr="00AA6144">
              <w:rPr>
                <w:color w:val="auto"/>
                <w:szCs w:val="18"/>
                <w:lang w:val="en-CA"/>
              </w:rPr>
              <w:t>)</w:t>
            </w:r>
          </w:p>
        </w:tc>
        <w:tc>
          <w:tcPr>
            <w:tcW w:w="1620" w:type="dxa"/>
          </w:tcPr>
          <w:p w14:paraId="69C7B372"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1334FDE5" w14:textId="77777777">
        <w:trPr>
          <w:gridAfter w:val="1"/>
          <w:wAfter w:w="56" w:type="dxa"/>
          <w:trHeight w:val="956"/>
        </w:trPr>
        <w:tc>
          <w:tcPr>
            <w:tcW w:w="1809" w:type="dxa"/>
          </w:tcPr>
          <w:p w14:paraId="71180523"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Harm to protected cultural property</w:t>
            </w:r>
          </w:p>
        </w:tc>
        <w:tc>
          <w:tcPr>
            <w:tcW w:w="1539" w:type="dxa"/>
          </w:tcPr>
          <w:p w14:paraId="4189F205"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Convention for the Protection of Cultural Property in the Event of Armed Conflict</w:t>
            </w:r>
            <w:bookmarkStart w:id="72" w:name="_Ref266972404"/>
            <w:r w:rsidRPr="00AA6144">
              <w:rPr>
                <w:rStyle w:val="FootnoteReference"/>
                <w:color w:val="auto"/>
                <w:szCs w:val="18"/>
                <w:lang w:val="en-CA"/>
              </w:rPr>
              <w:footnoteReference w:id="130"/>
            </w:r>
            <w:bookmarkEnd w:id="72"/>
            <w:r w:rsidRPr="00AA6144">
              <w:rPr>
                <w:color w:val="auto"/>
                <w:szCs w:val="18"/>
                <w:lang w:val="en-CA"/>
              </w:rPr>
              <w:t>, 1954</w:t>
            </w:r>
          </w:p>
        </w:tc>
        <w:tc>
          <w:tcPr>
            <w:tcW w:w="1080" w:type="dxa"/>
          </w:tcPr>
          <w:p w14:paraId="64168FA4" w14:textId="77777777" w:rsidR="00F351C5" w:rsidRPr="00AA6144" w:rsidRDefault="00F351C5" w:rsidP="00F351C5">
            <w:pPr>
              <w:pStyle w:val="AIBodyText"/>
              <w:spacing w:line="240" w:lineRule="auto"/>
              <w:jc w:val="both"/>
              <w:rPr>
                <w:color w:val="auto"/>
                <w:szCs w:val="18"/>
                <w:lang w:val="en-CA"/>
              </w:rPr>
            </w:pPr>
          </w:p>
        </w:tc>
        <w:tc>
          <w:tcPr>
            <w:tcW w:w="1620" w:type="dxa"/>
          </w:tcPr>
          <w:p w14:paraId="50918103"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March 11, 1999 (acceded)</w:t>
            </w:r>
          </w:p>
        </w:tc>
        <w:tc>
          <w:tcPr>
            <w:tcW w:w="1440" w:type="dxa"/>
          </w:tcPr>
          <w:p w14:paraId="790F2248"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 (defined as a war crime)</w:t>
            </w:r>
            <w:r w:rsidRPr="00AA6144">
              <w:rPr>
                <w:rStyle w:val="FootnoteReference"/>
                <w:color w:val="auto"/>
                <w:szCs w:val="18"/>
                <w:lang w:val="en-CA"/>
              </w:rPr>
              <w:footnoteReference w:id="131"/>
            </w:r>
          </w:p>
        </w:tc>
        <w:tc>
          <w:tcPr>
            <w:tcW w:w="1620" w:type="dxa"/>
          </w:tcPr>
          <w:p w14:paraId="54A32E53"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6ADE8930" w14:textId="77777777">
        <w:trPr>
          <w:gridAfter w:val="1"/>
          <w:wAfter w:w="56" w:type="dxa"/>
        </w:trPr>
        <w:tc>
          <w:tcPr>
            <w:tcW w:w="1809" w:type="dxa"/>
          </w:tcPr>
          <w:p w14:paraId="72FD0890"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lastRenderedPageBreak/>
              <w:t>Illegal export of cultural property</w:t>
            </w:r>
          </w:p>
        </w:tc>
        <w:tc>
          <w:tcPr>
            <w:tcW w:w="1539" w:type="dxa"/>
          </w:tcPr>
          <w:p w14:paraId="703E7C5D" w14:textId="77777777" w:rsidR="00F351C5" w:rsidRPr="00AA6144" w:rsidRDefault="00F351C5" w:rsidP="00F351C5">
            <w:pPr>
              <w:spacing w:line="240" w:lineRule="auto"/>
              <w:jc w:val="both"/>
              <w:rPr>
                <w:color w:val="auto"/>
                <w:szCs w:val="18"/>
                <w:lang w:val="en-CA"/>
              </w:rPr>
            </w:pPr>
            <w:r w:rsidRPr="00AA6144">
              <w:rPr>
                <w:i/>
                <w:iCs/>
                <w:color w:val="auto"/>
                <w:szCs w:val="18"/>
                <w:lang w:val="en-CA"/>
              </w:rPr>
              <w:t>Convention for the Protection of Cultural Property</w:t>
            </w:r>
            <w:r w:rsidRPr="00AA6144">
              <w:rPr>
                <w:color w:val="auto"/>
                <w:szCs w:val="18"/>
                <w:lang w:val="en-CA"/>
              </w:rPr>
              <w:t xml:space="preserve"> in the Event of Armed Conflict</w:t>
            </w:r>
            <w:r w:rsidRPr="00AA6144">
              <w:rPr>
                <w:rStyle w:val="FootnoteReference"/>
                <w:color w:val="auto"/>
                <w:szCs w:val="18"/>
                <w:lang w:val="en-CA"/>
              </w:rPr>
              <w:footnoteReference w:id="132"/>
            </w:r>
            <w:r w:rsidRPr="00AA6144">
              <w:rPr>
                <w:color w:val="auto"/>
                <w:szCs w:val="18"/>
                <w:lang w:val="en-CA"/>
              </w:rPr>
              <w:t>, 1954</w:t>
            </w:r>
          </w:p>
          <w:p w14:paraId="2835E5F6" w14:textId="77777777" w:rsidR="00F351C5" w:rsidRPr="00AA6144" w:rsidRDefault="00F351C5" w:rsidP="00F351C5">
            <w:pPr>
              <w:pStyle w:val="AIBodyText"/>
              <w:spacing w:line="240" w:lineRule="auto"/>
              <w:jc w:val="both"/>
              <w:rPr>
                <w:color w:val="auto"/>
                <w:szCs w:val="18"/>
                <w:lang w:val="en-CA"/>
              </w:rPr>
            </w:pPr>
          </w:p>
        </w:tc>
        <w:tc>
          <w:tcPr>
            <w:tcW w:w="1080" w:type="dxa"/>
          </w:tcPr>
          <w:p w14:paraId="36C3D0AE" w14:textId="77777777" w:rsidR="00F351C5" w:rsidRPr="00AA6144" w:rsidRDefault="00F351C5" w:rsidP="00F351C5">
            <w:pPr>
              <w:pStyle w:val="AIBodyText"/>
              <w:spacing w:line="240" w:lineRule="auto"/>
              <w:jc w:val="both"/>
              <w:rPr>
                <w:color w:val="auto"/>
                <w:szCs w:val="18"/>
                <w:lang w:val="en-CA"/>
              </w:rPr>
            </w:pPr>
          </w:p>
        </w:tc>
        <w:tc>
          <w:tcPr>
            <w:tcW w:w="1620" w:type="dxa"/>
          </w:tcPr>
          <w:p w14:paraId="1129738A"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March 11, 1999 (acceded)</w:t>
            </w:r>
          </w:p>
        </w:tc>
        <w:tc>
          <w:tcPr>
            <w:tcW w:w="1440" w:type="dxa"/>
          </w:tcPr>
          <w:p w14:paraId="7E421DD1"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Cultural property export and import Act</w:t>
            </w:r>
            <w:r w:rsidRPr="00AA6144">
              <w:rPr>
                <w:color w:val="auto"/>
                <w:szCs w:val="18"/>
                <w:lang w:val="en-CA"/>
              </w:rPr>
              <w:t>, R.S.C., 1985, c. C-51, s. 36.1 (2)</w:t>
            </w:r>
          </w:p>
          <w:p w14:paraId="497ECCF7"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w:t>
            </w:r>
          </w:p>
        </w:tc>
        <w:tc>
          <w:tcPr>
            <w:tcW w:w="1620" w:type="dxa"/>
          </w:tcPr>
          <w:p w14:paraId="208A0B41"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388D6439" w14:textId="77777777">
        <w:trPr>
          <w:gridAfter w:val="1"/>
          <w:wAfter w:w="56" w:type="dxa"/>
        </w:trPr>
        <w:tc>
          <w:tcPr>
            <w:tcW w:w="1809" w:type="dxa"/>
          </w:tcPr>
          <w:p w14:paraId="7641E8B3"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 xml:space="preserve">Developing, </w:t>
            </w:r>
            <w:proofErr w:type="gramStart"/>
            <w:r w:rsidRPr="00AA6144">
              <w:rPr>
                <w:rStyle w:val="Style4Char"/>
                <w:color w:val="auto"/>
                <w:sz w:val="18"/>
                <w:szCs w:val="18"/>
                <w:lang w:val="en-CA"/>
              </w:rPr>
              <w:t>producing</w:t>
            </w:r>
            <w:proofErr w:type="gramEnd"/>
            <w:r w:rsidRPr="00AA6144">
              <w:rPr>
                <w:rStyle w:val="Style4Char"/>
                <w:color w:val="auto"/>
                <w:sz w:val="18"/>
                <w:szCs w:val="18"/>
                <w:lang w:val="en-CA"/>
              </w:rPr>
              <w:t xml:space="preserve"> and stockpiling bacterio- logical weapons </w:t>
            </w:r>
          </w:p>
        </w:tc>
        <w:tc>
          <w:tcPr>
            <w:tcW w:w="1539" w:type="dxa"/>
          </w:tcPr>
          <w:p w14:paraId="59891B61"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color w:val="auto"/>
                <w:szCs w:val="18"/>
                <w:lang w:val="en-CA"/>
              </w:rPr>
              <w:t>1972 BWC</w:t>
            </w:r>
            <w:r w:rsidRPr="00AA6144">
              <w:rPr>
                <w:rStyle w:val="FootnoteReference"/>
                <w:color w:val="auto"/>
                <w:szCs w:val="18"/>
                <w:lang w:val="en-CA"/>
              </w:rPr>
              <w:footnoteReference w:id="133"/>
            </w:r>
          </w:p>
          <w:p w14:paraId="7BEC37EB" w14:textId="77777777" w:rsidR="00F351C5" w:rsidRPr="00AA6144" w:rsidRDefault="00F351C5" w:rsidP="00F351C5">
            <w:pPr>
              <w:pStyle w:val="AIBodyText"/>
              <w:spacing w:line="240" w:lineRule="auto"/>
              <w:jc w:val="both"/>
              <w:rPr>
                <w:color w:val="auto"/>
                <w:szCs w:val="18"/>
                <w:lang w:val="en-CA"/>
              </w:rPr>
            </w:pPr>
          </w:p>
        </w:tc>
        <w:tc>
          <w:tcPr>
            <w:tcW w:w="1080" w:type="dxa"/>
          </w:tcPr>
          <w:p w14:paraId="302A30DA"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April 10, 1972</w:t>
            </w:r>
          </w:p>
        </w:tc>
        <w:tc>
          <w:tcPr>
            <w:tcW w:w="1620" w:type="dxa"/>
          </w:tcPr>
          <w:p w14:paraId="5DA0E60C"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March 26, 1975 (ratified)</w:t>
            </w:r>
          </w:p>
        </w:tc>
        <w:tc>
          <w:tcPr>
            <w:tcW w:w="1440" w:type="dxa"/>
          </w:tcPr>
          <w:p w14:paraId="00A645D0"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 (defined as a war crime)</w:t>
            </w:r>
            <w:r w:rsidRPr="00AA6144">
              <w:rPr>
                <w:rStyle w:val="FootnoteReference"/>
                <w:color w:val="auto"/>
                <w:szCs w:val="18"/>
                <w:lang w:val="en-CA"/>
              </w:rPr>
              <w:footnoteReference w:id="134"/>
            </w:r>
          </w:p>
        </w:tc>
        <w:tc>
          <w:tcPr>
            <w:tcW w:w="1620" w:type="dxa"/>
          </w:tcPr>
          <w:p w14:paraId="05D0DBD0"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64139F30" w14:textId="77777777">
        <w:trPr>
          <w:gridAfter w:val="1"/>
          <w:wAfter w:w="56" w:type="dxa"/>
        </w:trPr>
        <w:tc>
          <w:tcPr>
            <w:tcW w:w="1809" w:type="dxa"/>
          </w:tcPr>
          <w:p w14:paraId="234AC3BF"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Use of prohibited environmental modification techniques</w:t>
            </w:r>
          </w:p>
        </w:tc>
        <w:tc>
          <w:tcPr>
            <w:tcW w:w="1539" w:type="dxa"/>
          </w:tcPr>
          <w:p w14:paraId="0644333B"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ENMOD Conv. 1976</w:t>
            </w:r>
            <w:r w:rsidRPr="00AA6144">
              <w:rPr>
                <w:rStyle w:val="FootnoteReference"/>
                <w:color w:val="auto"/>
                <w:szCs w:val="18"/>
                <w:lang w:val="en-CA"/>
              </w:rPr>
              <w:footnoteReference w:id="135"/>
            </w:r>
          </w:p>
          <w:p w14:paraId="016E24CC" w14:textId="77777777" w:rsidR="00F351C5" w:rsidRPr="00AA6144" w:rsidRDefault="00F351C5" w:rsidP="00F351C5">
            <w:pPr>
              <w:pStyle w:val="AIBodyText"/>
              <w:spacing w:line="240" w:lineRule="auto"/>
              <w:jc w:val="both"/>
              <w:rPr>
                <w:color w:val="auto"/>
                <w:szCs w:val="18"/>
                <w:lang w:val="en-CA"/>
              </w:rPr>
            </w:pPr>
          </w:p>
        </w:tc>
        <w:tc>
          <w:tcPr>
            <w:tcW w:w="1080" w:type="dxa"/>
          </w:tcPr>
          <w:p w14:paraId="798648B9"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May 18, 1977 </w:t>
            </w:r>
          </w:p>
        </w:tc>
        <w:tc>
          <w:tcPr>
            <w:tcW w:w="1620" w:type="dxa"/>
          </w:tcPr>
          <w:p w14:paraId="2FA0DE44"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June 11, 1981 (ratified)</w:t>
            </w:r>
          </w:p>
        </w:tc>
        <w:tc>
          <w:tcPr>
            <w:tcW w:w="1440" w:type="dxa"/>
          </w:tcPr>
          <w:p w14:paraId="497B9BDD"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 (war crime under customary international law</w:t>
            </w:r>
            <w:r w:rsidRPr="00AA6144">
              <w:rPr>
                <w:rStyle w:val="FootnoteReference"/>
                <w:color w:val="auto"/>
                <w:szCs w:val="18"/>
                <w:lang w:val="en-CA"/>
              </w:rPr>
              <w:footnoteReference w:id="136"/>
            </w:r>
            <w:r w:rsidRPr="00AA6144">
              <w:rPr>
                <w:color w:val="auto"/>
                <w:szCs w:val="18"/>
                <w:lang w:val="en-CA"/>
              </w:rPr>
              <w:t>)</w:t>
            </w:r>
          </w:p>
        </w:tc>
        <w:tc>
          <w:tcPr>
            <w:tcW w:w="1620" w:type="dxa"/>
          </w:tcPr>
          <w:p w14:paraId="261739DD"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586AFF6E" w14:textId="77777777">
        <w:trPr>
          <w:gridAfter w:val="1"/>
          <w:wAfter w:w="56" w:type="dxa"/>
        </w:trPr>
        <w:tc>
          <w:tcPr>
            <w:tcW w:w="1809" w:type="dxa"/>
          </w:tcPr>
          <w:p w14:paraId="5FCECE5A"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lastRenderedPageBreak/>
              <w:t>Use of prohibited conventional weapons</w:t>
            </w:r>
          </w:p>
        </w:tc>
        <w:tc>
          <w:tcPr>
            <w:tcW w:w="1539" w:type="dxa"/>
          </w:tcPr>
          <w:p w14:paraId="1BCF2B57"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CCW 1980</w:t>
            </w:r>
            <w:bookmarkStart w:id="73" w:name="_Ref266971832"/>
            <w:r w:rsidRPr="00AA6144">
              <w:rPr>
                <w:rStyle w:val="FootnoteReference"/>
                <w:color w:val="auto"/>
                <w:szCs w:val="18"/>
                <w:lang w:val="en-CA"/>
              </w:rPr>
              <w:footnoteReference w:id="137"/>
            </w:r>
            <w:bookmarkEnd w:id="73"/>
          </w:p>
          <w:p w14:paraId="75BE5782" w14:textId="77777777" w:rsidR="00F351C5" w:rsidRPr="00AA6144" w:rsidRDefault="00F351C5" w:rsidP="00F351C5">
            <w:pPr>
              <w:pStyle w:val="AIBodyText"/>
              <w:spacing w:line="240" w:lineRule="auto"/>
              <w:jc w:val="both"/>
              <w:rPr>
                <w:color w:val="auto"/>
                <w:szCs w:val="18"/>
                <w:lang w:val="en-CA"/>
              </w:rPr>
            </w:pPr>
          </w:p>
        </w:tc>
        <w:tc>
          <w:tcPr>
            <w:tcW w:w="1080" w:type="dxa"/>
          </w:tcPr>
          <w:p w14:paraId="22300B31"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April 10, 1981</w:t>
            </w:r>
          </w:p>
        </w:tc>
        <w:tc>
          <w:tcPr>
            <w:tcW w:w="1620" w:type="dxa"/>
          </w:tcPr>
          <w:p w14:paraId="282A1F1C"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June 24, 1994 (ratified)</w:t>
            </w:r>
          </w:p>
        </w:tc>
        <w:tc>
          <w:tcPr>
            <w:tcW w:w="1440" w:type="dxa"/>
          </w:tcPr>
          <w:p w14:paraId="72F83382"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r w:rsidRPr="00AA6144">
              <w:rPr>
                <w:rStyle w:val="FootnoteReference"/>
                <w:color w:val="auto"/>
                <w:szCs w:val="18"/>
                <w:lang w:val="en-CA"/>
              </w:rPr>
              <w:footnoteReference w:id="138"/>
            </w:r>
          </w:p>
        </w:tc>
        <w:tc>
          <w:tcPr>
            <w:tcW w:w="1620" w:type="dxa"/>
          </w:tcPr>
          <w:p w14:paraId="36DD073A"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2C03D89D" w14:textId="77777777">
        <w:trPr>
          <w:gridAfter w:val="1"/>
          <w:wAfter w:w="56" w:type="dxa"/>
        </w:trPr>
        <w:tc>
          <w:tcPr>
            <w:tcW w:w="1809" w:type="dxa"/>
          </w:tcPr>
          <w:p w14:paraId="1BD6041E"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Use of weapons that injure by non-detectable fragments</w:t>
            </w:r>
          </w:p>
        </w:tc>
        <w:tc>
          <w:tcPr>
            <w:tcW w:w="1539" w:type="dxa"/>
          </w:tcPr>
          <w:p w14:paraId="7C68AE9D" w14:textId="09F87478"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CCW</w:t>
            </w:r>
            <w:r w:rsidR="004C4F82" w:rsidRPr="00AA6144">
              <w:rPr>
                <w:rStyle w:val="Style4Char"/>
                <w:color w:val="auto"/>
                <w:sz w:val="18"/>
                <w:szCs w:val="18"/>
                <w:lang w:val="en-CA"/>
              </w:rPr>
              <w:t xml:space="preserve"> </w:t>
            </w:r>
            <w:r w:rsidRPr="00AA6144">
              <w:rPr>
                <w:rStyle w:val="Style4Char"/>
                <w:color w:val="auto"/>
                <w:sz w:val="18"/>
                <w:szCs w:val="18"/>
                <w:lang w:val="en-CA"/>
              </w:rPr>
              <w:t>Prot. I 1980</w:t>
            </w:r>
            <w:r w:rsidRPr="00AA6144">
              <w:rPr>
                <w:rStyle w:val="FootnoteReference"/>
                <w:color w:val="auto"/>
                <w:szCs w:val="18"/>
                <w:lang w:val="en-CA"/>
              </w:rPr>
              <w:footnoteReference w:id="139"/>
            </w:r>
          </w:p>
          <w:p w14:paraId="1B98DC4A" w14:textId="42F2BCF3" w:rsidR="0098184F" w:rsidRPr="00AA6144" w:rsidRDefault="0098184F" w:rsidP="00F351C5">
            <w:pPr>
              <w:pStyle w:val="AIBodyText"/>
              <w:spacing w:line="240" w:lineRule="auto"/>
              <w:jc w:val="both"/>
              <w:rPr>
                <w:rStyle w:val="Style4Char"/>
                <w:i/>
                <w:color w:val="auto"/>
                <w:sz w:val="18"/>
                <w:szCs w:val="18"/>
                <w:lang w:val="en-CA"/>
              </w:rPr>
            </w:pPr>
            <w:r w:rsidRPr="00AA6144">
              <w:rPr>
                <w:rStyle w:val="Style4Char"/>
                <w:i/>
                <w:color w:val="auto"/>
                <w:sz w:val="18"/>
                <w:szCs w:val="18"/>
                <w:lang w:val="en-CA"/>
              </w:rPr>
              <w:t>Rome Protoco</w:t>
            </w:r>
            <w:r w:rsidR="00084F57" w:rsidRPr="00AA6144">
              <w:rPr>
                <w:rStyle w:val="Style4Char"/>
                <w:i/>
                <w:color w:val="auto"/>
                <w:sz w:val="18"/>
                <w:szCs w:val="18"/>
                <w:lang w:val="en-CA"/>
              </w:rPr>
              <w:t xml:space="preserve">l, </w:t>
            </w:r>
            <w:r w:rsidR="00084F57" w:rsidRPr="00AA6144">
              <w:rPr>
                <w:rStyle w:val="Style4Char"/>
                <w:color w:val="auto"/>
                <w:sz w:val="18"/>
                <w:szCs w:val="18"/>
                <w:lang w:val="en-CA"/>
              </w:rPr>
              <w:t xml:space="preserve">article </w:t>
            </w:r>
            <w:r w:rsidR="00084F57" w:rsidRPr="00AA6144">
              <w:rPr>
                <w:lang w:val="en-CA"/>
              </w:rPr>
              <w:t>8(2)(b)(</w:t>
            </w:r>
            <w:proofErr w:type="gramStart"/>
            <w:r w:rsidR="00084F57" w:rsidRPr="00AA6144">
              <w:rPr>
                <w:lang w:val="en-CA"/>
              </w:rPr>
              <w:t>xviii</w:t>
            </w:r>
            <w:r w:rsidR="00084F57" w:rsidRPr="00AA6144">
              <w:rPr>
                <w:rStyle w:val="Style4Char"/>
                <w:i/>
                <w:color w:val="auto"/>
                <w:szCs w:val="18"/>
                <w:lang w:val="en-CA"/>
              </w:rPr>
              <w:t>)</w:t>
            </w:r>
            <w:r w:rsidRPr="00AA6144">
              <w:rPr>
                <w:rStyle w:val="Style4Char"/>
                <w:i/>
                <w:color w:val="auto"/>
                <w:sz w:val="18"/>
                <w:szCs w:val="18"/>
                <w:lang w:val="en-CA"/>
              </w:rPr>
              <w:t>l</w:t>
            </w:r>
            <w:proofErr w:type="gramEnd"/>
            <w:r w:rsidRPr="00AA6144">
              <w:rPr>
                <w:rStyle w:val="FootnoteReference"/>
                <w:i/>
                <w:color w:val="auto"/>
                <w:szCs w:val="18"/>
                <w:lang w:val="en-CA"/>
              </w:rPr>
              <w:footnoteReference w:id="140"/>
            </w:r>
          </w:p>
          <w:p w14:paraId="56FFB452" w14:textId="77777777" w:rsidR="00F351C5" w:rsidRPr="00AA6144" w:rsidRDefault="00F351C5" w:rsidP="00F351C5">
            <w:pPr>
              <w:pStyle w:val="AIBodyText"/>
              <w:spacing w:line="240" w:lineRule="auto"/>
              <w:jc w:val="both"/>
              <w:rPr>
                <w:color w:val="auto"/>
                <w:szCs w:val="18"/>
                <w:lang w:val="en-CA"/>
              </w:rPr>
            </w:pPr>
          </w:p>
        </w:tc>
        <w:tc>
          <w:tcPr>
            <w:tcW w:w="1080" w:type="dxa"/>
          </w:tcPr>
          <w:p w14:paraId="6E254CF9"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April 10, 1981</w:t>
            </w:r>
          </w:p>
          <w:p w14:paraId="2AB58E39" w14:textId="5B51DEA8" w:rsidR="00392F0E" w:rsidRPr="00AA6144" w:rsidRDefault="00392F0E" w:rsidP="00F351C5">
            <w:pPr>
              <w:pStyle w:val="AIBodyText"/>
              <w:spacing w:line="240" w:lineRule="auto"/>
              <w:jc w:val="both"/>
              <w:rPr>
                <w:color w:val="auto"/>
                <w:szCs w:val="18"/>
                <w:lang w:val="en-CA"/>
              </w:rPr>
            </w:pPr>
            <w:r w:rsidRPr="00AA6144">
              <w:rPr>
                <w:color w:val="auto"/>
                <w:szCs w:val="18"/>
                <w:lang w:val="en-CA"/>
              </w:rPr>
              <w:t>1 July 1998</w:t>
            </w:r>
          </w:p>
        </w:tc>
        <w:tc>
          <w:tcPr>
            <w:tcW w:w="1620" w:type="dxa"/>
          </w:tcPr>
          <w:p w14:paraId="39775C48"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June 24, 1994 (ratified)</w:t>
            </w:r>
          </w:p>
          <w:p w14:paraId="121DF1C8" w14:textId="395E1DD6" w:rsidR="00392F0E" w:rsidRPr="00AA6144" w:rsidRDefault="00392F0E" w:rsidP="00F351C5">
            <w:pPr>
              <w:pStyle w:val="AIBodyText"/>
              <w:spacing w:line="240" w:lineRule="auto"/>
              <w:jc w:val="both"/>
              <w:rPr>
                <w:color w:val="auto"/>
                <w:szCs w:val="18"/>
                <w:lang w:val="en-CA"/>
              </w:rPr>
            </w:pPr>
            <w:r w:rsidRPr="00AA6144">
              <w:rPr>
                <w:color w:val="auto"/>
                <w:szCs w:val="18"/>
                <w:lang w:val="en-CA"/>
              </w:rPr>
              <w:t>17 July 1998</w:t>
            </w:r>
          </w:p>
        </w:tc>
        <w:tc>
          <w:tcPr>
            <w:tcW w:w="1440" w:type="dxa"/>
          </w:tcPr>
          <w:p w14:paraId="21D14DAA"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1620" w:type="dxa"/>
          </w:tcPr>
          <w:p w14:paraId="759D3B96"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3D2A5A47" w14:textId="77777777">
        <w:trPr>
          <w:gridAfter w:val="1"/>
          <w:wAfter w:w="56" w:type="dxa"/>
        </w:trPr>
        <w:tc>
          <w:tcPr>
            <w:tcW w:w="1809" w:type="dxa"/>
          </w:tcPr>
          <w:p w14:paraId="2A99C0E6"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Use of prohibited land mines, booby traps and other devices</w:t>
            </w:r>
          </w:p>
        </w:tc>
        <w:tc>
          <w:tcPr>
            <w:tcW w:w="1539" w:type="dxa"/>
          </w:tcPr>
          <w:p w14:paraId="678A046E"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CCW Prot. II 1980</w:t>
            </w:r>
            <w:r w:rsidRPr="00AA6144">
              <w:rPr>
                <w:rStyle w:val="FootnoteReference"/>
                <w:color w:val="auto"/>
                <w:szCs w:val="18"/>
                <w:lang w:val="en-CA"/>
              </w:rPr>
              <w:footnoteReference w:id="141"/>
            </w:r>
          </w:p>
          <w:p w14:paraId="34D8D7BD" w14:textId="77777777" w:rsidR="00F351C5" w:rsidRPr="00AA6144" w:rsidRDefault="00F351C5" w:rsidP="00F351C5">
            <w:pPr>
              <w:pStyle w:val="AIBodyText"/>
              <w:spacing w:line="240" w:lineRule="auto"/>
              <w:jc w:val="both"/>
              <w:rPr>
                <w:rStyle w:val="Style4Char"/>
                <w:color w:val="auto"/>
                <w:sz w:val="18"/>
                <w:szCs w:val="18"/>
                <w:lang w:val="en-CA"/>
              </w:rPr>
            </w:pPr>
          </w:p>
        </w:tc>
        <w:tc>
          <w:tcPr>
            <w:tcW w:w="1080" w:type="dxa"/>
          </w:tcPr>
          <w:p w14:paraId="7DD93716"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April 10, 1981</w:t>
            </w:r>
          </w:p>
        </w:tc>
        <w:tc>
          <w:tcPr>
            <w:tcW w:w="1620" w:type="dxa"/>
          </w:tcPr>
          <w:p w14:paraId="1123477F"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June 24, 1994 (ratified)</w:t>
            </w:r>
          </w:p>
        </w:tc>
        <w:tc>
          <w:tcPr>
            <w:tcW w:w="1440" w:type="dxa"/>
          </w:tcPr>
          <w:p w14:paraId="117A9A66"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1620" w:type="dxa"/>
          </w:tcPr>
          <w:p w14:paraId="2781E491"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250924EC" w14:textId="77777777">
        <w:trPr>
          <w:gridAfter w:val="1"/>
          <w:wAfter w:w="56" w:type="dxa"/>
        </w:trPr>
        <w:tc>
          <w:tcPr>
            <w:tcW w:w="1809" w:type="dxa"/>
          </w:tcPr>
          <w:p w14:paraId="1CD63A33"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Use of prohibited incendiary weapons</w:t>
            </w:r>
          </w:p>
        </w:tc>
        <w:tc>
          <w:tcPr>
            <w:tcW w:w="1539" w:type="dxa"/>
          </w:tcPr>
          <w:p w14:paraId="61837949" w14:textId="77777777" w:rsidR="00F351C5" w:rsidRPr="00AA6144" w:rsidRDefault="00F351C5" w:rsidP="00F351C5">
            <w:pPr>
              <w:pStyle w:val="AIBodyText"/>
              <w:spacing w:line="240" w:lineRule="auto"/>
              <w:jc w:val="both"/>
              <w:rPr>
                <w:color w:val="auto"/>
                <w:szCs w:val="18"/>
                <w:lang w:val="en-CA"/>
              </w:rPr>
            </w:pPr>
            <w:r w:rsidRPr="00AA6144">
              <w:rPr>
                <w:rStyle w:val="Style4Char"/>
                <w:color w:val="auto"/>
                <w:sz w:val="18"/>
                <w:szCs w:val="18"/>
                <w:lang w:val="en-CA"/>
              </w:rPr>
              <w:t>CCW Prot. III 1980</w:t>
            </w:r>
            <w:r w:rsidRPr="00AA6144">
              <w:rPr>
                <w:rStyle w:val="FootnoteReference"/>
                <w:color w:val="auto"/>
                <w:szCs w:val="18"/>
                <w:lang w:val="en-CA"/>
              </w:rPr>
              <w:footnoteReference w:id="142"/>
            </w:r>
          </w:p>
        </w:tc>
        <w:tc>
          <w:tcPr>
            <w:tcW w:w="1080" w:type="dxa"/>
          </w:tcPr>
          <w:p w14:paraId="0BD0DFA8"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April 10, 1981</w:t>
            </w:r>
          </w:p>
        </w:tc>
        <w:tc>
          <w:tcPr>
            <w:tcW w:w="1620" w:type="dxa"/>
          </w:tcPr>
          <w:p w14:paraId="6720E65A"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June 24, 1994 (ratified)</w:t>
            </w:r>
          </w:p>
        </w:tc>
        <w:tc>
          <w:tcPr>
            <w:tcW w:w="1440" w:type="dxa"/>
          </w:tcPr>
          <w:p w14:paraId="7431FEFB"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r w:rsidRPr="00AA6144">
              <w:rPr>
                <w:rStyle w:val="FootnoteReference"/>
                <w:color w:val="auto"/>
                <w:szCs w:val="18"/>
                <w:lang w:val="en-CA"/>
              </w:rPr>
              <w:footnoteReference w:id="143"/>
            </w:r>
          </w:p>
        </w:tc>
        <w:tc>
          <w:tcPr>
            <w:tcW w:w="1620" w:type="dxa"/>
          </w:tcPr>
          <w:p w14:paraId="3D0FDFCA"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0A1663C8" w14:textId="77777777">
        <w:trPr>
          <w:gridAfter w:val="1"/>
          <w:wAfter w:w="56" w:type="dxa"/>
          <w:trHeight w:val="1259"/>
        </w:trPr>
        <w:tc>
          <w:tcPr>
            <w:tcW w:w="1809" w:type="dxa"/>
          </w:tcPr>
          <w:p w14:paraId="6ADA31B9"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lastRenderedPageBreak/>
              <w:t xml:space="preserve">Developing, producing, </w:t>
            </w:r>
            <w:proofErr w:type="gramStart"/>
            <w:r w:rsidRPr="00AA6144">
              <w:rPr>
                <w:rStyle w:val="Style4Char"/>
                <w:color w:val="auto"/>
                <w:sz w:val="18"/>
                <w:szCs w:val="18"/>
                <w:lang w:val="en-CA"/>
              </w:rPr>
              <w:t>stockpiling</w:t>
            </w:r>
            <w:proofErr w:type="gramEnd"/>
            <w:r w:rsidRPr="00AA6144">
              <w:rPr>
                <w:rStyle w:val="Style4Char"/>
                <w:color w:val="auto"/>
                <w:sz w:val="18"/>
                <w:szCs w:val="18"/>
                <w:lang w:val="en-CA"/>
              </w:rPr>
              <w:t xml:space="preserve"> or using prohibited chemical weapons</w:t>
            </w:r>
          </w:p>
        </w:tc>
        <w:tc>
          <w:tcPr>
            <w:tcW w:w="1539" w:type="dxa"/>
          </w:tcPr>
          <w:p w14:paraId="4FB264B1"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CWC 1992</w:t>
            </w:r>
            <w:bookmarkStart w:id="74" w:name="_Ref266972433"/>
            <w:r w:rsidRPr="00AA6144">
              <w:rPr>
                <w:rStyle w:val="FootnoteReference"/>
                <w:color w:val="auto"/>
                <w:szCs w:val="18"/>
                <w:lang w:val="en-CA"/>
              </w:rPr>
              <w:footnoteReference w:id="144"/>
            </w:r>
            <w:bookmarkEnd w:id="74"/>
          </w:p>
          <w:p w14:paraId="09CDB617" w14:textId="77777777" w:rsidR="00F351C5" w:rsidRPr="00AA6144" w:rsidRDefault="00F351C5" w:rsidP="00F351C5">
            <w:pPr>
              <w:pStyle w:val="AIBodyText"/>
              <w:spacing w:line="240" w:lineRule="auto"/>
              <w:jc w:val="both"/>
              <w:rPr>
                <w:color w:val="auto"/>
                <w:szCs w:val="18"/>
                <w:lang w:val="en-CA"/>
              </w:rPr>
            </w:pPr>
          </w:p>
        </w:tc>
        <w:tc>
          <w:tcPr>
            <w:tcW w:w="1080" w:type="dxa"/>
          </w:tcPr>
          <w:p w14:paraId="33CF5763"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January 13, 1993</w:t>
            </w:r>
          </w:p>
        </w:tc>
        <w:tc>
          <w:tcPr>
            <w:tcW w:w="1620" w:type="dxa"/>
          </w:tcPr>
          <w:p w14:paraId="3458524C"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September 26, 1995 (ratified)</w:t>
            </w:r>
          </w:p>
        </w:tc>
        <w:tc>
          <w:tcPr>
            <w:tcW w:w="1440" w:type="dxa"/>
          </w:tcPr>
          <w:p w14:paraId="3B5A0593"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Chemical weapons implementation Act</w:t>
            </w:r>
            <w:r w:rsidRPr="00AA6144">
              <w:rPr>
                <w:color w:val="auto"/>
                <w:szCs w:val="18"/>
                <w:lang w:val="en-CA"/>
              </w:rPr>
              <w:t>, S.C. 1995, c. 25, s.20.</w:t>
            </w:r>
          </w:p>
          <w:p w14:paraId="0794BBB0"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w:t>
            </w:r>
          </w:p>
        </w:tc>
        <w:tc>
          <w:tcPr>
            <w:tcW w:w="1620" w:type="dxa"/>
          </w:tcPr>
          <w:p w14:paraId="6FF0F5E6"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71FB9101" w14:textId="77777777">
        <w:trPr>
          <w:gridAfter w:val="1"/>
          <w:wAfter w:w="56" w:type="dxa"/>
        </w:trPr>
        <w:tc>
          <w:tcPr>
            <w:tcW w:w="1809" w:type="dxa"/>
          </w:tcPr>
          <w:p w14:paraId="17FEA070"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Use of blinding laser weapons</w:t>
            </w:r>
          </w:p>
        </w:tc>
        <w:tc>
          <w:tcPr>
            <w:tcW w:w="1539" w:type="dxa"/>
          </w:tcPr>
          <w:p w14:paraId="4CE71DD5"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CCW Prot. IV 1995</w:t>
            </w:r>
            <w:bookmarkStart w:id="75" w:name="_Ref266972445"/>
            <w:r w:rsidRPr="00AA6144">
              <w:rPr>
                <w:rStyle w:val="FootnoteReference"/>
                <w:color w:val="auto"/>
                <w:szCs w:val="18"/>
                <w:lang w:val="en-CA"/>
              </w:rPr>
              <w:footnoteReference w:id="145"/>
            </w:r>
            <w:bookmarkEnd w:id="75"/>
          </w:p>
          <w:p w14:paraId="1E5DA5AE" w14:textId="72690BB3" w:rsidR="00084F57" w:rsidRPr="00AA6144" w:rsidRDefault="00084F57" w:rsidP="00F351C5">
            <w:pPr>
              <w:pStyle w:val="AIBodyText"/>
              <w:spacing w:line="240" w:lineRule="auto"/>
              <w:jc w:val="both"/>
              <w:rPr>
                <w:i/>
                <w:color w:val="auto"/>
                <w:szCs w:val="18"/>
                <w:lang w:val="en-CA"/>
              </w:rPr>
            </w:pPr>
            <w:r w:rsidRPr="00AA6144">
              <w:rPr>
                <w:i/>
                <w:color w:val="auto"/>
                <w:szCs w:val="18"/>
                <w:lang w:val="en-CA"/>
              </w:rPr>
              <w:t xml:space="preserve">Rome Protocol, </w:t>
            </w:r>
            <w:r w:rsidRPr="00AA6144">
              <w:rPr>
                <w:color w:val="auto"/>
                <w:szCs w:val="18"/>
                <w:lang w:val="en-CA"/>
              </w:rPr>
              <w:t xml:space="preserve">article </w:t>
            </w:r>
            <w:r w:rsidRPr="00AA6144">
              <w:rPr>
                <w:lang w:val="en-CA"/>
              </w:rPr>
              <w:t>8(2)(b)(xviii)</w:t>
            </w:r>
            <w:r w:rsidRPr="00AA6144">
              <w:rPr>
                <w:rStyle w:val="FootnoteReference"/>
                <w:i/>
                <w:color w:val="auto"/>
                <w:szCs w:val="18"/>
                <w:lang w:val="en-CA"/>
              </w:rPr>
              <w:t xml:space="preserve"> </w:t>
            </w:r>
            <w:r w:rsidRPr="00AA6144">
              <w:rPr>
                <w:rStyle w:val="FootnoteReference"/>
                <w:i/>
                <w:color w:val="auto"/>
                <w:szCs w:val="18"/>
                <w:lang w:val="en-CA"/>
              </w:rPr>
              <w:footnoteReference w:id="146"/>
            </w:r>
          </w:p>
        </w:tc>
        <w:tc>
          <w:tcPr>
            <w:tcW w:w="1080" w:type="dxa"/>
          </w:tcPr>
          <w:p w14:paraId="4AA87C64"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April 10, 1981</w:t>
            </w:r>
          </w:p>
          <w:p w14:paraId="09A9D882" w14:textId="54AA4409" w:rsidR="00392F0E" w:rsidRPr="00AA6144" w:rsidRDefault="00392F0E" w:rsidP="00F351C5">
            <w:pPr>
              <w:pStyle w:val="AIBodyText"/>
              <w:spacing w:line="240" w:lineRule="auto"/>
              <w:jc w:val="both"/>
              <w:rPr>
                <w:color w:val="auto"/>
                <w:szCs w:val="18"/>
                <w:lang w:val="en-CA"/>
              </w:rPr>
            </w:pPr>
            <w:r w:rsidRPr="00AA6144">
              <w:rPr>
                <w:color w:val="auto"/>
                <w:szCs w:val="18"/>
                <w:lang w:val="en-CA"/>
              </w:rPr>
              <w:t>1 July 1998</w:t>
            </w:r>
          </w:p>
        </w:tc>
        <w:tc>
          <w:tcPr>
            <w:tcW w:w="1620" w:type="dxa"/>
          </w:tcPr>
          <w:p w14:paraId="3E95114B"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July 30, 1998 (consent to be bound)</w:t>
            </w:r>
          </w:p>
          <w:p w14:paraId="53E3B3F7" w14:textId="3D671170" w:rsidR="00392F0E" w:rsidRPr="00AA6144" w:rsidRDefault="00392F0E" w:rsidP="00F351C5">
            <w:pPr>
              <w:pStyle w:val="AIBodyText"/>
              <w:spacing w:line="240" w:lineRule="auto"/>
              <w:jc w:val="both"/>
              <w:rPr>
                <w:color w:val="auto"/>
                <w:szCs w:val="18"/>
                <w:lang w:val="en-CA"/>
              </w:rPr>
            </w:pPr>
            <w:r w:rsidRPr="00AA6144">
              <w:rPr>
                <w:color w:val="auto"/>
                <w:szCs w:val="18"/>
                <w:lang w:val="en-CA"/>
              </w:rPr>
              <w:t>17 July 1998</w:t>
            </w:r>
          </w:p>
        </w:tc>
        <w:tc>
          <w:tcPr>
            <w:tcW w:w="1440" w:type="dxa"/>
          </w:tcPr>
          <w:p w14:paraId="617BE22C"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1620" w:type="dxa"/>
          </w:tcPr>
          <w:p w14:paraId="68A08AD9"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0BE67AA5" w14:textId="77777777">
        <w:trPr>
          <w:gridAfter w:val="1"/>
          <w:wAfter w:w="56" w:type="dxa"/>
        </w:trPr>
        <w:tc>
          <w:tcPr>
            <w:tcW w:w="1809" w:type="dxa"/>
          </w:tcPr>
          <w:p w14:paraId="5AF6BBF6"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Use of prohibited mines, booby-traps and other devices</w:t>
            </w:r>
          </w:p>
        </w:tc>
        <w:tc>
          <w:tcPr>
            <w:tcW w:w="1539" w:type="dxa"/>
          </w:tcPr>
          <w:p w14:paraId="4695BC16" w14:textId="77777777" w:rsidR="00F351C5" w:rsidRPr="00AA6144" w:rsidRDefault="00F351C5" w:rsidP="00F351C5">
            <w:pPr>
              <w:pStyle w:val="AIBodyText"/>
              <w:spacing w:line="240" w:lineRule="auto"/>
              <w:jc w:val="both"/>
              <w:rPr>
                <w:color w:val="auto"/>
                <w:szCs w:val="18"/>
                <w:lang w:val="en-CA"/>
              </w:rPr>
            </w:pPr>
            <w:r w:rsidRPr="00AA6144">
              <w:rPr>
                <w:rStyle w:val="Style4Char"/>
                <w:color w:val="auto"/>
                <w:sz w:val="18"/>
                <w:szCs w:val="18"/>
                <w:lang w:val="en-CA"/>
              </w:rPr>
              <w:t>CCW Prot. II a 1996</w:t>
            </w:r>
            <w:bookmarkStart w:id="76" w:name="_Ref266972140"/>
            <w:r w:rsidRPr="00AA6144">
              <w:rPr>
                <w:rStyle w:val="FootnoteReference"/>
                <w:color w:val="auto"/>
                <w:szCs w:val="18"/>
                <w:lang w:val="en-CA"/>
              </w:rPr>
              <w:footnoteReference w:id="147"/>
            </w:r>
            <w:bookmarkEnd w:id="76"/>
          </w:p>
        </w:tc>
        <w:tc>
          <w:tcPr>
            <w:tcW w:w="1080" w:type="dxa"/>
          </w:tcPr>
          <w:p w14:paraId="795D6B29"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April 10, 1981</w:t>
            </w:r>
          </w:p>
        </w:tc>
        <w:tc>
          <w:tcPr>
            <w:tcW w:w="1620" w:type="dxa"/>
          </w:tcPr>
          <w:p w14:paraId="0FE4F590"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December 3, 1998 (consent to be bound)</w:t>
            </w:r>
          </w:p>
        </w:tc>
        <w:tc>
          <w:tcPr>
            <w:tcW w:w="1440" w:type="dxa"/>
          </w:tcPr>
          <w:p w14:paraId="5DAD5DEB"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1620" w:type="dxa"/>
          </w:tcPr>
          <w:p w14:paraId="5EF8DA95"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2FA49F3F" w14:textId="77777777">
        <w:trPr>
          <w:gridAfter w:val="1"/>
          <w:wAfter w:w="56" w:type="dxa"/>
        </w:trPr>
        <w:tc>
          <w:tcPr>
            <w:tcW w:w="1809" w:type="dxa"/>
          </w:tcPr>
          <w:p w14:paraId="23FBD0BA"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 xml:space="preserve">Use, stockpiling, </w:t>
            </w:r>
            <w:proofErr w:type="gramStart"/>
            <w:r w:rsidRPr="00AA6144">
              <w:rPr>
                <w:rStyle w:val="Style4Char"/>
                <w:color w:val="auto"/>
                <w:sz w:val="18"/>
                <w:szCs w:val="18"/>
                <w:lang w:val="en-CA"/>
              </w:rPr>
              <w:t>production</w:t>
            </w:r>
            <w:proofErr w:type="gramEnd"/>
            <w:r w:rsidRPr="00AA6144">
              <w:rPr>
                <w:rStyle w:val="Style4Char"/>
                <w:color w:val="auto"/>
                <w:sz w:val="18"/>
                <w:szCs w:val="18"/>
                <w:lang w:val="en-CA"/>
              </w:rPr>
              <w:t xml:space="preserve"> and transfer of prohibited anti-personnel mines </w:t>
            </w:r>
          </w:p>
        </w:tc>
        <w:tc>
          <w:tcPr>
            <w:tcW w:w="1539" w:type="dxa"/>
          </w:tcPr>
          <w:p w14:paraId="0E833FAC"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AP Mine Ban Conv. 1997</w:t>
            </w:r>
            <w:bookmarkStart w:id="77" w:name="_Ref266972465"/>
            <w:r w:rsidRPr="00AA6144">
              <w:rPr>
                <w:rStyle w:val="FootnoteReference"/>
                <w:color w:val="auto"/>
                <w:szCs w:val="18"/>
                <w:lang w:val="en-CA"/>
              </w:rPr>
              <w:footnoteReference w:id="148"/>
            </w:r>
            <w:bookmarkEnd w:id="77"/>
          </w:p>
          <w:p w14:paraId="5C2E63A1" w14:textId="77777777" w:rsidR="00F351C5" w:rsidRPr="00AA6144" w:rsidRDefault="00F351C5" w:rsidP="00F351C5">
            <w:pPr>
              <w:pStyle w:val="AIBodyText"/>
              <w:spacing w:line="240" w:lineRule="auto"/>
              <w:jc w:val="both"/>
              <w:rPr>
                <w:color w:val="auto"/>
                <w:szCs w:val="18"/>
                <w:lang w:val="en-CA"/>
              </w:rPr>
            </w:pPr>
          </w:p>
        </w:tc>
        <w:tc>
          <w:tcPr>
            <w:tcW w:w="1080" w:type="dxa"/>
          </w:tcPr>
          <w:p w14:paraId="7AB0EF87"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December 3, 1997</w:t>
            </w:r>
          </w:p>
        </w:tc>
        <w:tc>
          <w:tcPr>
            <w:tcW w:w="1620" w:type="dxa"/>
          </w:tcPr>
          <w:p w14:paraId="70E1F84A"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March 1, 1999 (ratified)</w:t>
            </w:r>
          </w:p>
        </w:tc>
        <w:tc>
          <w:tcPr>
            <w:tcW w:w="1440" w:type="dxa"/>
          </w:tcPr>
          <w:p w14:paraId="27FF1E9A" w14:textId="77777777" w:rsidR="00F351C5" w:rsidRPr="00AA6144" w:rsidRDefault="00F351C5" w:rsidP="00F351C5">
            <w:pPr>
              <w:pStyle w:val="title-of-act"/>
              <w:jc w:val="both"/>
              <w:rPr>
                <w:rFonts w:ascii="Amnesty Trade Gothic" w:hAnsi="Amnesty Trade Gothic"/>
                <w:sz w:val="18"/>
                <w:szCs w:val="18"/>
                <w:lang w:val="en-CA"/>
              </w:rPr>
            </w:pPr>
            <w:r w:rsidRPr="00AA6144">
              <w:rPr>
                <w:rFonts w:ascii="Amnesty Trade Gothic" w:hAnsi="Amnesty Trade Gothic"/>
                <w:i/>
                <w:iCs/>
                <w:sz w:val="18"/>
                <w:szCs w:val="18"/>
                <w:lang w:val="en-CA"/>
              </w:rPr>
              <w:t>Anti-Personnel Mines Convention Implementation Act</w:t>
            </w:r>
            <w:r w:rsidRPr="00AA6144">
              <w:rPr>
                <w:rFonts w:ascii="Amnesty Trade Gothic" w:hAnsi="Amnesty Trade Gothic"/>
                <w:sz w:val="18"/>
                <w:szCs w:val="18"/>
                <w:lang w:val="en-CA"/>
              </w:rPr>
              <w:t>, S.C. 1997, c. 33, s. 21.</w:t>
            </w:r>
          </w:p>
          <w:p w14:paraId="0145CD32" w14:textId="77777777" w:rsidR="00F351C5" w:rsidRPr="00AA6144" w:rsidRDefault="00F351C5" w:rsidP="00F351C5">
            <w:pPr>
              <w:pStyle w:val="title-of-act"/>
              <w:jc w:val="both"/>
              <w:rPr>
                <w:rFonts w:ascii="Amnesty Trade Gothic" w:hAnsi="Amnesty Trade Gothic"/>
                <w:sz w:val="18"/>
                <w:szCs w:val="18"/>
                <w:lang w:val="en-CA"/>
              </w:rPr>
            </w:pPr>
            <w:r w:rsidRPr="00AA6144">
              <w:rPr>
                <w:rFonts w:ascii="Amnesty Trade Gothic" w:hAnsi="Amnesty Trade Gothic"/>
                <w:i/>
                <w:iCs/>
                <w:sz w:val="18"/>
                <w:szCs w:val="18"/>
                <w:lang w:val="en-CA"/>
              </w:rPr>
              <w:t>Crimes Against Humanity and War Crimes Act</w:t>
            </w:r>
            <w:r w:rsidRPr="00AA6144">
              <w:rPr>
                <w:rFonts w:ascii="Amnesty Trade Gothic" w:hAnsi="Amnesty Trade Gothic"/>
                <w:sz w:val="18"/>
                <w:szCs w:val="18"/>
                <w:lang w:val="en-CA"/>
              </w:rPr>
              <w:t>, S.C.-2000, c. 24, s.6.</w:t>
            </w:r>
          </w:p>
          <w:p w14:paraId="6DDDA312" w14:textId="77777777" w:rsidR="00F351C5" w:rsidRPr="00AA6144" w:rsidRDefault="00F351C5" w:rsidP="00F351C5">
            <w:pPr>
              <w:pStyle w:val="title-of-act"/>
              <w:jc w:val="both"/>
              <w:rPr>
                <w:rFonts w:ascii="Amnesty Trade Gothic" w:hAnsi="Amnesty Trade Gothic"/>
                <w:sz w:val="18"/>
                <w:szCs w:val="18"/>
                <w:lang w:val="en-CA"/>
              </w:rPr>
            </w:pPr>
          </w:p>
          <w:p w14:paraId="6AC5D450" w14:textId="77777777" w:rsidR="00F351C5" w:rsidRPr="00AA6144" w:rsidRDefault="00F351C5" w:rsidP="00F351C5">
            <w:pPr>
              <w:pStyle w:val="title-of-act"/>
              <w:jc w:val="both"/>
              <w:rPr>
                <w:rFonts w:ascii="Amnesty Trade Gothic" w:hAnsi="Amnesty Trade Gothic"/>
                <w:sz w:val="18"/>
                <w:szCs w:val="18"/>
                <w:lang w:val="en-CA"/>
              </w:rPr>
            </w:pPr>
          </w:p>
          <w:p w14:paraId="426EE04C" w14:textId="77777777" w:rsidR="00F351C5" w:rsidRPr="00AA6144" w:rsidRDefault="00F351C5" w:rsidP="00F351C5">
            <w:pPr>
              <w:pStyle w:val="AIBodyText"/>
              <w:spacing w:line="240" w:lineRule="auto"/>
              <w:jc w:val="both"/>
              <w:rPr>
                <w:color w:val="auto"/>
                <w:szCs w:val="18"/>
                <w:lang w:val="en-CA"/>
              </w:rPr>
            </w:pPr>
          </w:p>
        </w:tc>
        <w:tc>
          <w:tcPr>
            <w:tcW w:w="1620" w:type="dxa"/>
          </w:tcPr>
          <w:p w14:paraId="329F985B"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089F9765" w14:textId="77777777">
        <w:trPr>
          <w:gridAfter w:val="1"/>
          <w:wAfter w:w="56" w:type="dxa"/>
        </w:trPr>
        <w:tc>
          <w:tcPr>
            <w:tcW w:w="1809" w:type="dxa"/>
          </w:tcPr>
          <w:p w14:paraId="597DF29A"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Harm to cultural property</w:t>
            </w:r>
          </w:p>
        </w:tc>
        <w:tc>
          <w:tcPr>
            <w:tcW w:w="1539" w:type="dxa"/>
          </w:tcPr>
          <w:p w14:paraId="4FD0D90F"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Hague Prot. 1999</w:t>
            </w:r>
            <w:bookmarkStart w:id="78" w:name="_Ref266972492"/>
            <w:r w:rsidRPr="00AA6144">
              <w:rPr>
                <w:rStyle w:val="FootnoteReference"/>
                <w:color w:val="auto"/>
                <w:szCs w:val="18"/>
                <w:lang w:val="en-CA"/>
              </w:rPr>
              <w:footnoteReference w:id="149"/>
            </w:r>
            <w:bookmarkEnd w:id="78"/>
          </w:p>
          <w:p w14:paraId="1A23E97F" w14:textId="77777777" w:rsidR="00F351C5" w:rsidRPr="00AA6144" w:rsidRDefault="00F351C5" w:rsidP="00F351C5">
            <w:pPr>
              <w:pStyle w:val="AIBodyText"/>
              <w:spacing w:line="240" w:lineRule="auto"/>
              <w:jc w:val="both"/>
              <w:rPr>
                <w:color w:val="auto"/>
                <w:szCs w:val="18"/>
                <w:lang w:val="en-CA"/>
              </w:rPr>
            </w:pPr>
            <w:r w:rsidRPr="00AA6144">
              <w:rPr>
                <w:rStyle w:val="Style4Char"/>
                <w:color w:val="auto"/>
                <w:sz w:val="18"/>
                <w:szCs w:val="18"/>
                <w:lang w:val="en-CA"/>
              </w:rPr>
              <w:t>Arts. 15 – 20</w:t>
            </w:r>
          </w:p>
        </w:tc>
        <w:tc>
          <w:tcPr>
            <w:tcW w:w="1080" w:type="dxa"/>
          </w:tcPr>
          <w:p w14:paraId="6EC166D4"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 xml:space="preserve"> December 27, 2005 (reception) </w:t>
            </w:r>
          </w:p>
        </w:tc>
        <w:tc>
          <w:tcPr>
            <w:tcW w:w="1620" w:type="dxa"/>
          </w:tcPr>
          <w:p w14:paraId="0C92CDFA"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February 28, 2006 (acceded)</w:t>
            </w:r>
          </w:p>
        </w:tc>
        <w:tc>
          <w:tcPr>
            <w:tcW w:w="1440" w:type="dxa"/>
          </w:tcPr>
          <w:p w14:paraId="76F4A624"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1620" w:type="dxa"/>
          </w:tcPr>
          <w:p w14:paraId="2296A75E"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470C625F" w14:textId="77777777">
        <w:trPr>
          <w:gridAfter w:val="1"/>
          <w:wAfter w:w="56" w:type="dxa"/>
        </w:trPr>
        <w:tc>
          <w:tcPr>
            <w:tcW w:w="1809" w:type="dxa"/>
          </w:tcPr>
          <w:p w14:paraId="6D7FB3CA"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Recruitment or use of child soldiers</w:t>
            </w:r>
          </w:p>
        </w:tc>
        <w:tc>
          <w:tcPr>
            <w:tcW w:w="1539" w:type="dxa"/>
          </w:tcPr>
          <w:p w14:paraId="7A56EF07"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Optional Protocol CRC 2000</w:t>
            </w:r>
            <w:bookmarkStart w:id="79" w:name="_Ref266972500"/>
            <w:r w:rsidRPr="00AA6144">
              <w:rPr>
                <w:rStyle w:val="FootnoteReference"/>
                <w:color w:val="auto"/>
                <w:szCs w:val="18"/>
                <w:lang w:val="en-CA"/>
              </w:rPr>
              <w:footnoteReference w:id="150"/>
            </w:r>
            <w:bookmarkEnd w:id="79"/>
          </w:p>
          <w:p w14:paraId="57212BC4" w14:textId="68B00F0E" w:rsidR="00084F57" w:rsidRPr="00AA6144" w:rsidRDefault="00084F57" w:rsidP="00F351C5">
            <w:pPr>
              <w:pStyle w:val="AIBodyText"/>
              <w:spacing w:line="240" w:lineRule="auto"/>
              <w:jc w:val="both"/>
              <w:rPr>
                <w:color w:val="auto"/>
                <w:szCs w:val="18"/>
                <w:lang w:val="en-CA"/>
              </w:rPr>
            </w:pPr>
            <w:r w:rsidRPr="00AA6144">
              <w:rPr>
                <w:i/>
                <w:lang w:val="en-CA"/>
              </w:rPr>
              <w:t>Rome Statute</w:t>
            </w:r>
            <w:r w:rsidRPr="00AA6144">
              <w:rPr>
                <w:lang w:val="en-CA"/>
              </w:rPr>
              <w:t>, article 8(2)(b)(xxvi)</w:t>
            </w:r>
            <w:r w:rsidRPr="00AA6144">
              <w:rPr>
                <w:rStyle w:val="FootnoteReference"/>
                <w:lang w:val="en-CA"/>
              </w:rPr>
              <w:footnoteReference w:id="151"/>
            </w:r>
          </w:p>
        </w:tc>
        <w:tc>
          <w:tcPr>
            <w:tcW w:w="1080" w:type="dxa"/>
          </w:tcPr>
          <w:p w14:paraId="46C786C7"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June 5, 2000</w:t>
            </w:r>
          </w:p>
          <w:p w14:paraId="2E98E0E3" w14:textId="0F46054C" w:rsidR="00392F0E" w:rsidRPr="00AA6144" w:rsidRDefault="00392F0E" w:rsidP="00F351C5">
            <w:pPr>
              <w:pStyle w:val="AIBodyText"/>
              <w:spacing w:line="240" w:lineRule="auto"/>
              <w:jc w:val="both"/>
              <w:rPr>
                <w:color w:val="auto"/>
                <w:szCs w:val="18"/>
                <w:lang w:val="en-CA"/>
              </w:rPr>
            </w:pPr>
            <w:r w:rsidRPr="00AA6144">
              <w:rPr>
                <w:color w:val="auto"/>
                <w:szCs w:val="18"/>
                <w:lang w:val="en-CA"/>
              </w:rPr>
              <w:t>1 July 1998</w:t>
            </w:r>
          </w:p>
        </w:tc>
        <w:tc>
          <w:tcPr>
            <w:tcW w:w="1620" w:type="dxa"/>
          </w:tcPr>
          <w:p w14:paraId="0769C294"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July 7, 2000 (ratified)</w:t>
            </w:r>
          </w:p>
          <w:p w14:paraId="39F82068" w14:textId="0C42AA61" w:rsidR="00392F0E" w:rsidRPr="00AA6144" w:rsidRDefault="00392F0E" w:rsidP="00F351C5">
            <w:pPr>
              <w:pStyle w:val="AIBodyText"/>
              <w:spacing w:line="240" w:lineRule="auto"/>
              <w:jc w:val="both"/>
              <w:rPr>
                <w:color w:val="auto"/>
                <w:szCs w:val="18"/>
                <w:lang w:val="en-CA"/>
              </w:rPr>
            </w:pPr>
            <w:r w:rsidRPr="00AA6144">
              <w:rPr>
                <w:color w:val="auto"/>
                <w:szCs w:val="18"/>
                <w:lang w:val="en-CA"/>
              </w:rPr>
              <w:t>17 July 1998</w:t>
            </w:r>
          </w:p>
        </w:tc>
        <w:tc>
          <w:tcPr>
            <w:tcW w:w="1440" w:type="dxa"/>
          </w:tcPr>
          <w:p w14:paraId="7F001B9B"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1620" w:type="dxa"/>
          </w:tcPr>
          <w:p w14:paraId="423003BE"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42745F87" w14:textId="77777777">
        <w:trPr>
          <w:gridAfter w:val="1"/>
          <w:wAfter w:w="56" w:type="dxa"/>
        </w:trPr>
        <w:tc>
          <w:tcPr>
            <w:tcW w:w="1809" w:type="dxa"/>
          </w:tcPr>
          <w:p w14:paraId="4126A1E4"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Use of prohibited conventional weapons</w:t>
            </w:r>
          </w:p>
        </w:tc>
        <w:tc>
          <w:tcPr>
            <w:tcW w:w="1539" w:type="dxa"/>
          </w:tcPr>
          <w:p w14:paraId="021D7755" w14:textId="77777777" w:rsidR="00F351C5" w:rsidRPr="00AA6144" w:rsidRDefault="00F351C5" w:rsidP="00F351C5">
            <w:pPr>
              <w:pStyle w:val="AIBodyText"/>
              <w:spacing w:line="240" w:lineRule="auto"/>
              <w:jc w:val="both"/>
              <w:rPr>
                <w:color w:val="auto"/>
                <w:szCs w:val="18"/>
                <w:lang w:val="en-CA"/>
              </w:rPr>
            </w:pPr>
            <w:r w:rsidRPr="00AA6144">
              <w:rPr>
                <w:rStyle w:val="Style4Char"/>
                <w:color w:val="auto"/>
                <w:sz w:val="18"/>
                <w:szCs w:val="18"/>
                <w:lang w:val="en-CA"/>
              </w:rPr>
              <w:t xml:space="preserve">CCW </w:t>
            </w:r>
            <w:proofErr w:type="spellStart"/>
            <w:r w:rsidRPr="00AA6144">
              <w:rPr>
                <w:rStyle w:val="Style4Char"/>
                <w:color w:val="auto"/>
                <w:sz w:val="18"/>
                <w:szCs w:val="18"/>
                <w:lang w:val="en-CA"/>
              </w:rPr>
              <w:t>Amdt</w:t>
            </w:r>
            <w:proofErr w:type="spellEnd"/>
            <w:r w:rsidRPr="00AA6144">
              <w:rPr>
                <w:rStyle w:val="Style4Char"/>
                <w:color w:val="auto"/>
                <w:sz w:val="18"/>
                <w:szCs w:val="18"/>
                <w:lang w:val="en-CA"/>
              </w:rPr>
              <w:t xml:space="preserve"> 2001</w:t>
            </w:r>
            <w:bookmarkStart w:id="80" w:name="_Ref266972509"/>
            <w:r w:rsidRPr="00AA6144">
              <w:rPr>
                <w:rStyle w:val="FootnoteReference"/>
                <w:color w:val="auto"/>
                <w:szCs w:val="18"/>
                <w:lang w:val="en-CA"/>
              </w:rPr>
              <w:footnoteReference w:id="152"/>
            </w:r>
            <w:bookmarkEnd w:id="80"/>
          </w:p>
        </w:tc>
        <w:tc>
          <w:tcPr>
            <w:tcW w:w="1080" w:type="dxa"/>
          </w:tcPr>
          <w:p w14:paraId="3F77A0A4" w14:textId="77777777" w:rsidR="00F351C5" w:rsidRPr="00AA6144" w:rsidRDefault="00954926" w:rsidP="00954926">
            <w:pPr>
              <w:pStyle w:val="AIBodyText"/>
              <w:spacing w:line="240" w:lineRule="auto"/>
              <w:jc w:val="both"/>
              <w:rPr>
                <w:color w:val="auto"/>
                <w:szCs w:val="18"/>
                <w:lang w:val="en-CA"/>
              </w:rPr>
            </w:pPr>
            <w:r w:rsidRPr="00AA6144">
              <w:rPr>
                <w:color w:val="auto"/>
                <w:szCs w:val="18"/>
                <w:lang w:val="en-CA"/>
              </w:rPr>
              <w:t xml:space="preserve">July </w:t>
            </w:r>
            <w:r w:rsidR="00F351C5" w:rsidRPr="00AA6144">
              <w:rPr>
                <w:color w:val="auto"/>
                <w:szCs w:val="18"/>
                <w:lang w:val="en-CA"/>
              </w:rPr>
              <w:t xml:space="preserve">22, 2002 (acceptance) </w:t>
            </w:r>
          </w:p>
        </w:tc>
        <w:tc>
          <w:tcPr>
            <w:tcW w:w="1620" w:type="dxa"/>
          </w:tcPr>
          <w:p w14:paraId="6B5A8639"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May 18, 2004 (effect)</w:t>
            </w:r>
            <w:bookmarkStart w:id="81" w:name="_Ref266971955"/>
            <w:r w:rsidRPr="00AA6144">
              <w:rPr>
                <w:rStyle w:val="FootnoteReference"/>
                <w:color w:val="auto"/>
                <w:szCs w:val="18"/>
                <w:lang w:val="en-CA"/>
              </w:rPr>
              <w:footnoteReference w:id="153"/>
            </w:r>
            <w:bookmarkEnd w:id="81"/>
          </w:p>
        </w:tc>
        <w:tc>
          <w:tcPr>
            <w:tcW w:w="1440" w:type="dxa"/>
          </w:tcPr>
          <w:p w14:paraId="0ADC36F7"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1620" w:type="dxa"/>
          </w:tcPr>
          <w:p w14:paraId="3D3557C1"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333D97E2" w14:textId="77777777">
        <w:trPr>
          <w:gridAfter w:val="1"/>
          <w:wAfter w:w="56" w:type="dxa"/>
        </w:trPr>
        <w:tc>
          <w:tcPr>
            <w:tcW w:w="1809" w:type="dxa"/>
          </w:tcPr>
          <w:p w14:paraId="0581A4C6"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Failure to clear, remove or destroy explosive remnants of war</w:t>
            </w:r>
          </w:p>
        </w:tc>
        <w:tc>
          <w:tcPr>
            <w:tcW w:w="1539" w:type="dxa"/>
          </w:tcPr>
          <w:p w14:paraId="599AF487" w14:textId="77777777" w:rsidR="00F351C5" w:rsidRPr="00AA6144" w:rsidRDefault="00F351C5" w:rsidP="00F351C5">
            <w:pPr>
              <w:pStyle w:val="AIBodyText"/>
              <w:spacing w:line="240" w:lineRule="auto"/>
              <w:jc w:val="both"/>
              <w:rPr>
                <w:color w:val="auto"/>
                <w:szCs w:val="18"/>
                <w:lang w:val="en-CA"/>
              </w:rPr>
            </w:pPr>
            <w:r w:rsidRPr="00AA6144">
              <w:rPr>
                <w:rStyle w:val="Style4Char"/>
                <w:color w:val="auto"/>
                <w:sz w:val="18"/>
                <w:szCs w:val="18"/>
                <w:lang w:val="en-CA"/>
              </w:rPr>
              <w:t>CCW Prot. V 2003</w:t>
            </w:r>
            <w:bookmarkStart w:id="82" w:name="_Ref266972656"/>
            <w:r w:rsidRPr="00AA6144">
              <w:rPr>
                <w:rStyle w:val="FootnoteReference"/>
                <w:color w:val="auto"/>
                <w:szCs w:val="18"/>
                <w:lang w:val="en-CA"/>
              </w:rPr>
              <w:footnoteReference w:id="154"/>
            </w:r>
            <w:bookmarkEnd w:id="82"/>
          </w:p>
        </w:tc>
        <w:tc>
          <w:tcPr>
            <w:tcW w:w="1080" w:type="dxa"/>
          </w:tcPr>
          <w:p w14:paraId="28A3CC84"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 xml:space="preserve">May 19, 2009 (consent to be bound) </w:t>
            </w:r>
          </w:p>
        </w:tc>
        <w:tc>
          <w:tcPr>
            <w:tcW w:w="1620" w:type="dxa"/>
          </w:tcPr>
          <w:p w14:paraId="2EE9A5E4"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 xml:space="preserve">November 19, 2009 </w:t>
            </w:r>
          </w:p>
        </w:tc>
        <w:tc>
          <w:tcPr>
            <w:tcW w:w="1440" w:type="dxa"/>
          </w:tcPr>
          <w:p w14:paraId="548DEFAC"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1620" w:type="dxa"/>
          </w:tcPr>
          <w:p w14:paraId="64307D23" w14:textId="77777777" w:rsidR="00F351C5" w:rsidRPr="00AA6144" w:rsidRDefault="00F351C5" w:rsidP="00F351C5">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F351C5" w:rsidRPr="00AA6144" w14:paraId="6E35EB23" w14:textId="77777777">
        <w:trPr>
          <w:gridAfter w:val="1"/>
          <w:wAfter w:w="56" w:type="dxa"/>
        </w:trPr>
        <w:tc>
          <w:tcPr>
            <w:tcW w:w="1809" w:type="dxa"/>
          </w:tcPr>
          <w:p w14:paraId="5CF88FB8" w14:textId="77777777" w:rsidR="00F351C5" w:rsidRPr="00AA6144" w:rsidRDefault="00F351C5" w:rsidP="00F351C5">
            <w:pPr>
              <w:pStyle w:val="AIBodyText"/>
              <w:spacing w:line="240" w:lineRule="auto"/>
              <w:jc w:val="both"/>
              <w:rPr>
                <w:rStyle w:val="Style4Char"/>
                <w:color w:val="auto"/>
                <w:sz w:val="18"/>
                <w:szCs w:val="18"/>
                <w:lang w:val="en-CA"/>
              </w:rPr>
            </w:pPr>
            <w:r w:rsidRPr="00AA6144">
              <w:rPr>
                <w:rStyle w:val="Style4Char"/>
                <w:color w:val="auto"/>
                <w:sz w:val="18"/>
                <w:szCs w:val="18"/>
                <w:lang w:val="en-CA"/>
              </w:rPr>
              <w:t>Use of prohibited cluster munitions</w:t>
            </w:r>
          </w:p>
        </w:tc>
        <w:tc>
          <w:tcPr>
            <w:tcW w:w="1539" w:type="dxa"/>
          </w:tcPr>
          <w:p w14:paraId="46AE5EC9" w14:textId="77777777" w:rsidR="00F351C5" w:rsidRPr="00AA6144" w:rsidRDefault="00F351C5" w:rsidP="00F351C5">
            <w:pPr>
              <w:pStyle w:val="AIBodyText"/>
              <w:spacing w:line="240" w:lineRule="auto"/>
              <w:jc w:val="both"/>
              <w:rPr>
                <w:color w:val="auto"/>
                <w:szCs w:val="18"/>
                <w:lang w:val="en-CA"/>
              </w:rPr>
            </w:pPr>
            <w:r w:rsidRPr="00AA6144">
              <w:rPr>
                <w:rStyle w:val="Style4Char"/>
                <w:color w:val="auto"/>
                <w:sz w:val="18"/>
                <w:szCs w:val="18"/>
                <w:lang w:val="en-CA"/>
              </w:rPr>
              <w:t>Cluster Munitions 2008</w:t>
            </w:r>
            <w:bookmarkStart w:id="83" w:name="_Ref266972664"/>
            <w:r w:rsidRPr="00AA6144">
              <w:rPr>
                <w:rStyle w:val="FootnoteReference"/>
                <w:color w:val="auto"/>
                <w:szCs w:val="18"/>
                <w:lang w:val="en-CA"/>
              </w:rPr>
              <w:footnoteReference w:id="155"/>
            </w:r>
            <w:bookmarkEnd w:id="83"/>
          </w:p>
        </w:tc>
        <w:tc>
          <w:tcPr>
            <w:tcW w:w="1080" w:type="dxa"/>
          </w:tcPr>
          <w:p w14:paraId="2A770FCD"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December 3, 2008</w:t>
            </w:r>
          </w:p>
        </w:tc>
        <w:tc>
          <w:tcPr>
            <w:tcW w:w="1620" w:type="dxa"/>
          </w:tcPr>
          <w:p w14:paraId="34A5E997" w14:textId="19DE6EC8" w:rsidR="00F351C5" w:rsidRPr="00AA6144" w:rsidRDefault="000519FA" w:rsidP="00F351C5">
            <w:pPr>
              <w:pStyle w:val="AIBodyText"/>
              <w:spacing w:line="240" w:lineRule="auto"/>
              <w:jc w:val="both"/>
              <w:rPr>
                <w:color w:val="auto"/>
                <w:szCs w:val="18"/>
                <w:lang w:val="en-CA"/>
              </w:rPr>
            </w:pPr>
            <w:r w:rsidRPr="00AA6144">
              <w:rPr>
                <w:color w:val="auto"/>
                <w:szCs w:val="18"/>
                <w:lang w:val="en-CA"/>
              </w:rPr>
              <w:t>March 17, 2015</w:t>
            </w:r>
          </w:p>
        </w:tc>
        <w:tc>
          <w:tcPr>
            <w:tcW w:w="1440" w:type="dxa"/>
          </w:tcPr>
          <w:p w14:paraId="5BFF0F95" w14:textId="054CAAFA" w:rsidR="00F351C5" w:rsidRPr="00AA6144" w:rsidRDefault="000519FA" w:rsidP="00F351C5">
            <w:pPr>
              <w:pStyle w:val="AIBodyText"/>
              <w:spacing w:line="240" w:lineRule="auto"/>
              <w:jc w:val="both"/>
              <w:rPr>
                <w:color w:val="auto"/>
                <w:szCs w:val="18"/>
                <w:lang w:val="en-CA"/>
              </w:rPr>
            </w:pPr>
            <w:r w:rsidRPr="00AA6144">
              <w:rPr>
                <w:i/>
                <w:color w:val="auto"/>
                <w:szCs w:val="18"/>
                <w:lang w:val="en-CA"/>
              </w:rPr>
              <w:t>An Act to implement the Convention on Cluster Munitions</w:t>
            </w:r>
            <w:r w:rsidR="00B422FE" w:rsidRPr="00AA6144">
              <w:rPr>
                <w:color w:val="auto"/>
                <w:szCs w:val="18"/>
                <w:lang w:val="en-CA"/>
              </w:rPr>
              <w:t>,</w:t>
            </w:r>
            <w:r w:rsidRPr="00AA6144">
              <w:rPr>
                <w:color w:val="auto"/>
                <w:szCs w:val="18"/>
                <w:lang w:val="en-CA"/>
              </w:rPr>
              <w:t xml:space="preserve"> S.C. 2014, c. 27</w:t>
            </w:r>
            <w:r w:rsidRPr="00AA6144">
              <w:rPr>
                <w:rStyle w:val="FootnoteReference"/>
                <w:color w:val="auto"/>
                <w:szCs w:val="18"/>
                <w:lang w:val="en-CA"/>
              </w:rPr>
              <w:footnoteReference w:id="156"/>
            </w:r>
          </w:p>
        </w:tc>
        <w:tc>
          <w:tcPr>
            <w:tcW w:w="1620" w:type="dxa"/>
          </w:tcPr>
          <w:p w14:paraId="6305BD24" w14:textId="77777777" w:rsidR="00F351C5" w:rsidRPr="00AA6144" w:rsidRDefault="00F351C5" w:rsidP="00F351C5">
            <w:pPr>
              <w:pStyle w:val="AIBodyText"/>
              <w:spacing w:line="240" w:lineRule="auto"/>
              <w:jc w:val="both"/>
              <w:rPr>
                <w:color w:val="auto"/>
                <w:szCs w:val="18"/>
                <w:lang w:val="en-CA"/>
              </w:rPr>
            </w:pPr>
            <w:r w:rsidRPr="00AA6144">
              <w:rPr>
                <w:color w:val="auto"/>
                <w:szCs w:val="18"/>
                <w:lang w:val="en-CA"/>
              </w:rPr>
              <w:t>NO</w:t>
            </w:r>
          </w:p>
        </w:tc>
      </w:tr>
    </w:tbl>
    <w:p w14:paraId="258A8E7C" w14:textId="77777777" w:rsidR="0017051A" w:rsidRPr="00AA6144" w:rsidRDefault="0017051A" w:rsidP="005D4819">
      <w:pPr>
        <w:pStyle w:val="AIBodyText"/>
        <w:rPr>
          <w:color w:val="auto"/>
          <w:lang w:val="en-CA"/>
        </w:rPr>
      </w:pPr>
    </w:p>
    <w:p w14:paraId="4F88ECC2" w14:textId="1471286D" w:rsidR="005D4819" w:rsidRPr="00AA6144" w:rsidRDefault="005D4819" w:rsidP="005D4819">
      <w:pPr>
        <w:pStyle w:val="AIBodyText"/>
        <w:rPr>
          <w:color w:val="auto"/>
          <w:lang w:val="en-CA"/>
        </w:rPr>
      </w:pPr>
      <w:r w:rsidRPr="00AA6144">
        <w:rPr>
          <w:color w:val="auto"/>
          <w:lang w:val="en-CA"/>
        </w:rPr>
        <w:t xml:space="preserve">The definitions of the war crimes </w:t>
      </w:r>
      <w:r w:rsidR="00172241" w:rsidRPr="00AA6144">
        <w:rPr>
          <w:color w:val="auto"/>
          <w:lang w:val="en-CA"/>
        </w:rPr>
        <w:t xml:space="preserve">in the above treaties </w:t>
      </w:r>
      <w:r w:rsidRPr="00AA6144">
        <w:rPr>
          <w:color w:val="auto"/>
          <w:lang w:val="en-CA"/>
        </w:rPr>
        <w:t>th</w:t>
      </w:r>
      <w:r w:rsidR="00F351C5" w:rsidRPr="00AA6144">
        <w:rPr>
          <w:color w:val="auto"/>
          <w:lang w:val="en-CA"/>
        </w:rPr>
        <w:t>at have been incorporated into Canadian law a</w:t>
      </w:r>
      <w:r w:rsidR="00AA668A">
        <w:rPr>
          <w:color w:val="auto"/>
          <w:lang w:val="en-CA"/>
        </w:rPr>
        <w:t>ppear to be</w:t>
      </w:r>
      <w:r w:rsidR="00F351C5" w:rsidRPr="00AA6144">
        <w:rPr>
          <w:color w:val="auto"/>
          <w:lang w:val="en-CA"/>
        </w:rPr>
        <w:t xml:space="preserve"> </w:t>
      </w:r>
      <w:r w:rsidRPr="00AA6144">
        <w:rPr>
          <w:color w:val="auto"/>
          <w:lang w:val="en-CA"/>
        </w:rPr>
        <w:t>consistent with international humanitarian law.</w:t>
      </w:r>
      <w:r w:rsidR="005E51F3" w:rsidRPr="00AA6144">
        <w:rPr>
          <w:color w:val="auto"/>
          <w:lang w:val="en-CA"/>
        </w:rPr>
        <w:t xml:space="preserve"> </w:t>
      </w:r>
      <w:r w:rsidR="005E51F3" w:rsidRPr="00AA6144">
        <w:rPr>
          <w:color w:val="auto"/>
          <w:szCs w:val="18"/>
          <w:lang w:val="en-CA"/>
        </w:rPr>
        <w:t xml:space="preserve">As stated above, the </w:t>
      </w:r>
      <w:r w:rsidR="00DC07BC" w:rsidRPr="00AA6144">
        <w:rPr>
          <w:i/>
          <w:color w:val="auto"/>
          <w:szCs w:val="18"/>
          <w:lang w:val="en-CA"/>
        </w:rPr>
        <w:t>Crimes Against Humanity and War Crimes Act</w:t>
      </w:r>
      <w:r w:rsidR="005E51F3" w:rsidRPr="00AA6144">
        <w:rPr>
          <w:color w:val="auto"/>
          <w:szCs w:val="18"/>
          <w:lang w:val="en-CA"/>
        </w:rPr>
        <w:t xml:space="preserve"> relies on conventional international law and customary international law in </w:t>
      </w:r>
      <w:r w:rsidR="0095071A" w:rsidRPr="00AA6144">
        <w:rPr>
          <w:color w:val="auto"/>
          <w:szCs w:val="18"/>
          <w:lang w:val="en-CA"/>
        </w:rPr>
        <w:t>interpreting and defining</w:t>
      </w:r>
      <w:r w:rsidR="005E51F3" w:rsidRPr="00AA6144">
        <w:rPr>
          <w:color w:val="auto"/>
          <w:szCs w:val="18"/>
          <w:lang w:val="en-CA"/>
        </w:rPr>
        <w:t xml:space="preserve"> what constitute</w:t>
      </w:r>
      <w:r w:rsidR="0095071A" w:rsidRPr="00AA6144">
        <w:rPr>
          <w:color w:val="auto"/>
          <w:szCs w:val="18"/>
          <w:lang w:val="en-CA"/>
        </w:rPr>
        <w:t>s</w:t>
      </w:r>
      <w:r w:rsidR="005E51F3" w:rsidRPr="00AA6144">
        <w:rPr>
          <w:color w:val="auto"/>
          <w:szCs w:val="18"/>
          <w:lang w:val="en-CA"/>
        </w:rPr>
        <w:t xml:space="preserve"> war crimes. This legislative choice ensures that war crimes can be prosecuted in Canada </w:t>
      </w:r>
      <w:proofErr w:type="gramStart"/>
      <w:r w:rsidR="005E51F3" w:rsidRPr="00AA6144">
        <w:rPr>
          <w:color w:val="auto"/>
          <w:szCs w:val="18"/>
          <w:lang w:val="en-CA"/>
        </w:rPr>
        <w:t>as long as</w:t>
      </w:r>
      <w:proofErr w:type="gramEnd"/>
      <w:r w:rsidR="005E51F3" w:rsidRPr="00AA6144">
        <w:rPr>
          <w:color w:val="auto"/>
          <w:szCs w:val="18"/>
          <w:lang w:val="en-CA"/>
        </w:rPr>
        <w:t xml:space="preserve"> they are war crimes with respect to conventional international law or customary international law at the time of their commission.  However, it must be kept in mind that “the way in which the crimes are structured means that</w:t>
      </w:r>
      <w:r w:rsidR="00D83DE0" w:rsidRPr="00AA6144">
        <w:rPr>
          <w:color w:val="auto"/>
          <w:szCs w:val="18"/>
          <w:lang w:val="en-CA"/>
        </w:rPr>
        <w:t>,</w:t>
      </w:r>
      <w:r w:rsidR="005E51F3" w:rsidRPr="00AA6144">
        <w:rPr>
          <w:color w:val="auto"/>
          <w:szCs w:val="18"/>
          <w:lang w:val="en-CA"/>
        </w:rPr>
        <w:t xml:space="preserve"> in each case, the trial judge must determine as a matter of law what the state of the applicable customary and/or conventional international law was at the time (and in the case of treaties, at the place) the offence was committed.”</w:t>
      </w:r>
      <w:r w:rsidR="005E51F3" w:rsidRPr="00AA6144">
        <w:rPr>
          <w:rStyle w:val="FootnoteReference"/>
          <w:color w:val="auto"/>
          <w:szCs w:val="18"/>
          <w:lang w:val="en-CA"/>
        </w:rPr>
        <w:footnoteReference w:id="157"/>
      </w:r>
    </w:p>
    <w:p w14:paraId="52EFB3C7" w14:textId="77777777" w:rsidR="00624359" w:rsidRPr="00AA6144" w:rsidRDefault="00CC2B5C" w:rsidP="00624359">
      <w:pPr>
        <w:pStyle w:val="AIBodyText"/>
        <w:rPr>
          <w:color w:val="auto"/>
          <w:lang w:val="en-CA"/>
        </w:rPr>
      </w:pPr>
      <w:r w:rsidRPr="00AA6144">
        <w:rPr>
          <w:b/>
          <w:bCs/>
          <w:i/>
          <w:iCs/>
          <w:color w:val="auto"/>
          <w:lang w:val="en-CA"/>
        </w:rPr>
        <w:t>Rules of customary international law.</w:t>
      </w:r>
      <w:r w:rsidRPr="00AA6144">
        <w:rPr>
          <w:color w:val="auto"/>
          <w:lang w:val="en-CA"/>
        </w:rPr>
        <w:t xml:space="preserve"> </w:t>
      </w:r>
      <w:r w:rsidR="00C255AB" w:rsidRPr="00AA6144">
        <w:rPr>
          <w:color w:val="auto"/>
          <w:lang w:val="en-CA"/>
        </w:rPr>
        <w:t>T</w:t>
      </w:r>
      <w:r w:rsidR="00624359" w:rsidRPr="00AA6144">
        <w:rPr>
          <w:color w:val="auto"/>
          <w:lang w:val="en-CA"/>
        </w:rPr>
        <w:t xml:space="preserve">here are numerous rules of customary international humanitarian law applicable to international armed conflict not expressly listed in the </w:t>
      </w:r>
      <w:r w:rsidR="005C5FF0" w:rsidRPr="00AA6144">
        <w:rPr>
          <w:color w:val="auto"/>
          <w:lang w:val="en-CA"/>
        </w:rPr>
        <w:t>Rome Statute</w:t>
      </w:r>
      <w:r w:rsidR="00C255AB" w:rsidRPr="00AA6144">
        <w:rPr>
          <w:color w:val="auto"/>
          <w:lang w:val="en-CA"/>
        </w:rPr>
        <w:t xml:space="preserve"> nor Additional Protocol I </w:t>
      </w:r>
      <w:r w:rsidR="00624359" w:rsidRPr="00AA6144">
        <w:rPr>
          <w:color w:val="auto"/>
          <w:lang w:val="en-CA"/>
        </w:rPr>
        <w:t xml:space="preserve">which, if violated, could lead to individual criminal responsibility. Some of these rules are listed in the following chart, indicating whether Canada has defined violations of these rules as war crimes in international armed conflict. As Chart IV indicates, Canada has defined violations of these rules of customary international law as war crimes under national law. </w:t>
      </w:r>
      <w:r w:rsidR="00F9516E" w:rsidRPr="00AA6144">
        <w:rPr>
          <w:color w:val="auto"/>
          <w:lang w:val="en-CA"/>
        </w:rPr>
        <w:t xml:space="preserve">The </w:t>
      </w:r>
      <w:r w:rsidR="00AA4C87" w:rsidRPr="00AA6144">
        <w:rPr>
          <w:color w:val="auto"/>
          <w:lang w:val="en-CA"/>
        </w:rPr>
        <w:t>c</w:t>
      </w:r>
      <w:r w:rsidR="00F9516E" w:rsidRPr="00AA6144">
        <w:rPr>
          <w:color w:val="auto"/>
          <w:lang w:val="en-CA"/>
        </w:rPr>
        <w:t xml:space="preserve">hart </w:t>
      </w:r>
      <w:r w:rsidR="00624359" w:rsidRPr="00AA6144">
        <w:rPr>
          <w:color w:val="auto"/>
          <w:lang w:val="en-CA"/>
        </w:rPr>
        <w:t xml:space="preserve">also indicates that Canada has authorized its courts to exercise universal jurisdiction over </w:t>
      </w:r>
      <w:r w:rsidR="00C255AB" w:rsidRPr="00AA6144">
        <w:rPr>
          <w:color w:val="auto"/>
          <w:lang w:val="en-CA"/>
        </w:rPr>
        <w:t>these crimes</w:t>
      </w:r>
      <w:r w:rsidR="00624359" w:rsidRPr="00AA6144">
        <w:rPr>
          <w:color w:val="auto"/>
          <w:lang w:val="en-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2268"/>
        <w:gridCol w:w="2086"/>
      </w:tblGrid>
      <w:tr w:rsidR="00624359" w:rsidRPr="00AA6144" w14:paraId="74C7CABD" w14:textId="77777777">
        <w:trPr>
          <w:tblHeader/>
        </w:trPr>
        <w:tc>
          <w:tcPr>
            <w:tcW w:w="7580" w:type="dxa"/>
            <w:gridSpan w:val="3"/>
            <w:shd w:val="clear" w:color="auto" w:fill="000000"/>
          </w:tcPr>
          <w:p w14:paraId="50D0C94F" w14:textId="77777777" w:rsidR="00624359" w:rsidRPr="00AA6144" w:rsidRDefault="00624359" w:rsidP="00624359">
            <w:pPr>
              <w:pStyle w:val="AIBodyText"/>
              <w:spacing w:line="240" w:lineRule="auto"/>
              <w:jc w:val="both"/>
              <w:rPr>
                <w:b/>
                <w:color w:val="auto"/>
                <w:szCs w:val="18"/>
                <w:lang w:val="en-CA"/>
              </w:rPr>
            </w:pPr>
            <w:r w:rsidRPr="00AA6144">
              <w:rPr>
                <w:b/>
                <w:color w:val="auto"/>
                <w:szCs w:val="18"/>
                <w:lang w:val="en-CA"/>
              </w:rPr>
              <w:t>CHART IV. RULES OF CUSTOMARY INTERNATIONAL HUMANITARIAN LAW IN INTERNATIONAL ARMED CONFLICT</w:t>
            </w:r>
          </w:p>
        </w:tc>
      </w:tr>
      <w:tr w:rsidR="00624359" w:rsidRPr="00AA6144" w14:paraId="79BE89AD" w14:textId="77777777">
        <w:trPr>
          <w:tblHeader/>
        </w:trPr>
        <w:tc>
          <w:tcPr>
            <w:tcW w:w="3226" w:type="dxa"/>
          </w:tcPr>
          <w:p w14:paraId="2FB9BC35" w14:textId="77777777" w:rsidR="00624359" w:rsidRPr="00AA6144" w:rsidRDefault="00624359" w:rsidP="00624359">
            <w:pPr>
              <w:pStyle w:val="AIBodyText"/>
              <w:spacing w:line="240" w:lineRule="auto"/>
              <w:jc w:val="both"/>
              <w:rPr>
                <w:b/>
                <w:color w:val="auto"/>
                <w:szCs w:val="18"/>
                <w:lang w:val="en-CA"/>
              </w:rPr>
            </w:pPr>
            <w:r w:rsidRPr="00AA6144">
              <w:rPr>
                <w:b/>
                <w:color w:val="auto"/>
                <w:szCs w:val="18"/>
                <w:lang w:val="en-CA"/>
              </w:rPr>
              <w:t>Rule of customary international humanitarian law</w:t>
            </w:r>
          </w:p>
        </w:tc>
        <w:tc>
          <w:tcPr>
            <w:tcW w:w="2268" w:type="dxa"/>
          </w:tcPr>
          <w:p w14:paraId="0376075D" w14:textId="77777777" w:rsidR="00624359" w:rsidRPr="00AA6144" w:rsidRDefault="00624359" w:rsidP="00624359">
            <w:pPr>
              <w:pStyle w:val="AIBodyText"/>
              <w:spacing w:line="240" w:lineRule="auto"/>
              <w:jc w:val="both"/>
              <w:rPr>
                <w:b/>
                <w:color w:val="auto"/>
                <w:szCs w:val="18"/>
                <w:lang w:val="en-CA"/>
              </w:rPr>
            </w:pPr>
            <w:r w:rsidRPr="00AA6144">
              <w:rPr>
                <w:b/>
                <w:color w:val="auto"/>
                <w:szCs w:val="18"/>
                <w:lang w:val="en-CA"/>
              </w:rPr>
              <w:t>Defined in national law (citing any relevant provision)</w:t>
            </w:r>
          </w:p>
        </w:tc>
        <w:tc>
          <w:tcPr>
            <w:tcW w:w="2086" w:type="dxa"/>
          </w:tcPr>
          <w:p w14:paraId="6205208C" w14:textId="77777777" w:rsidR="00624359" w:rsidRPr="00AA6144" w:rsidRDefault="00624359" w:rsidP="00624359">
            <w:pPr>
              <w:pStyle w:val="AIBodyText"/>
              <w:spacing w:line="240" w:lineRule="auto"/>
              <w:jc w:val="both"/>
              <w:rPr>
                <w:b/>
                <w:color w:val="auto"/>
                <w:szCs w:val="18"/>
                <w:lang w:val="en-CA"/>
              </w:rPr>
            </w:pPr>
            <w:r w:rsidRPr="00AA6144">
              <w:rPr>
                <w:b/>
                <w:color w:val="auto"/>
                <w:szCs w:val="18"/>
                <w:lang w:val="en-CA"/>
              </w:rPr>
              <w:t>Courts provided with universal jurisdiction (citing any relevant provision)</w:t>
            </w:r>
          </w:p>
        </w:tc>
      </w:tr>
      <w:tr w:rsidR="00624359" w:rsidRPr="00AA6144" w14:paraId="7A1DFCEE" w14:textId="77777777">
        <w:tc>
          <w:tcPr>
            <w:tcW w:w="3226" w:type="dxa"/>
          </w:tcPr>
          <w:p w14:paraId="1DB4A47E" w14:textId="77777777" w:rsidR="00624359" w:rsidRPr="00AA6144" w:rsidRDefault="00513F37" w:rsidP="00624359">
            <w:pPr>
              <w:pStyle w:val="AIBodyText"/>
              <w:spacing w:line="240" w:lineRule="auto"/>
              <w:jc w:val="both"/>
              <w:rPr>
                <w:color w:val="auto"/>
                <w:szCs w:val="18"/>
                <w:lang w:val="en-CA"/>
              </w:rPr>
            </w:pPr>
            <w:r w:rsidRPr="00AA6144">
              <w:rPr>
                <w:color w:val="auto"/>
                <w:szCs w:val="18"/>
                <w:lang w:val="en-CA"/>
              </w:rPr>
              <w:t>Prohibition of s</w:t>
            </w:r>
            <w:r w:rsidR="00624359" w:rsidRPr="00AA6144">
              <w:rPr>
                <w:color w:val="auto"/>
                <w:szCs w:val="18"/>
                <w:lang w:val="en-CA"/>
              </w:rPr>
              <w:t>lavery</w:t>
            </w:r>
            <w:r w:rsidR="00624359" w:rsidRPr="00AA6144">
              <w:rPr>
                <w:rStyle w:val="FootnoteReference"/>
                <w:color w:val="auto"/>
                <w:szCs w:val="18"/>
                <w:lang w:val="en-CA"/>
              </w:rPr>
              <w:t xml:space="preserve"> </w:t>
            </w:r>
            <w:r w:rsidR="00624359" w:rsidRPr="00AA6144">
              <w:rPr>
                <w:rStyle w:val="FootnoteReference"/>
                <w:color w:val="auto"/>
                <w:szCs w:val="18"/>
                <w:lang w:val="en-CA"/>
              </w:rPr>
              <w:footnoteReference w:id="158"/>
            </w:r>
          </w:p>
        </w:tc>
        <w:tc>
          <w:tcPr>
            <w:tcW w:w="2268" w:type="dxa"/>
          </w:tcPr>
          <w:p w14:paraId="361725F4"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086" w:type="dxa"/>
          </w:tcPr>
          <w:p w14:paraId="3117D39D"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624359" w:rsidRPr="00AA6144" w14:paraId="572600EE" w14:textId="77777777">
        <w:tc>
          <w:tcPr>
            <w:tcW w:w="3226" w:type="dxa"/>
          </w:tcPr>
          <w:p w14:paraId="6B7D40ED" w14:textId="77777777" w:rsidR="00624359" w:rsidRPr="00AA6144" w:rsidRDefault="00624359" w:rsidP="00624359">
            <w:pPr>
              <w:pStyle w:val="AIBodyText"/>
              <w:spacing w:line="240" w:lineRule="auto"/>
              <w:jc w:val="both"/>
              <w:rPr>
                <w:color w:val="auto"/>
                <w:szCs w:val="18"/>
                <w:lang w:val="en-CA"/>
              </w:rPr>
            </w:pPr>
            <w:r w:rsidRPr="00AA6144">
              <w:rPr>
                <w:color w:val="auto"/>
                <w:szCs w:val="18"/>
                <w:lang w:val="en-CA"/>
              </w:rPr>
              <w:t>Deportation to slave labour</w:t>
            </w:r>
            <w:r w:rsidRPr="00AA6144">
              <w:rPr>
                <w:rStyle w:val="FootnoteReference"/>
                <w:color w:val="auto"/>
                <w:szCs w:val="18"/>
                <w:lang w:val="en-CA"/>
              </w:rPr>
              <w:footnoteReference w:id="159"/>
            </w:r>
          </w:p>
        </w:tc>
        <w:tc>
          <w:tcPr>
            <w:tcW w:w="2268" w:type="dxa"/>
          </w:tcPr>
          <w:p w14:paraId="3F30B7B6"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w:t>
            </w:r>
          </w:p>
        </w:tc>
        <w:tc>
          <w:tcPr>
            <w:tcW w:w="2086" w:type="dxa"/>
          </w:tcPr>
          <w:p w14:paraId="4B04A572"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p w14:paraId="0C4BE893" w14:textId="77777777" w:rsidR="00624359" w:rsidRPr="00AA6144" w:rsidRDefault="00624359" w:rsidP="00624359">
            <w:pPr>
              <w:pStyle w:val="AIBodyText"/>
              <w:spacing w:line="240" w:lineRule="auto"/>
              <w:jc w:val="both"/>
              <w:rPr>
                <w:color w:val="auto"/>
                <w:szCs w:val="18"/>
                <w:lang w:val="en-CA"/>
              </w:rPr>
            </w:pPr>
            <w:r w:rsidRPr="00AA6144">
              <w:rPr>
                <w:i/>
                <w:color w:val="auto"/>
                <w:szCs w:val="16"/>
                <w:lang w:val="en-CA"/>
              </w:rPr>
              <w:t>Geneva Conventions Act</w:t>
            </w:r>
            <w:r w:rsidRPr="00AA6144">
              <w:rPr>
                <w:color w:val="auto"/>
                <w:szCs w:val="16"/>
                <w:lang w:val="en-CA"/>
              </w:rPr>
              <w:t>, R.S.C. 1985, c. G-3, s.3(2).</w:t>
            </w:r>
          </w:p>
        </w:tc>
      </w:tr>
      <w:tr w:rsidR="00624359" w:rsidRPr="00AA6144" w14:paraId="49CF4FCC" w14:textId="77777777">
        <w:tc>
          <w:tcPr>
            <w:tcW w:w="3226" w:type="dxa"/>
          </w:tcPr>
          <w:p w14:paraId="67FE86C5" w14:textId="77777777" w:rsidR="00624359" w:rsidRPr="00AA6144" w:rsidRDefault="00624359" w:rsidP="00624359">
            <w:pPr>
              <w:pStyle w:val="AIBodyText"/>
              <w:spacing w:line="240" w:lineRule="auto"/>
              <w:jc w:val="both"/>
              <w:rPr>
                <w:color w:val="auto"/>
                <w:szCs w:val="18"/>
                <w:lang w:val="en-CA"/>
              </w:rPr>
            </w:pPr>
            <w:r w:rsidRPr="00AA6144">
              <w:rPr>
                <w:color w:val="auto"/>
                <w:szCs w:val="18"/>
                <w:lang w:val="en-CA"/>
              </w:rPr>
              <w:t>Collective punishments;</w:t>
            </w:r>
            <w:r w:rsidRPr="00AA6144">
              <w:rPr>
                <w:rStyle w:val="FootnoteReference"/>
                <w:color w:val="auto"/>
                <w:szCs w:val="18"/>
                <w:lang w:val="en-CA"/>
              </w:rPr>
              <w:footnoteReference w:id="160"/>
            </w:r>
          </w:p>
        </w:tc>
        <w:tc>
          <w:tcPr>
            <w:tcW w:w="2268" w:type="dxa"/>
          </w:tcPr>
          <w:p w14:paraId="2A852B61"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086" w:type="dxa"/>
          </w:tcPr>
          <w:p w14:paraId="51DDECB9"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624359" w:rsidRPr="00AA6144" w14:paraId="152A1530" w14:textId="77777777">
        <w:tc>
          <w:tcPr>
            <w:tcW w:w="3226" w:type="dxa"/>
          </w:tcPr>
          <w:p w14:paraId="31350FBD" w14:textId="77777777" w:rsidR="00624359" w:rsidRPr="00AA6144" w:rsidRDefault="00624359" w:rsidP="00624359">
            <w:pPr>
              <w:pStyle w:val="AIBodyText"/>
              <w:spacing w:line="240" w:lineRule="auto"/>
              <w:jc w:val="both"/>
              <w:rPr>
                <w:color w:val="auto"/>
                <w:szCs w:val="18"/>
                <w:lang w:val="en-CA"/>
              </w:rPr>
            </w:pPr>
            <w:r w:rsidRPr="00AA6144">
              <w:rPr>
                <w:color w:val="auto"/>
                <w:szCs w:val="18"/>
                <w:lang w:val="en-CA"/>
              </w:rPr>
              <w:t xml:space="preserve">Despoliation of the wounded, sick, </w:t>
            </w:r>
            <w:proofErr w:type="gramStart"/>
            <w:r w:rsidRPr="00AA6144">
              <w:rPr>
                <w:color w:val="auto"/>
                <w:szCs w:val="18"/>
                <w:lang w:val="en-CA"/>
              </w:rPr>
              <w:t>shipwrecked</w:t>
            </w:r>
            <w:proofErr w:type="gramEnd"/>
            <w:r w:rsidRPr="00AA6144">
              <w:rPr>
                <w:color w:val="auto"/>
                <w:szCs w:val="18"/>
                <w:lang w:val="en-CA"/>
              </w:rPr>
              <w:t xml:space="preserve"> or dead</w:t>
            </w:r>
            <w:r w:rsidRPr="00AA6144">
              <w:rPr>
                <w:rStyle w:val="FootnoteReference"/>
                <w:color w:val="auto"/>
                <w:szCs w:val="18"/>
                <w:lang w:val="en-CA"/>
              </w:rPr>
              <w:footnoteReference w:id="161"/>
            </w:r>
          </w:p>
        </w:tc>
        <w:tc>
          <w:tcPr>
            <w:tcW w:w="2268" w:type="dxa"/>
          </w:tcPr>
          <w:p w14:paraId="5BA99C33"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086" w:type="dxa"/>
          </w:tcPr>
          <w:p w14:paraId="14DA48DD"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624359" w:rsidRPr="00AA6144" w14:paraId="26EA94F4" w14:textId="77777777">
        <w:tc>
          <w:tcPr>
            <w:tcW w:w="3226" w:type="dxa"/>
          </w:tcPr>
          <w:p w14:paraId="0A7B902F" w14:textId="77777777" w:rsidR="00624359" w:rsidRPr="00AA6144" w:rsidRDefault="00624359" w:rsidP="00624359">
            <w:pPr>
              <w:pStyle w:val="AIBodyText"/>
              <w:spacing w:line="240" w:lineRule="auto"/>
              <w:jc w:val="both"/>
              <w:rPr>
                <w:color w:val="auto"/>
                <w:szCs w:val="18"/>
                <w:lang w:val="en-CA"/>
              </w:rPr>
            </w:pPr>
            <w:r w:rsidRPr="00AA6144">
              <w:rPr>
                <w:color w:val="auto"/>
                <w:szCs w:val="18"/>
                <w:lang w:val="en-CA"/>
              </w:rPr>
              <w:t xml:space="preserve">Attacking or ill-treating a </w:t>
            </w:r>
            <w:proofErr w:type="spellStart"/>
            <w:r w:rsidRPr="00AA6144">
              <w:rPr>
                <w:i/>
                <w:color w:val="auto"/>
                <w:szCs w:val="18"/>
                <w:lang w:val="en-CA"/>
              </w:rPr>
              <w:t>parlementaire</w:t>
            </w:r>
            <w:proofErr w:type="spellEnd"/>
            <w:r w:rsidRPr="00AA6144">
              <w:rPr>
                <w:color w:val="auto"/>
                <w:szCs w:val="18"/>
                <w:lang w:val="en-CA"/>
              </w:rPr>
              <w:t xml:space="preserve"> or bearer of the flag of truce</w:t>
            </w:r>
            <w:r w:rsidRPr="00AA6144">
              <w:rPr>
                <w:rStyle w:val="FootnoteReference"/>
                <w:color w:val="auto"/>
                <w:szCs w:val="18"/>
                <w:lang w:val="en-CA"/>
              </w:rPr>
              <w:footnoteReference w:id="162"/>
            </w:r>
          </w:p>
        </w:tc>
        <w:tc>
          <w:tcPr>
            <w:tcW w:w="2268" w:type="dxa"/>
          </w:tcPr>
          <w:p w14:paraId="5D05FFA3"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p w14:paraId="415701F6" w14:textId="0D2FFB78" w:rsidR="00444BF4" w:rsidRPr="00AA6144" w:rsidRDefault="00444BF4" w:rsidP="00624359">
            <w:pPr>
              <w:pStyle w:val="AIBodyText"/>
              <w:spacing w:line="240" w:lineRule="auto"/>
              <w:jc w:val="both"/>
              <w:rPr>
                <w:color w:val="auto"/>
                <w:szCs w:val="18"/>
                <w:lang w:val="en-CA"/>
              </w:rPr>
            </w:pPr>
            <w:r w:rsidRPr="00AA6144">
              <w:rPr>
                <w:i/>
                <w:lang w:val="en-CA"/>
              </w:rPr>
              <w:t>Rome Statute</w:t>
            </w:r>
            <w:r w:rsidRPr="00AA6144">
              <w:rPr>
                <w:lang w:val="en-CA"/>
              </w:rPr>
              <w:t>, article 8(2)(b)(vii)</w:t>
            </w:r>
            <w:r w:rsidRPr="00AA6144">
              <w:rPr>
                <w:rStyle w:val="FootnoteReference"/>
                <w:lang w:val="en-CA"/>
              </w:rPr>
              <w:footnoteReference w:id="163"/>
            </w:r>
          </w:p>
        </w:tc>
        <w:tc>
          <w:tcPr>
            <w:tcW w:w="2086" w:type="dxa"/>
          </w:tcPr>
          <w:p w14:paraId="41F31E9F"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624359" w:rsidRPr="00AA6144" w14:paraId="6EC8EA37" w14:textId="77777777">
        <w:tc>
          <w:tcPr>
            <w:tcW w:w="3226" w:type="dxa"/>
          </w:tcPr>
          <w:p w14:paraId="10610A4B" w14:textId="77777777" w:rsidR="00624359" w:rsidRPr="00AA6144" w:rsidRDefault="00624359" w:rsidP="00624359">
            <w:pPr>
              <w:pStyle w:val="AIBodyText"/>
              <w:spacing w:line="240" w:lineRule="auto"/>
              <w:jc w:val="both"/>
              <w:rPr>
                <w:color w:val="auto"/>
                <w:szCs w:val="18"/>
                <w:lang w:val="en-CA"/>
              </w:rPr>
            </w:pPr>
            <w:r w:rsidRPr="00AA6144">
              <w:rPr>
                <w:color w:val="auto"/>
                <w:szCs w:val="18"/>
                <w:lang w:val="en-CA"/>
              </w:rPr>
              <w:t>Launching an indiscriminate attack resulting in loss of life or injury to civilians or damage to civilian objects</w:t>
            </w:r>
            <w:r w:rsidRPr="00AA6144">
              <w:rPr>
                <w:rStyle w:val="FootnoteReference"/>
                <w:color w:val="auto"/>
                <w:szCs w:val="18"/>
                <w:lang w:val="en-CA"/>
              </w:rPr>
              <w:footnoteReference w:id="164"/>
            </w:r>
          </w:p>
        </w:tc>
        <w:tc>
          <w:tcPr>
            <w:tcW w:w="2268" w:type="dxa"/>
          </w:tcPr>
          <w:p w14:paraId="335A19F8"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p w14:paraId="75D494D1" w14:textId="5A9809A3" w:rsidR="00444BF4" w:rsidRPr="00AA6144" w:rsidRDefault="00444BF4" w:rsidP="00624359">
            <w:pPr>
              <w:pStyle w:val="AIBodyText"/>
              <w:spacing w:line="240" w:lineRule="auto"/>
              <w:jc w:val="both"/>
              <w:rPr>
                <w:color w:val="auto"/>
                <w:szCs w:val="18"/>
                <w:lang w:val="en-CA"/>
              </w:rPr>
            </w:pPr>
            <w:r w:rsidRPr="00AA6144">
              <w:rPr>
                <w:i/>
                <w:lang w:val="en-CA"/>
              </w:rPr>
              <w:t>Rome Statute</w:t>
            </w:r>
            <w:r w:rsidRPr="00AA6144">
              <w:rPr>
                <w:lang w:val="en-CA"/>
              </w:rPr>
              <w:t>, articles 8(2)(b)(</w:t>
            </w:r>
            <w:proofErr w:type="spellStart"/>
            <w:r w:rsidRPr="00AA6144">
              <w:rPr>
                <w:lang w:val="en-CA"/>
              </w:rPr>
              <w:t>i</w:t>
            </w:r>
            <w:proofErr w:type="spellEnd"/>
            <w:r w:rsidRPr="00AA6144">
              <w:rPr>
                <w:lang w:val="en-CA"/>
              </w:rPr>
              <w:t>) and (ii)</w:t>
            </w:r>
            <w:r w:rsidRPr="00AA6144">
              <w:rPr>
                <w:rStyle w:val="FootnoteReference"/>
                <w:lang w:val="en-CA"/>
              </w:rPr>
              <w:footnoteReference w:id="165"/>
            </w:r>
          </w:p>
        </w:tc>
        <w:tc>
          <w:tcPr>
            <w:tcW w:w="2086" w:type="dxa"/>
          </w:tcPr>
          <w:p w14:paraId="775E1141"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624359" w:rsidRPr="00AA6144" w14:paraId="0002199F" w14:textId="77777777">
        <w:tc>
          <w:tcPr>
            <w:tcW w:w="3226" w:type="dxa"/>
          </w:tcPr>
          <w:p w14:paraId="2CCE26B5" w14:textId="77777777" w:rsidR="00624359" w:rsidRPr="00AA6144" w:rsidRDefault="00624359" w:rsidP="00624359">
            <w:pPr>
              <w:pStyle w:val="AIBodyText"/>
              <w:spacing w:line="240" w:lineRule="auto"/>
              <w:jc w:val="both"/>
              <w:rPr>
                <w:color w:val="auto"/>
                <w:szCs w:val="18"/>
                <w:lang w:val="en-CA"/>
              </w:rPr>
            </w:pPr>
            <w:r w:rsidRPr="00AA6144">
              <w:rPr>
                <w:color w:val="auto"/>
                <w:szCs w:val="18"/>
                <w:lang w:val="en-CA"/>
              </w:rPr>
              <w:t>Use of biological weapons</w:t>
            </w:r>
            <w:r w:rsidRPr="00AA6144">
              <w:rPr>
                <w:rStyle w:val="FootnoteReference"/>
                <w:color w:val="auto"/>
                <w:szCs w:val="18"/>
                <w:lang w:val="en-CA"/>
              </w:rPr>
              <w:footnoteReference w:id="166"/>
            </w:r>
          </w:p>
        </w:tc>
        <w:tc>
          <w:tcPr>
            <w:tcW w:w="2268" w:type="dxa"/>
          </w:tcPr>
          <w:p w14:paraId="289709A7"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p w14:paraId="7BAFC8CA" w14:textId="66A54A80" w:rsidR="008A0F11" w:rsidRPr="00AA6144" w:rsidRDefault="008A0F11" w:rsidP="00624359">
            <w:pPr>
              <w:pStyle w:val="AIBodyText"/>
              <w:spacing w:line="240" w:lineRule="auto"/>
              <w:jc w:val="both"/>
              <w:rPr>
                <w:color w:val="auto"/>
                <w:szCs w:val="18"/>
                <w:lang w:val="en-CA"/>
              </w:rPr>
            </w:pPr>
            <w:r w:rsidRPr="00AA6144">
              <w:rPr>
                <w:i/>
                <w:lang w:val="en-CA"/>
              </w:rPr>
              <w:t>Rome Statute</w:t>
            </w:r>
            <w:r w:rsidRPr="00AA6144">
              <w:rPr>
                <w:lang w:val="en-CA"/>
              </w:rPr>
              <w:t>, article 8(2)(b)(xvii)</w:t>
            </w:r>
            <w:r w:rsidRPr="00AA6144">
              <w:rPr>
                <w:rStyle w:val="FootnoteReference"/>
                <w:lang w:val="en-CA"/>
              </w:rPr>
              <w:t xml:space="preserve"> </w:t>
            </w:r>
            <w:r w:rsidRPr="00AA6144">
              <w:rPr>
                <w:rStyle w:val="FootnoteReference"/>
                <w:lang w:val="en-CA"/>
              </w:rPr>
              <w:footnoteReference w:id="167"/>
            </w:r>
          </w:p>
        </w:tc>
        <w:tc>
          <w:tcPr>
            <w:tcW w:w="2086" w:type="dxa"/>
          </w:tcPr>
          <w:p w14:paraId="21B6E1D3"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624359" w:rsidRPr="00AA6144" w14:paraId="24C27F60" w14:textId="77777777">
        <w:tc>
          <w:tcPr>
            <w:tcW w:w="3226" w:type="dxa"/>
          </w:tcPr>
          <w:p w14:paraId="6B9DA48D" w14:textId="77777777" w:rsidR="00624359" w:rsidRPr="00AA6144" w:rsidRDefault="00624359" w:rsidP="00624359">
            <w:pPr>
              <w:pStyle w:val="AIBodyText"/>
              <w:spacing w:line="240" w:lineRule="auto"/>
              <w:jc w:val="both"/>
              <w:rPr>
                <w:color w:val="auto"/>
                <w:szCs w:val="18"/>
                <w:lang w:val="en-CA"/>
              </w:rPr>
            </w:pPr>
            <w:r w:rsidRPr="00AA6144">
              <w:rPr>
                <w:color w:val="auto"/>
                <w:szCs w:val="18"/>
                <w:lang w:val="en-CA"/>
              </w:rPr>
              <w:t>Use of chemical weapons</w:t>
            </w:r>
            <w:r w:rsidRPr="00AA6144">
              <w:rPr>
                <w:rStyle w:val="FootnoteReference"/>
                <w:color w:val="auto"/>
                <w:szCs w:val="18"/>
                <w:lang w:val="en-CA"/>
              </w:rPr>
              <w:footnoteReference w:id="168"/>
            </w:r>
          </w:p>
        </w:tc>
        <w:tc>
          <w:tcPr>
            <w:tcW w:w="2268" w:type="dxa"/>
          </w:tcPr>
          <w:p w14:paraId="5026CB1F"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p w14:paraId="19BEB37B" w14:textId="21DC58E1" w:rsidR="008A0F11" w:rsidRPr="00AA6144" w:rsidRDefault="008A0F11" w:rsidP="00624359">
            <w:pPr>
              <w:pStyle w:val="AIBodyText"/>
              <w:spacing w:line="240" w:lineRule="auto"/>
              <w:jc w:val="both"/>
              <w:rPr>
                <w:color w:val="auto"/>
                <w:szCs w:val="18"/>
                <w:lang w:val="en-CA"/>
              </w:rPr>
            </w:pPr>
            <w:r w:rsidRPr="00AA6144">
              <w:rPr>
                <w:i/>
                <w:lang w:val="en-CA"/>
              </w:rPr>
              <w:t>Rome Statute</w:t>
            </w:r>
            <w:r w:rsidRPr="00AA6144">
              <w:rPr>
                <w:lang w:val="en-CA"/>
              </w:rPr>
              <w:t>, article 8(2)(b)(xvii)</w:t>
            </w:r>
            <w:r w:rsidRPr="00AA6144">
              <w:rPr>
                <w:rStyle w:val="FootnoteReference"/>
                <w:lang w:val="en-CA"/>
              </w:rPr>
              <w:footnoteReference w:id="169"/>
            </w:r>
          </w:p>
        </w:tc>
        <w:tc>
          <w:tcPr>
            <w:tcW w:w="2086" w:type="dxa"/>
          </w:tcPr>
          <w:p w14:paraId="43F8397E"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624359" w:rsidRPr="00AA6144" w14:paraId="12472592" w14:textId="77777777">
        <w:tc>
          <w:tcPr>
            <w:tcW w:w="3226" w:type="dxa"/>
          </w:tcPr>
          <w:p w14:paraId="549D4F3B" w14:textId="77777777" w:rsidR="00624359" w:rsidRPr="00AA6144" w:rsidRDefault="00624359" w:rsidP="00624359">
            <w:pPr>
              <w:pStyle w:val="AIBodyText"/>
              <w:spacing w:line="240" w:lineRule="auto"/>
              <w:jc w:val="both"/>
              <w:rPr>
                <w:color w:val="auto"/>
                <w:szCs w:val="18"/>
                <w:lang w:val="en-CA"/>
              </w:rPr>
            </w:pPr>
            <w:r w:rsidRPr="00AA6144">
              <w:rPr>
                <w:color w:val="auto"/>
                <w:szCs w:val="18"/>
                <w:lang w:val="en-CA"/>
              </w:rPr>
              <w:t>The use of non-detectable fragments</w:t>
            </w:r>
            <w:r w:rsidRPr="00AA6144">
              <w:rPr>
                <w:rStyle w:val="FootnoteReference"/>
                <w:color w:val="auto"/>
                <w:szCs w:val="18"/>
                <w:lang w:val="en-CA"/>
              </w:rPr>
              <w:footnoteReference w:id="170"/>
            </w:r>
          </w:p>
        </w:tc>
        <w:tc>
          <w:tcPr>
            <w:tcW w:w="2268" w:type="dxa"/>
          </w:tcPr>
          <w:p w14:paraId="46BB613C"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p w14:paraId="31F55D9B" w14:textId="09A62789" w:rsidR="00A0775A" w:rsidRPr="00AA6144" w:rsidRDefault="00A0775A" w:rsidP="00624359">
            <w:pPr>
              <w:pStyle w:val="AIBodyText"/>
              <w:spacing w:line="240" w:lineRule="auto"/>
              <w:jc w:val="both"/>
              <w:rPr>
                <w:i/>
                <w:color w:val="auto"/>
                <w:szCs w:val="18"/>
                <w:lang w:val="en-CA"/>
              </w:rPr>
            </w:pPr>
            <w:r w:rsidRPr="00AA6144">
              <w:rPr>
                <w:i/>
                <w:color w:val="auto"/>
                <w:szCs w:val="18"/>
                <w:lang w:val="en-CA"/>
              </w:rPr>
              <w:t xml:space="preserve">Rome Statute, </w:t>
            </w:r>
            <w:r w:rsidRPr="00AA6144">
              <w:rPr>
                <w:lang w:val="en-CA"/>
              </w:rPr>
              <w:t>article 8(2)(b)(xviii)</w:t>
            </w:r>
            <w:r w:rsidRPr="00AA6144">
              <w:rPr>
                <w:rStyle w:val="FootnoteReference"/>
                <w:lang w:val="en-CA"/>
              </w:rPr>
              <w:footnoteReference w:id="171"/>
            </w:r>
          </w:p>
        </w:tc>
        <w:tc>
          <w:tcPr>
            <w:tcW w:w="2086" w:type="dxa"/>
          </w:tcPr>
          <w:p w14:paraId="2D14CE9D"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624359" w:rsidRPr="00AA6144" w14:paraId="0469E557" w14:textId="77777777">
        <w:tc>
          <w:tcPr>
            <w:tcW w:w="3226" w:type="dxa"/>
          </w:tcPr>
          <w:p w14:paraId="4E78FEEC" w14:textId="77777777" w:rsidR="00624359" w:rsidRPr="00AA6144" w:rsidRDefault="00624359" w:rsidP="00624359">
            <w:pPr>
              <w:pStyle w:val="AIBodyText"/>
              <w:spacing w:line="240" w:lineRule="auto"/>
              <w:jc w:val="both"/>
              <w:rPr>
                <w:color w:val="auto"/>
                <w:szCs w:val="18"/>
                <w:lang w:val="en-CA"/>
              </w:rPr>
            </w:pPr>
            <w:r w:rsidRPr="00AA6144">
              <w:rPr>
                <w:color w:val="auto"/>
                <w:szCs w:val="18"/>
                <w:lang w:val="en-CA"/>
              </w:rPr>
              <w:t>The use of binding laser weapons</w:t>
            </w:r>
            <w:r w:rsidRPr="00AA6144">
              <w:rPr>
                <w:rStyle w:val="FootnoteReference"/>
                <w:color w:val="auto"/>
                <w:szCs w:val="18"/>
                <w:lang w:val="en-CA"/>
              </w:rPr>
              <w:footnoteReference w:id="172"/>
            </w:r>
          </w:p>
        </w:tc>
        <w:tc>
          <w:tcPr>
            <w:tcW w:w="2268" w:type="dxa"/>
          </w:tcPr>
          <w:p w14:paraId="23DF0003"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p w14:paraId="12D87602" w14:textId="3D103002" w:rsidR="00A0775A" w:rsidRPr="00AA6144" w:rsidRDefault="00A0775A" w:rsidP="00624359">
            <w:pPr>
              <w:pStyle w:val="AIBodyText"/>
              <w:spacing w:line="240" w:lineRule="auto"/>
              <w:jc w:val="both"/>
              <w:rPr>
                <w:color w:val="auto"/>
                <w:szCs w:val="18"/>
                <w:lang w:val="en-CA"/>
              </w:rPr>
            </w:pPr>
            <w:r w:rsidRPr="00AA6144">
              <w:rPr>
                <w:i/>
                <w:color w:val="auto"/>
                <w:szCs w:val="18"/>
                <w:lang w:val="en-CA"/>
              </w:rPr>
              <w:t xml:space="preserve">Rome Statute, </w:t>
            </w:r>
            <w:r w:rsidRPr="00AA6144">
              <w:rPr>
                <w:lang w:val="en-CA"/>
              </w:rPr>
              <w:t>article 8(2)(b)(xviii)</w:t>
            </w:r>
            <w:r w:rsidRPr="00AA6144">
              <w:rPr>
                <w:rStyle w:val="FootnoteReference"/>
                <w:lang w:val="en-CA"/>
              </w:rPr>
              <w:footnoteReference w:id="173"/>
            </w:r>
          </w:p>
        </w:tc>
        <w:tc>
          <w:tcPr>
            <w:tcW w:w="2086" w:type="dxa"/>
          </w:tcPr>
          <w:p w14:paraId="1533EF24" w14:textId="77777777" w:rsidR="00624359" w:rsidRPr="00AA6144" w:rsidRDefault="00624359" w:rsidP="00624359">
            <w:pPr>
              <w:pStyle w:val="AIBodyText"/>
              <w:spacing w:line="240" w:lineRule="auto"/>
              <w:jc w:val="both"/>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bl>
    <w:p w14:paraId="6D8FE2FD" w14:textId="77777777" w:rsidR="00624359" w:rsidRPr="00AA6144" w:rsidRDefault="00624359" w:rsidP="005D4819">
      <w:pPr>
        <w:pStyle w:val="AIBodyText"/>
        <w:rPr>
          <w:color w:val="auto"/>
          <w:lang w:val="en-CA"/>
        </w:rPr>
      </w:pPr>
    </w:p>
    <w:p w14:paraId="44040071" w14:textId="6931482C" w:rsidR="00172241" w:rsidRPr="00AA6144" w:rsidRDefault="00172241" w:rsidP="005D4819">
      <w:pPr>
        <w:pStyle w:val="AIBodyText"/>
        <w:rPr>
          <w:color w:val="auto"/>
          <w:lang w:val="en-CA"/>
        </w:rPr>
      </w:pPr>
      <w:r w:rsidRPr="00AA6144">
        <w:rPr>
          <w:color w:val="auto"/>
          <w:lang w:val="en-CA"/>
        </w:rPr>
        <w:t>The definitions of the war crimes under customary international humanitarian law that ha</w:t>
      </w:r>
      <w:r w:rsidR="00624359" w:rsidRPr="00AA6144">
        <w:rPr>
          <w:color w:val="auto"/>
          <w:lang w:val="en-CA"/>
        </w:rPr>
        <w:t xml:space="preserve">ve been incorporated into Canada’s </w:t>
      </w:r>
      <w:r w:rsidR="007F0067" w:rsidRPr="008C3C43">
        <w:rPr>
          <w:color w:val="auto"/>
          <w:lang w:val="en-CA"/>
        </w:rPr>
        <w:t xml:space="preserve">domestic </w:t>
      </w:r>
      <w:r w:rsidR="00624359" w:rsidRPr="008C3C43">
        <w:rPr>
          <w:color w:val="auto"/>
          <w:lang w:val="en-CA"/>
        </w:rPr>
        <w:t>law</w:t>
      </w:r>
      <w:r w:rsidR="00BC6EE9" w:rsidRPr="008C3C43">
        <w:rPr>
          <w:color w:val="auto"/>
          <w:lang w:val="en-CA"/>
        </w:rPr>
        <w:t>s</w:t>
      </w:r>
      <w:r w:rsidR="00624359" w:rsidRPr="008C3C43">
        <w:rPr>
          <w:color w:val="auto"/>
          <w:lang w:val="en-CA"/>
        </w:rPr>
        <w:t xml:space="preserve"> </w:t>
      </w:r>
      <w:r w:rsidR="00624359" w:rsidRPr="00813569">
        <w:rPr>
          <w:color w:val="auto"/>
          <w:lang w:val="en-CA"/>
        </w:rPr>
        <w:t>a</w:t>
      </w:r>
      <w:r w:rsidR="008C3C43" w:rsidRPr="00813569">
        <w:rPr>
          <w:color w:val="auto"/>
          <w:lang w:val="en-CA"/>
        </w:rPr>
        <w:t>ppear to be</w:t>
      </w:r>
      <w:r w:rsidRPr="00813569">
        <w:rPr>
          <w:color w:val="auto"/>
          <w:lang w:val="en-CA"/>
        </w:rPr>
        <w:t xml:space="preserve"> consistent</w:t>
      </w:r>
      <w:r w:rsidRPr="008C3C43">
        <w:rPr>
          <w:color w:val="auto"/>
          <w:lang w:val="en-CA"/>
        </w:rPr>
        <w:t xml:space="preserve"> with international</w:t>
      </w:r>
      <w:r w:rsidRPr="00AA6144">
        <w:rPr>
          <w:color w:val="auto"/>
          <w:lang w:val="en-CA"/>
        </w:rPr>
        <w:t xml:space="preserve"> humanitarian law.</w:t>
      </w:r>
    </w:p>
    <w:p w14:paraId="6891C4B1" w14:textId="77777777" w:rsidR="00E57056" w:rsidRPr="00AA6144" w:rsidRDefault="00EA65EA" w:rsidP="005D4819">
      <w:pPr>
        <w:pStyle w:val="Heading4"/>
        <w:rPr>
          <w:color w:val="auto"/>
          <w:lang w:val="en-CA"/>
        </w:rPr>
      </w:pPr>
      <w:bookmarkStart w:id="84" w:name="_Toc43382735"/>
      <w:r w:rsidRPr="00AA6144">
        <w:rPr>
          <w:color w:val="auto"/>
          <w:lang w:val="en-CA"/>
        </w:rPr>
        <w:t>4.3.1.</w:t>
      </w:r>
      <w:r w:rsidR="00E93FE3" w:rsidRPr="00AA6144">
        <w:rPr>
          <w:color w:val="auto"/>
          <w:lang w:val="en-CA"/>
        </w:rPr>
        <w:t>4</w:t>
      </w:r>
      <w:r w:rsidRPr="00AA6144">
        <w:rPr>
          <w:color w:val="auto"/>
          <w:lang w:val="en-CA"/>
        </w:rPr>
        <w:t xml:space="preserve">. </w:t>
      </w:r>
      <w:r w:rsidR="00E57056" w:rsidRPr="00AA6144">
        <w:rPr>
          <w:color w:val="auto"/>
          <w:lang w:val="en-CA"/>
        </w:rPr>
        <w:t>War crimes in non-international armed conflict: Common Article 3 of the Geneva Conventions</w:t>
      </w:r>
      <w:r w:rsidR="001522EB" w:rsidRPr="00AA6144">
        <w:rPr>
          <w:color w:val="auto"/>
          <w:lang w:val="en-CA"/>
        </w:rPr>
        <w:t>,</w:t>
      </w:r>
      <w:r w:rsidR="00E57056" w:rsidRPr="00AA6144">
        <w:rPr>
          <w:color w:val="auto"/>
          <w:lang w:val="en-CA"/>
        </w:rPr>
        <w:t xml:space="preserve"> </w:t>
      </w:r>
      <w:r w:rsidR="007B268A" w:rsidRPr="00AA6144">
        <w:rPr>
          <w:color w:val="auto"/>
          <w:lang w:val="en-CA"/>
        </w:rPr>
        <w:t xml:space="preserve">Additional </w:t>
      </w:r>
      <w:r w:rsidR="00E57056" w:rsidRPr="00AA6144">
        <w:rPr>
          <w:color w:val="auto"/>
          <w:lang w:val="en-CA"/>
        </w:rPr>
        <w:t>Protocol II</w:t>
      </w:r>
      <w:r w:rsidR="001522EB" w:rsidRPr="00AA6144">
        <w:rPr>
          <w:color w:val="auto"/>
          <w:lang w:val="en-CA"/>
        </w:rPr>
        <w:t xml:space="preserve">, </w:t>
      </w:r>
      <w:r w:rsidR="005C5FF0" w:rsidRPr="00AA6144">
        <w:rPr>
          <w:color w:val="auto"/>
          <w:lang w:val="en-CA"/>
        </w:rPr>
        <w:t>Rome Statute</w:t>
      </w:r>
      <w:r w:rsidR="001C4B18" w:rsidRPr="00AA6144">
        <w:rPr>
          <w:color w:val="auto"/>
          <w:lang w:val="en-CA"/>
        </w:rPr>
        <w:t xml:space="preserve">, other conventional international </w:t>
      </w:r>
      <w:proofErr w:type="gramStart"/>
      <w:r w:rsidR="001C4B18" w:rsidRPr="00AA6144">
        <w:rPr>
          <w:color w:val="auto"/>
          <w:lang w:val="en-CA"/>
        </w:rPr>
        <w:t>law</w:t>
      </w:r>
      <w:proofErr w:type="gramEnd"/>
      <w:r w:rsidR="001522EB" w:rsidRPr="00AA6144">
        <w:rPr>
          <w:color w:val="auto"/>
          <w:lang w:val="en-CA"/>
        </w:rPr>
        <w:t xml:space="preserve"> and customary international law</w:t>
      </w:r>
      <w:bookmarkEnd w:id="84"/>
    </w:p>
    <w:p w14:paraId="3B33ABBE" w14:textId="03450FCC" w:rsidR="00B9574E" w:rsidRPr="00AA6144" w:rsidRDefault="00B677A5" w:rsidP="005D4819">
      <w:pPr>
        <w:pStyle w:val="AIBodyText"/>
        <w:rPr>
          <w:b/>
          <w:i/>
          <w:color w:val="auto"/>
          <w:lang w:val="en-CA"/>
        </w:rPr>
      </w:pPr>
      <w:r w:rsidRPr="00AA6144">
        <w:rPr>
          <w:color w:val="auto"/>
          <w:lang w:val="en-CA"/>
        </w:rPr>
        <w:t xml:space="preserve">Certain violations of international humanitarian law prohibitions in non-international armed conflict are now recognized as being war crimes </w:t>
      </w:r>
      <w:r w:rsidR="000853B2" w:rsidRPr="00AA6144">
        <w:rPr>
          <w:color w:val="auto"/>
          <w:lang w:val="en-CA"/>
        </w:rPr>
        <w:t xml:space="preserve">attracting </w:t>
      </w:r>
      <w:r w:rsidRPr="00AA6144">
        <w:rPr>
          <w:color w:val="auto"/>
          <w:lang w:val="en-CA"/>
        </w:rPr>
        <w:t>individual criminal responsibility. These prohibitions are found</w:t>
      </w:r>
      <w:proofErr w:type="gramStart"/>
      <w:r w:rsidRPr="00AA6144">
        <w:rPr>
          <w:color w:val="auto"/>
          <w:lang w:val="en-CA"/>
        </w:rPr>
        <w:t xml:space="preserve">, in particular, </w:t>
      </w:r>
      <w:r w:rsidR="00A43009" w:rsidRPr="00AA6144">
        <w:rPr>
          <w:color w:val="auto"/>
          <w:lang w:val="en-CA"/>
        </w:rPr>
        <w:t>in</w:t>
      </w:r>
      <w:proofErr w:type="gramEnd"/>
      <w:r w:rsidR="00A43009" w:rsidRPr="00AA6144">
        <w:rPr>
          <w:color w:val="auto"/>
          <w:lang w:val="en-CA"/>
        </w:rPr>
        <w:t xml:space="preserve"> </w:t>
      </w:r>
      <w:r w:rsidRPr="00AA6144">
        <w:rPr>
          <w:color w:val="auto"/>
          <w:lang w:val="en-CA"/>
        </w:rPr>
        <w:t>Article</w:t>
      </w:r>
      <w:r w:rsidR="00675494" w:rsidRPr="00AA6144">
        <w:rPr>
          <w:color w:val="auto"/>
          <w:lang w:val="en-CA"/>
        </w:rPr>
        <w:t>s</w:t>
      </w:r>
      <w:r w:rsidRPr="00AA6144">
        <w:rPr>
          <w:color w:val="auto"/>
          <w:lang w:val="en-CA"/>
        </w:rPr>
        <w:t xml:space="preserve"> 8(2)</w:t>
      </w:r>
      <w:r w:rsidR="00DB200C" w:rsidRPr="00AA6144">
        <w:rPr>
          <w:color w:val="auto"/>
          <w:lang w:val="en-CA"/>
        </w:rPr>
        <w:t>(</w:t>
      </w:r>
      <w:r w:rsidRPr="00AA6144">
        <w:rPr>
          <w:color w:val="auto"/>
          <w:lang w:val="en-CA"/>
        </w:rPr>
        <w:t xml:space="preserve">c) and (e) of the </w:t>
      </w:r>
      <w:r w:rsidR="005C5FF0" w:rsidRPr="00AA6144">
        <w:rPr>
          <w:color w:val="auto"/>
          <w:lang w:val="en-CA"/>
        </w:rPr>
        <w:t>Rome Statute</w:t>
      </w:r>
      <w:r w:rsidRPr="00AA6144">
        <w:rPr>
          <w:color w:val="auto"/>
          <w:lang w:val="en-CA"/>
        </w:rPr>
        <w:t>, other conventional international law</w:t>
      </w:r>
      <w:r w:rsidR="000E57C3" w:rsidRPr="00AA6144">
        <w:rPr>
          <w:color w:val="auto"/>
          <w:lang w:val="en-CA"/>
        </w:rPr>
        <w:t>,</w:t>
      </w:r>
      <w:r w:rsidRPr="00AA6144">
        <w:rPr>
          <w:color w:val="auto"/>
          <w:lang w:val="en-CA"/>
        </w:rPr>
        <w:t xml:space="preserve"> and customary international humanitarian law. </w:t>
      </w:r>
    </w:p>
    <w:p w14:paraId="48507203" w14:textId="77777777" w:rsidR="00FF5AF5" w:rsidRPr="00AA6144" w:rsidRDefault="00DB200C" w:rsidP="00B9574E">
      <w:pPr>
        <w:pStyle w:val="AIBodyText"/>
        <w:tabs>
          <w:tab w:val="left" w:pos="0"/>
          <w:tab w:val="left" w:pos="709"/>
        </w:tabs>
        <w:rPr>
          <w:b/>
          <w:i/>
          <w:color w:val="auto"/>
          <w:lang w:val="en-CA"/>
        </w:rPr>
      </w:pPr>
      <w:r w:rsidRPr="00AA6144">
        <w:rPr>
          <w:b/>
          <w:i/>
          <w:color w:val="auto"/>
          <w:lang w:val="en-CA"/>
        </w:rPr>
        <w:t xml:space="preserve">Common Article 3. </w:t>
      </w:r>
      <w:r w:rsidR="00B677A5" w:rsidRPr="00AA6144">
        <w:rPr>
          <w:color w:val="auto"/>
          <w:lang w:val="en-CA"/>
        </w:rPr>
        <w:t xml:space="preserve">Common Article 3 </w:t>
      </w:r>
      <w:r w:rsidRPr="00AA6144">
        <w:rPr>
          <w:color w:val="auto"/>
          <w:lang w:val="en-CA"/>
        </w:rPr>
        <w:t xml:space="preserve">of the Geneva Conventions </w:t>
      </w:r>
      <w:r w:rsidR="002F25E6" w:rsidRPr="00AA6144">
        <w:rPr>
          <w:color w:val="auto"/>
          <w:lang w:val="en-CA"/>
        </w:rPr>
        <w:t>provides protections for</w:t>
      </w:r>
      <w:r w:rsidR="00B677A5" w:rsidRPr="00AA6144">
        <w:rPr>
          <w:color w:val="auto"/>
          <w:lang w:val="en-CA"/>
        </w:rPr>
        <w:t xml:space="preserve"> </w:t>
      </w:r>
      <w:r w:rsidR="002F25E6" w:rsidRPr="00AA6144">
        <w:rPr>
          <w:color w:val="auto"/>
          <w:lang w:val="en-CA"/>
        </w:rPr>
        <w:t xml:space="preserve">those </w:t>
      </w:r>
      <w:r w:rsidR="00B677A5" w:rsidRPr="00AA6144">
        <w:rPr>
          <w:color w:val="auto"/>
          <w:lang w:val="en-CA"/>
        </w:rPr>
        <w:t>persons</w:t>
      </w:r>
      <w:r w:rsidRPr="00AA6144">
        <w:rPr>
          <w:color w:val="auto"/>
          <w:lang w:val="en-CA"/>
        </w:rPr>
        <w:t xml:space="preserve"> in non-international armed conflicts</w:t>
      </w:r>
      <w:r w:rsidR="00B677A5" w:rsidRPr="00AA6144">
        <w:rPr>
          <w:color w:val="auto"/>
          <w:lang w:val="en-CA"/>
        </w:rPr>
        <w:t xml:space="preserve"> not taking part in hostilities</w:t>
      </w:r>
      <w:r w:rsidR="002F25E6" w:rsidRPr="00AA6144">
        <w:rPr>
          <w:color w:val="auto"/>
          <w:lang w:val="en-CA"/>
        </w:rPr>
        <w:t>.</w:t>
      </w:r>
      <w:r w:rsidR="00B677A5" w:rsidRPr="00AA6144">
        <w:rPr>
          <w:rStyle w:val="FootnoteReference"/>
          <w:color w:val="auto"/>
          <w:lang w:val="en-CA"/>
        </w:rPr>
        <w:footnoteReference w:id="174"/>
      </w:r>
      <w:r w:rsidR="00B677A5" w:rsidRPr="00AA6144">
        <w:rPr>
          <w:color w:val="auto"/>
          <w:lang w:val="en-CA"/>
        </w:rPr>
        <w:t xml:space="preserve"> </w:t>
      </w:r>
    </w:p>
    <w:p w14:paraId="5132BCB3" w14:textId="0B7BAD20" w:rsidR="00AD1220" w:rsidRPr="00AA6144" w:rsidRDefault="00FF5AF5" w:rsidP="00356280">
      <w:pPr>
        <w:pStyle w:val="AIBodyText"/>
        <w:rPr>
          <w:color w:val="auto"/>
          <w:lang w:val="en-CA"/>
        </w:rPr>
      </w:pPr>
      <w:r w:rsidRPr="00AA6144">
        <w:rPr>
          <w:b/>
          <w:i/>
          <w:color w:val="auto"/>
          <w:lang w:val="en-CA"/>
        </w:rPr>
        <w:t xml:space="preserve">Additional Protocol II. </w:t>
      </w:r>
      <w:r w:rsidRPr="00AA6144">
        <w:rPr>
          <w:color w:val="auto"/>
          <w:lang w:val="en-CA"/>
        </w:rPr>
        <w:t xml:space="preserve">Additional </w:t>
      </w:r>
      <w:r w:rsidR="00B677A5" w:rsidRPr="00AA6144">
        <w:rPr>
          <w:color w:val="auto"/>
          <w:lang w:val="en-CA"/>
        </w:rPr>
        <w:t>Protocol II</w:t>
      </w:r>
      <w:r w:rsidRPr="00AA6144">
        <w:rPr>
          <w:color w:val="auto"/>
          <w:lang w:val="en-CA"/>
        </w:rPr>
        <w:t xml:space="preserve"> enhances the protections envisioned in Common Article 3 </w:t>
      </w:r>
      <w:r w:rsidR="00B677A5" w:rsidRPr="00AA6144">
        <w:rPr>
          <w:color w:val="auto"/>
          <w:lang w:val="en-CA"/>
        </w:rPr>
        <w:t>with respect to non-international armed conflicts</w:t>
      </w:r>
      <w:r w:rsidRPr="00AA6144">
        <w:rPr>
          <w:color w:val="auto"/>
          <w:lang w:val="en-CA"/>
        </w:rPr>
        <w:t>. Additional Protocol II applies to conflicts</w:t>
      </w:r>
      <w:r w:rsidR="00B677A5" w:rsidRPr="00AA6144">
        <w:rPr>
          <w:color w:val="auto"/>
          <w:lang w:val="en-CA"/>
        </w:rPr>
        <w:t xml:space="preserve"> which take place in the territory of a state party to the Protocol “between its armed forces and dissident armed forces or other organized armed groups which, under responsible command, exercise such control over a part of its territory as to enable them to carry out sustained and concerted military operations and to implement this Protocol</w:t>
      </w:r>
      <w:r w:rsidR="00742FDD" w:rsidRPr="00AA6144">
        <w:rPr>
          <w:color w:val="auto"/>
          <w:lang w:val="en-CA"/>
        </w:rPr>
        <w:t>.</w:t>
      </w:r>
      <w:r w:rsidR="00B677A5" w:rsidRPr="00AA6144">
        <w:rPr>
          <w:color w:val="auto"/>
          <w:lang w:val="en-CA"/>
        </w:rPr>
        <w:t>”</w:t>
      </w:r>
      <w:r w:rsidR="00B677A5" w:rsidRPr="00AA6144">
        <w:rPr>
          <w:rStyle w:val="FootnoteReference"/>
          <w:color w:val="auto"/>
          <w:lang w:val="en-CA"/>
        </w:rPr>
        <w:footnoteReference w:id="175"/>
      </w:r>
      <w:r w:rsidR="00B677A5" w:rsidRPr="00AA6144">
        <w:rPr>
          <w:color w:val="auto"/>
          <w:lang w:val="en-CA"/>
        </w:rPr>
        <w:t xml:space="preserve"> </w:t>
      </w:r>
      <w:r w:rsidR="00742FDD" w:rsidRPr="00AA6144">
        <w:rPr>
          <w:color w:val="auto"/>
          <w:lang w:val="en-CA"/>
        </w:rPr>
        <w:t xml:space="preserve">Additional Protocol II provides </w:t>
      </w:r>
      <w:r w:rsidR="00B677A5" w:rsidRPr="00AA6144">
        <w:rPr>
          <w:color w:val="auto"/>
          <w:lang w:val="en-CA"/>
        </w:rPr>
        <w:t xml:space="preserve">a broad range of protections to </w:t>
      </w:r>
      <w:r w:rsidR="00742FDD" w:rsidRPr="00AA6144">
        <w:rPr>
          <w:color w:val="auto"/>
          <w:lang w:val="en-CA"/>
        </w:rPr>
        <w:t>persons impacted and involved in non-international armed conflict.</w:t>
      </w:r>
      <w:r w:rsidR="00B677A5" w:rsidRPr="00AA6144">
        <w:rPr>
          <w:rStyle w:val="FootnoteReference"/>
          <w:color w:val="auto"/>
          <w:lang w:val="en-CA"/>
        </w:rPr>
        <w:footnoteReference w:id="176"/>
      </w:r>
      <w:r w:rsidR="00B677A5" w:rsidRPr="00AA6144">
        <w:rPr>
          <w:color w:val="auto"/>
          <w:lang w:val="en-CA"/>
        </w:rPr>
        <w:t xml:space="preserve">  </w:t>
      </w:r>
      <w:r w:rsidR="00742FDD" w:rsidRPr="00AA6144">
        <w:rPr>
          <w:color w:val="auto"/>
          <w:lang w:val="en-CA"/>
        </w:rPr>
        <w:t xml:space="preserve">The </w:t>
      </w:r>
      <w:r w:rsidR="005C5FF0" w:rsidRPr="00AA6144">
        <w:rPr>
          <w:color w:val="auto"/>
          <w:lang w:val="en-CA"/>
        </w:rPr>
        <w:t>Rome Statute</w:t>
      </w:r>
      <w:r w:rsidR="00742FDD" w:rsidRPr="00AA6144">
        <w:rPr>
          <w:i/>
          <w:color w:val="auto"/>
          <w:lang w:val="en-CA"/>
        </w:rPr>
        <w:t xml:space="preserve"> </w:t>
      </w:r>
      <w:r w:rsidR="00742FDD" w:rsidRPr="00AA6144">
        <w:rPr>
          <w:color w:val="auto"/>
          <w:lang w:val="en-CA"/>
        </w:rPr>
        <w:t xml:space="preserve">has codified the war crimes that occur in the context of a non-international armed conflict. </w:t>
      </w:r>
      <w:r w:rsidR="00B677A5" w:rsidRPr="00AA6144">
        <w:rPr>
          <w:color w:val="auto"/>
          <w:lang w:val="en-CA"/>
        </w:rPr>
        <w:t xml:space="preserve">Article 8(2)(c) of the </w:t>
      </w:r>
      <w:r w:rsidR="005C5FF0" w:rsidRPr="00AA6144">
        <w:rPr>
          <w:color w:val="auto"/>
          <w:lang w:val="en-CA"/>
        </w:rPr>
        <w:t>Rome Statute</w:t>
      </w:r>
      <w:r w:rsidR="00B677A5" w:rsidRPr="00AA6144">
        <w:rPr>
          <w:color w:val="auto"/>
          <w:lang w:val="en-CA"/>
        </w:rPr>
        <w:t xml:space="preserve"> includes most of the war crimes in </w:t>
      </w:r>
      <w:r w:rsidR="00742FDD" w:rsidRPr="00AA6144">
        <w:rPr>
          <w:color w:val="auto"/>
          <w:lang w:val="en-CA"/>
        </w:rPr>
        <w:t>C</w:t>
      </w:r>
      <w:r w:rsidR="00B677A5" w:rsidRPr="00AA6144">
        <w:rPr>
          <w:color w:val="auto"/>
          <w:lang w:val="en-CA"/>
        </w:rPr>
        <w:t>ommon Article 3</w:t>
      </w:r>
      <w:r w:rsidR="000E57C3" w:rsidRPr="00AA6144">
        <w:rPr>
          <w:color w:val="auto"/>
          <w:lang w:val="en-CA"/>
        </w:rPr>
        <w:t>,</w:t>
      </w:r>
      <w:r w:rsidR="00B677A5" w:rsidRPr="00AA6144">
        <w:rPr>
          <w:color w:val="auto"/>
          <w:lang w:val="en-CA"/>
        </w:rPr>
        <w:t xml:space="preserve"> and Article 8(2)(</w:t>
      </w:r>
      <w:r w:rsidR="00B358B4" w:rsidRPr="00AA6144">
        <w:rPr>
          <w:color w:val="auto"/>
          <w:lang w:val="en-CA"/>
        </w:rPr>
        <w:t>e</w:t>
      </w:r>
      <w:r w:rsidR="00B677A5" w:rsidRPr="00AA6144">
        <w:rPr>
          <w:color w:val="auto"/>
          <w:lang w:val="en-CA"/>
        </w:rPr>
        <w:t>) contains an extensive,</w:t>
      </w:r>
      <w:r w:rsidR="00742FDD" w:rsidRPr="00AA6144">
        <w:rPr>
          <w:color w:val="auto"/>
          <w:lang w:val="en-CA"/>
        </w:rPr>
        <w:t xml:space="preserve"> though not complete,</w:t>
      </w:r>
      <w:r w:rsidR="00B677A5" w:rsidRPr="00AA6144">
        <w:rPr>
          <w:color w:val="auto"/>
          <w:lang w:val="en-CA"/>
        </w:rPr>
        <w:t xml:space="preserve"> list of war crimes in non-international armed conflict</w:t>
      </w:r>
      <w:r w:rsidR="000E57C3" w:rsidRPr="00AA6144">
        <w:rPr>
          <w:color w:val="auto"/>
          <w:lang w:val="en-CA"/>
        </w:rPr>
        <w:t>s</w:t>
      </w:r>
      <w:r w:rsidR="00B677A5" w:rsidRPr="00AA6144">
        <w:rPr>
          <w:color w:val="auto"/>
          <w:lang w:val="en-CA"/>
        </w:rPr>
        <w:t>.</w:t>
      </w:r>
      <w:r w:rsidR="00B677A5" w:rsidRPr="00AA6144">
        <w:rPr>
          <w:rStyle w:val="FootnoteReference"/>
          <w:color w:val="auto"/>
          <w:lang w:val="en-CA"/>
        </w:rPr>
        <w:footnoteReference w:id="177"/>
      </w:r>
      <w:r w:rsidR="00B677A5" w:rsidRPr="00AA6144">
        <w:rPr>
          <w:color w:val="auto"/>
          <w:lang w:val="en-CA"/>
        </w:rPr>
        <w:t xml:space="preserve"> </w:t>
      </w:r>
    </w:p>
    <w:p w14:paraId="227DF02D" w14:textId="77777777" w:rsidR="00670A21" w:rsidRPr="00AA6144" w:rsidRDefault="005C5FF0" w:rsidP="005D4819">
      <w:pPr>
        <w:pStyle w:val="AIBodyText"/>
        <w:rPr>
          <w:color w:val="auto"/>
          <w:lang w:val="en-CA"/>
        </w:rPr>
      </w:pPr>
      <w:r w:rsidRPr="00AA6144">
        <w:rPr>
          <w:b/>
          <w:color w:val="auto"/>
          <w:lang w:val="en-CA"/>
        </w:rPr>
        <w:t>Rome Statute</w:t>
      </w:r>
      <w:r w:rsidR="00670A21" w:rsidRPr="00AA6144">
        <w:rPr>
          <w:b/>
          <w:i/>
          <w:color w:val="auto"/>
          <w:lang w:val="en-CA"/>
        </w:rPr>
        <w:t>.</w:t>
      </w:r>
      <w:r w:rsidR="00670A21" w:rsidRPr="00AA6144">
        <w:rPr>
          <w:color w:val="auto"/>
          <w:lang w:val="en-CA"/>
        </w:rPr>
        <w:t xml:space="preserve"> </w:t>
      </w:r>
      <w:r w:rsidR="00E800B8" w:rsidRPr="00AA6144">
        <w:rPr>
          <w:color w:val="auto"/>
          <w:lang w:val="en-CA"/>
        </w:rPr>
        <w:t>Canada has defined</w:t>
      </w:r>
      <w:r w:rsidR="007B74DD" w:rsidRPr="00AA6144">
        <w:rPr>
          <w:color w:val="auto"/>
          <w:lang w:val="en-CA"/>
        </w:rPr>
        <w:t xml:space="preserve"> and implemented</w:t>
      </w:r>
      <w:r w:rsidR="00E800B8" w:rsidRPr="00AA6144">
        <w:rPr>
          <w:color w:val="auto"/>
          <w:lang w:val="en-CA"/>
        </w:rPr>
        <w:t xml:space="preserve"> </w:t>
      </w:r>
      <w:proofErr w:type="gramStart"/>
      <w:r w:rsidR="00E800B8" w:rsidRPr="00AA6144">
        <w:rPr>
          <w:color w:val="auto"/>
          <w:lang w:val="en-CA"/>
        </w:rPr>
        <w:t>all of</w:t>
      </w:r>
      <w:proofErr w:type="gramEnd"/>
      <w:r w:rsidR="00E800B8" w:rsidRPr="00AA6144">
        <w:rPr>
          <w:color w:val="auto"/>
          <w:lang w:val="en-CA"/>
        </w:rPr>
        <w:t xml:space="preserve"> the war crimes listed in Article 8(2)(b) as crimes </w:t>
      </w:r>
      <w:r w:rsidR="000E57C3" w:rsidRPr="00AA6144">
        <w:rPr>
          <w:color w:val="auto"/>
          <w:lang w:val="en-CA"/>
        </w:rPr>
        <w:t xml:space="preserve">under </w:t>
      </w:r>
      <w:r w:rsidR="00E800B8" w:rsidRPr="00AA6144">
        <w:rPr>
          <w:color w:val="auto"/>
          <w:lang w:val="en-CA"/>
        </w:rPr>
        <w:t xml:space="preserve">national law, </w:t>
      </w:r>
      <w:r w:rsidR="007B74DD" w:rsidRPr="00AA6144">
        <w:rPr>
          <w:color w:val="auto"/>
          <w:lang w:val="en-CA"/>
        </w:rPr>
        <w:t xml:space="preserve">in </w:t>
      </w:r>
      <w:r w:rsidR="00E800B8" w:rsidRPr="00AA6144">
        <w:rPr>
          <w:color w:val="auto"/>
          <w:lang w:val="en-CA"/>
        </w:rPr>
        <w:t>section</w:t>
      </w:r>
      <w:r w:rsidR="007B74DD" w:rsidRPr="00AA6144">
        <w:rPr>
          <w:color w:val="auto"/>
          <w:lang w:val="en-CA"/>
        </w:rPr>
        <w:t>s</w:t>
      </w:r>
      <w:r w:rsidR="00E800B8" w:rsidRPr="00AA6144">
        <w:rPr>
          <w:color w:val="auto"/>
          <w:lang w:val="en-CA"/>
        </w:rPr>
        <w:t xml:space="preserve"> 4(4) and 6(4) of the </w:t>
      </w:r>
      <w:r w:rsidR="00E800B8" w:rsidRPr="00AA6144">
        <w:rPr>
          <w:i/>
          <w:iCs/>
          <w:color w:val="auto"/>
          <w:lang w:val="en-CA"/>
        </w:rPr>
        <w:t>Crimes Against Humanity and War Crimes Act</w:t>
      </w:r>
      <w:r w:rsidR="00E800B8" w:rsidRPr="00AA6144">
        <w:rPr>
          <w:color w:val="auto"/>
          <w:lang w:val="en-CA"/>
        </w:rPr>
        <w:t>. Canada has expressly authorized its courts to exercise universal jurisdiction over these crimes</w:t>
      </w:r>
      <w:r w:rsidR="00741DC8" w:rsidRPr="00AA6144">
        <w:rPr>
          <w:color w:val="auto"/>
          <w:lang w:val="en-CA"/>
        </w:rPr>
        <w:t>.</w:t>
      </w:r>
      <w:r w:rsidR="00741DC8" w:rsidRPr="00AA6144">
        <w:rPr>
          <w:rStyle w:val="FootnoteReference"/>
          <w:color w:val="auto"/>
          <w:lang w:val="en-CA"/>
        </w:rPr>
        <w:footnoteReference w:id="178"/>
      </w:r>
    </w:p>
    <w:p w14:paraId="5473BD52" w14:textId="77777777" w:rsidR="009A0ED7" w:rsidRPr="00AA6144" w:rsidRDefault="00AD1220" w:rsidP="00356280">
      <w:pPr>
        <w:pStyle w:val="AIBodyText"/>
        <w:rPr>
          <w:color w:val="auto"/>
          <w:lang w:val="en-CA"/>
        </w:rPr>
      </w:pPr>
      <w:r w:rsidRPr="00AA6144">
        <w:rPr>
          <w:color w:val="auto"/>
          <w:lang w:val="en-CA"/>
        </w:rPr>
        <w:t xml:space="preserve">Although serious violations of </w:t>
      </w:r>
      <w:r w:rsidR="007B74DD" w:rsidRPr="00AA6144">
        <w:rPr>
          <w:color w:val="auto"/>
          <w:lang w:val="en-CA"/>
        </w:rPr>
        <w:t xml:space="preserve">Additional </w:t>
      </w:r>
      <w:r w:rsidRPr="00AA6144">
        <w:rPr>
          <w:color w:val="auto"/>
          <w:lang w:val="en-CA"/>
        </w:rPr>
        <w:t>Protocol II are listed as war crimes in the Statute of the International Criminal Tribunal for Rwanda, many of them are not expressly included in Article 8</w:t>
      </w:r>
      <w:r w:rsidR="003924F7" w:rsidRPr="00AA6144">
        <w:rPr>
          <w:color w:val="auto"/>
          <w:lang w:val="en-CA"/>
        </w:rPr>
        <w:t>(</w:t>
      </w:r>
      <w:r w:rsidR="00F12FEC" w:rsidRPr="00AA6144">
        <w:rPr>
          <w:color w:val="auto"/>
          <w:lang w:val="en-CA"/>
        </w:rPr>
        <w:t>2)</w:t>
      </w:r>
      <w:r w:rsidR="0087468B" w:rsidRPr="00AA6144">
        <w:rPr>
          <w:color w:val="auto"/>
          <w:lang w:val="en-CA"/>
        </w:rPr>
        <w:t xml:space="preserve">(e) </w:t>
      </w:r>
      <w:r w:rsidRPr="00AA6144">
        <w:rPr>
          <w:color w:val="auto"/>
          <w:lang w:val="en-CA"/>
        </w:rPr>
        <w:t xml:space="preserve">of the </w:t>
      </w:r>
      <w:r w:rsidR="005C5FF0" w:rsidRPr="00AA6144">
        <w:rPr>
          <w:color w:val="auto"/>
          <w:lang w:val="en-CA"/>
        </w:rPr>
        <w:t>Rome Statute</w:t>
      </w:r>
      <w:r w:rsidRPr="00AA6144">
        <w:rPr>
          <w:color w:val="auto"/>
          <w:lang w:val="en-CA"/>
        </w:rPr>
        <w:t xml:space="preserve">. For example, intentionally starving the civilian population (Article 14 of </w:t>
      </w:r>
      <w:r w:rsidR="003924F7" w:rsidRPr="00AA6144">
        <w:rPr>
          <w:color w:val="auto"/>
          <w:lang w:val="en-CA"/>
        </w:rPr>
        <w:t xml:space="preserve">Additional </w:t>
      </w:r>
      <w:r w:rsidRPr="00AA6144">
        <w:rPr>
          <w:color w:val="auto"/>
          <w:lang w:val="en-CA"/>
        </w:rPr>
        <w:t>Protocol II</w:t>
      </w:r>
      <w:r w:rsidR="003924F7" w:rsidRPr="00AA6144">
        <w:rPr>
          <w:color w:val="auto"/>
          <w:lang w:val="en-CA"/>
        </w:rPr>
        <w:t xml:space="preserve">) </w:t>
      </w:r>
      <w:r w:rsidRPr="00AA6144">
        <w:rPr>
          <w:color w:val="auto"/>
          <w:lang w:val="en-CA"/>
        </w:rPr>
        <w:t>is omitted.</w:t>
      </w:r>
      <w:r w:rsidRPr="00AA6144">
        <w:rPr>
          <w:rStyle w:val="FootnoteReference"/>
          <w:color w:val="auto"/>
          <w:lang w:val="en-CA"/>
        </w:rPr>
        <w:footnoteReference w:id="179"/>
      </w:r>
      <w:r w:rsidRPr="00AA6144">
        <w:rPr>
          <w:color w:val="auto"/>
          <w:lang w:val="en-CA"/>
        </w:rPr>
        <w:t xml:space="preserve"> </w:t>
      </w:r>
    </w:p>
    <w:p w14:paraId="7732DDDC" w14:textId="6F14065E" w:rsidR="009A0ED7" w:rsidRPr="00AA6144" w:rsidRDefault="00C1491A" w:rsidP="005D4819">
      <w:pPr>
        <w:pStyle w:val="AIBodyText"/>
        <w:rPr>
          <w:color w:val="auto"/>
          <w:lang w:val="en-CA"/>
        </w:rPr>
      </w:pPr>
      <w:r w:rsidRPr="00AA6144">
        <w:rPr>
          <w:b/>
          <w:i/>
          <w:color w:val="auto"/>
          <w:lang w:val="en-CA"/>
        </w:rPr>
        <w:t>Other international humanitarian law treaties.</w:t>
      </w:r>
      <w:r w:rsidRPr="00AA6144">
        <w:rPr>
          <w:color w:val="auto"/>
          <w:lang w:val="en-CA"/>
        </w:rPr>
        <w:t xml:space="preserve"> </w:t>
      </w:r>
      <w:r w:rsidR="00AD1220" w:rsidRPr="00AA6144">
        <w:rPr>
          <w:color w:val="auto"/>
          <w:lang w:val="en-CA"/>
        </w:rPr>
        <w:t xml:space="preserve">In addition, there are a number of international humanitarian law treaties applicable during non-national armed conflict imposing obligations </w:t>
      </w:r>
      <w:r w:rsidR="005C7FC2" w:rsidRPr="00AA6144">
        <w:rPr>
          <w:color w:val="auto"/>
          <w:lang w:val="en-CA"/>
        </w:rPr>
        <w:t>that</w:t>
      </w:r>
      <w:r w:rsidR="00AD1220" w:rsidRPr="00AA6144">
        <w:rPr>
          <w:color w:val="auto"/>
          <w:lang w:val="en-CA"/>
        </w:rPr>
        <w:t xml:space="preserve">, if violated, possibly may result in individual criminal responsibility, either under the </w:t>
      </w:r>
      <w:r w:rsidR="005B117C" w:rsidRPr="00AA6144">
        <w:rPr>
          <w:color w:val="auto"/>
          <w:lang w:val="en-CA"/>
        </w:rPr>
        <w:t xml:space="preserve">treaties </w:t>
      </w:r>
      <w:r w:rsidR="00AD1220" w:rsidRPr="00AA6144">
        <w:rPr>
          <w:color w:val="auto"/>
          <w:lang w:val="en-CA"/>
        </w:rPr>
        <w:t>or because the prohibitions are recognized as part of customary international law.</w:t>
      </w:r>
      <w:r w:rsidR="00CB7B9F" w:rsidRPr="00AA6144">
        <w:rPr>
          <w:color w:val="auto"/>
          <w:lang w:val="en-CA"/>
        </w:rPr>
        <w:t xml:space="preserve"> </w:t>
      </w:r>
      <w:r w:rsidR="00CB7B9F" w:rsidRPr="00AA6144">
        <w:rPr>
          <w:lang w:val="en-CA"/>
        </w:rPr>
        <w:t>T</w:t>
      </w:r>
      <w:r w:rsidR="00670A21" w:rsidRPr="00AA6144">
        <w:rPr>
          <w:color w:val="auto"/>
          <w:lang w:val="en-CA"/>
        </w:rPr>
        <w:t xml:space="preserve">here </w:t>
      </w:r>
      <w:r w:rsidR="009623E7" w:rsidRPr="00AA6144">
        <w:rPr>
          <w:color w:val="auto"/>
          <w:lang w:val="en-CA"/>
        </w:rPr>
        <w:t xml:space="preserve">are </w:t>
      </w:r>
      <w:r w:rsidR="00670A21" w:rsidRPr="00AA6144">
        <w:rPr>
          <w:color w:val="auto"/>
          <w:lang w:val="en-CA"/>
        </w:rPr>
        <w:t>also numerous rules of customary international humanitarian law</w:t>
      </w:r>
      <w:r w:rsidR="005C7FC2" w:rsidRPr="00AA6144">
        <w:rPr>
          <w:color w:val="auto"/>
          <w:lang w:val="en-CA"/>
        </w:rPr>
        <w:t xml:space="preserve"> applicable in non-international armed conflict that, if violated, would result in individual criminal responsibility. </w:t>
      </w:r>
      <w:r w:rsidR="00881DFE" w:rsidRPr="00AA6144">
        <w:rPr>
          <w:color w:val="auto"/>
          <w:lang w:val="en-CA"/>
        </w:rPr>
        <w:t xml:space="preserve">These rules are not without limits, however. </w:t>
      </w:r>
      <w:r w:rsidR="00881DFE" w:rsidRPr="00AA6144">
        <w:rPr>
          <w:lang w:val="en-CA"/>
        </w:rPr>
        <w:t xml:space="preserve">The notion of war crimes in non-international armed conflicts was only first recognized by the International Criminal Tribunal for the former Yugoslavia Appeals Chamber in the </w:t>
      </w:r>
      <w:r w:rsidR="00881DFE" w:rsidRPr="00AA6144">
        <w:rPr>
          <w:i/>
          <w:lang w:val="en-CA"/>
        </w:rPr>
        <w:t>Tadic</w:t>
      </w:r>
      <w:r w:rsidR="00881DFE" w:rsidRPr="00AA6144">
        <w:rPr>
          <w:lang w:val="en-CA"/>
        </w:rPr>
        <w:t xml:space="preserve"> case in </w:t>
      </w:r>
      <w:proofErr w:type="gramStart"/>
      <w:r w:rsidR="00881DFE" w:rsidRPr="00AA6144">
        <w:rPr>
          <w:lang w:val="en-CA"/>
        </w:rPr>
        <w:t>1995, and</w:t>
      </w:r>
      <w:proofErr w:type="gramEnd"/>
      <w:r w:rsidR="00881DFE" w:rsidRPr="00AA6144">
        <w:rPr>
          <w:lang w:val="en-CA"/>
        </w:rPr>
        <w:t xml:space="preserve"> applied </w:t>
      </w:r>
      <w:r w:rsidR="00796DF5" w:rsidRPr="00AA6144">
        <w:rPr>
          <w:lang w:val="en-CA"/>
        </w:rPr>
        <w:t xml:space="preserve">only </w:t>
      </w:r>
      <w:r w:rsidR="00881DFE" w:rsidRPr="00AA6144">
        <w:rPr>
          <w:lang w:val="en-CA"/>
        </w:rPr>
        <w:t>to situations occurring after 1990.</w:t>
      </w:r>
      <w:r w:rsidR="00881DFE" w:rsidRPr="00AA6144">
        <w:rPr>
          <w:rStyle w:val="FootnoteReference"/>
          <w:lang w:val="en-CA"/>
        </w:rPr>
        <w:footnoteReference w:id="180"/>
      </w:r>
    </w:p>
    <w:p w14:paraId="7576306A" w14:textId="77777777" w:rsidR="00056F6C" w:rsidRPr="00AA6144" w:rsidRDefault="00056F6C" w:rsidP="00056F6C">
      <w:pPr>
        <w:pStyle w:val="AIBodyText"/>
        <w:rPr>
          <w:color w:val="auto"/>
          <w:lang w:val="en-CA"/>
        </w:rPr>
      </w:pPr>
      <w:r w:rsidRPr="00AA6144">
        <w:rPr>
          <w:color w:val="auto"/>
          <w:lang w:val="en-CA"/>
        </w:rPr>
        <w:t xml:space="preserve">As Chart V indicates, Canada has defined violations of these treaties as war crimes under national law, given that the </w:t>
      </w:r>
      <w:r w:rsidRPr="00AA6144">
        <w:rPr>
          <w:i/>
          <w:iCs/>
          <w:color w:val="auto"/>
          <w:lang w:val="en-CA"/>
        </w:rPr>
        <w:t>Crimes Against Humanity and War Crimes Act</w:t>
      </w:r>
      <w:r w:rsidRPr="00AA6144">
        <w:rPr>
          <w:bCs/>
          <w:color w:val="auto"/>
          <w:lang w:val="en-CA"/>
        </w:rPr>
        <w:t xml:space="preserve"> “avoids any distinction as to the type of armed conflict and refers to acts or omissions committed during “an armed conflict” that constitutes war crimes according to international law applicable to “armed conflicts”.</w:t>
      </w:r>
      <w:r w:rsidRPr="00AA6144">
        <w:rPr>
          <w:bCs/>
          <w:color w:val="auto"/>
          <w:vertAlign w:val="superscript"/>
          <w:lang w:val="en-CA"/>
        </w:rPr>
        <w:footnoteReference w:id="181"/>
      </w:r>
      <w:r w:rsidRPr="00AA6144">
        <w:rPr>
          <w:color w:val="auto"/>
          <w:lang w:val="en-CA"/>
        </w:rPr>
        <w:t xml:space="preserve"> Therefore, if it can be established that a certain violation of international humanitarian law attracted criminal liability under either conventional or customary law at the time (and, in cases of treaties, place) of the commission of the crime, it can be prosecuted in Canada. </w:t>
      </w:r>
      <w:r w:rsidR="00823B47" w:rsidRPr="00AA6144">
        <w:rPr>
          <w:color w:val="auto"/>
          <w:lang w:val="en-CA"/>
        </w:rPr>
        <w:t>The chart</w:t>
      </w:r>
      <w:r w:rsidRPr="00AA6144">
        <w:rPr>
          <w:color w:val="auto"/>
          <w:lang w:val="en-CA"/>
        </w:rPr>
        <w:t xml:space="preserve"> also indicates that Canada has authorized its courts, through the same </w:t>
      </w:r>
      <w:r w:rsidRPr="00AA6144">
        <w:rPr>
          <w:i/>
          <w:iCs/>
          <w:color w:val="auto"/>
          <w:lang w:val="en-CA"/>
        </w:rPr>
        <w:t>Act</w:t>
      </w:r>
      <w:r w:rsidRPr="00AA6144">
        <w:rPr>
          <w:color w:val="auto"/>
          <w:lang w:val="en-CA"/>
        </w:rPr>
        <w:t xml:space="preserve">, to exercise universal jurisdiction over </w:t>
      </w:r>
      <w:r w:rsidR="00962595" w:rsidRPr="00AA6144">
        <w:rPr>
          <w:color w:val="auto"/>
          <w:lang w:val="en-CA"/>
        </w:rPr>
        <w:t>these crimes</w:t>
      </w:r>
      <w:r w:rsidRPr="00AA6144">
        <w:rPr>
          <w:color w:val="auto"/>
          <w:lang w:val="en-CA"/>
        </w:rPr>
        <w:t>.</w:t>
      </w:r>
    </w:p>
    <w:p w14:paraId="522C3723" w14:textId="77777777" w:rsidR="001E3D97" w:rsidRPr="00AA6144" w:rsidRDefault="001E3D97" w:rsidP="001E3D97">
      <w:pPr>
        <w:pStyle w:val="AIBodyText"/>
        <w:rPr>
          <w:color w:val="auto"/>
          <w:lang w:val="en-CA"/>
        </w:rPr>
      </w:pP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1359"/>
        <w:gridCol w:w="1279"/>
        <w:gridCol w:w="1292"/>
        <w:gridCol w:w="1400"/>
        <w:gridCol w:w="2336"/>
      </w:tblGrid>
      <w:tr w:rsidR="00056F6C" w:rsidRPr="00AA6144" w14:paraId="524683E1" w14:textId="77777777">
        <w:trPr>
          <w:tblHeader/>
        </w:trPr>
        <w:tc>
          <w:tcPr>
            <w:tcW w:w="8858" w:type="dxa"/>
            <w:gridSpan w:val="6"/>
            <w:shd w:val="clear" w:color="auto" w:fill="000000"/>
          </w:tcPr>
          <w:p w14:paraId="054C1176" w14:textId="77777777" w:rsidR="00056F6C" w:rsidRPr="00AA6144" w:rsidRDefault="00056F6C" w:rsidP="00056F6C">
            <w:pPr>
              <w:pStyle w:val="AIBodyText"/>
              <w:rPr>
                <w:b/>
                <w:color w:val="auto"/>
                <w:lang w:val="en-CA"/>
              </w:rPr>
            </w:pPr>
            <w:r w:rsidRPr="00AA6144">
              <w:rPr>
                <w:b/>
                <w:color w:val="auto"/>
                <w:lang w:val="en-CA"/>
              </w:rPr>
              <w:t>CHART V. INTERNATIONAL HUMANITARIAN LAW TREATIES APPLICABLE DURING NON-INTERNATIONAL ARMED CONFLICT IMPOSING OBLIGATIONS WHICH, IF VIOLATED, POSSIBLY MAY RESULT IN INDIVIDUAL CRIMINAL RESPONSIBILITY, EITHER UNDER THE CONVENTIONS OR BECAUSE THE PROHIBITIONS ARE RECOGNIZED AS PART OF CUSTOMARY INTERNATIONAL LAW</w:t>
            </w:r>
          </w:p>
        </w:tc>
      </w:tr>
      <w:tr w:rsidR="00056F6C" w:rsidRPr="00AA6144" w14:paraId="4797BE64" w14:textId="77777777">
        <w:trPr>
          <w:tblHeader/>
        </w:trPr>
        <w:tc>
          <w:tcPr>
            <w:tcW w:w="1192" w:type="dxa"/>
          </w:tcPr>
          <w:p w14:paraId="763E286D" w14:textId="77777777" w:rsidR="00056F6C" w:rsidRPr="00AA6144" w:rsidRDefault="00056F6C" w:rsidP="00056F6C">
            <w:pPr>
              <w:pStyle w:val="AIBodyText"/>
              <w:rPr>
                <w:b/>
                <w:color w:val="auto"/>
                <w:szCs w:val="18"/>
                <w:lang w:val="en-CA"/>
              </w:rPr>
            </w:pPr>
            <w:r w:rsidRPr="00AA6144">
              <w:rPr>
                <w:b/>
                <w:color w:val="auto"/>
                <w:szCs w:val="18"/>
                <w:lang w:val="en-CA"/>
              </w:rPr>
              <w:t>Crime</w:t>
            </w:r>
          </w:p>
        </w:tc>
        <w:tc>
          <w:tcPr>
            <w:tcW w:w="1359" w:type="dxa"/>
          </w:tcPr>
          <w:p w14:paraId="49A1C7B2" w14:textId="77777777" w:rsidR="00056F6C" w:rsidRPr="00AA6144" w:rsidRDefault="00056F6C" w:rsidP="00056F6C">
            <w:pPr>
              <w:pStyle w:val="AIBodyText"/>
              <w:rPr>
                <w:b/>
                <w:color w:val="auto"/>
                <w:szCs w:val="18"/>
                <w:lang w:val="en-CA"/>
              </w:rPr>
            </w:pPr>
            <w:r w:rsidRPr="00AA6144">
              <w:rPr>
                <w:b/>
                <w:color w:val="auto"/>
                <w:szCs w:val="18"/>
                <w:lang w:val="en-CA"/>
              </w:rPr>
              <w:t>Treaty</w:t>
            </w:r>
          </w:p>
        </w:tc>
        <w:tc>
          <w:tcPr>
            <w:tcW w:w="1279" w:type="dxa"/>
          </w:tcPr>
          <w:p w14:paraId="5E76D94B" w14:textId="77777777" w:rsidR="00056F6C" w:rsidRPr="00AA6144" w:rsidRDefault="00056F6C" w:rsidP="00056F6C">
            <w:pPr>
              <w:pStyle w:val="AIBodyText"/>
              <w:rPr>
                <w:b/>
                <w:color w:val="auto"/>
                <w:szCs w:val="18"/>
                <w:lang w:val="en-CA"/>
              </w:rPr>
            </w:pPr>
            <w:r w:rsidRPr="00AA6144">
              <w:rPr>
                <w:b/>
                <w:color w:val="auto"/>
                <w:szCs w:val="18"/>
                <w:lang w:val="en-CA"/>
              </w:rPr>
              <w:t>Signed</w:t>
            </w:r>
          </w:p>
        </w:tc>
        <w:tc>
          <w:tcPr>
            <w:tcW w:w="1292" w:type="dxa"/>
          </w:tcPr>
          <w:p w14:paraId="107B0617" w14:textId="77777777" w:rsidR="00056F6C" w:rsidRPr="00AA6144" w:rsidRDefault="00056F6C" w:rsidP="00056F6C">
            <w:pPr>
              <w:pStyle w:val="AIBodyText"/>
              <w:rPr>
                <w:b/>
                <w:color w:val="auto"/>
                <w:szCs w:val="18"/>
                <w:lang w:val="en-CA"/>
              </w:rPr>
            </w:pPr>
            <w:r w:rsidRPr="00AA6144">
              <w:rPr>
                <w:b/>
                <w:color w:val="auto"/>
                <w:szCs w:val="18"/>
                <w:lang w:val="en-CA"/>
              </w:rPr>
              <w:t>Ratified or acceded</w:t>
            </w:r>
          </w:p>
        </w:tc>
        <w:tc>
          <w:tcPr>
            <w:tcW w:w="1400" w:type="dxa"/>
          </w:tcPr>
          <w:p w14:paraId="5AA54CC9" w14:textId="77777777" w:rsidR="00056F6C" w:rsidRPr="00AA6144" w:rsidRDefault="00056F6C" w:rsidP="00056F6C">
            <w:pPr>
              <w:pStyle w:val="AIBodyText"/>
              <w:rPr>
                <w:b/>
                <w:color w:val="auto"/>
                <w:szCs w:val="18"/>
                <w:lang w:val="en-CA"/>
              </w:rPr>
            </w:pPr>
            <w:r w:rsidRPr="00AA6144">
              <w:rPr>
                <w:b/>
                <w:color w:val="auto"/>
                <w:szCs w:val="18"/>
                <w:lang w:val="en-CA"/>
              </w:rPr>
              <w:t xml:space="preserve">Definition in national law </w:t>
            </w:r>
            <w:r w:rsidRPr="00AA6144">
              <w:rPr>
                <w:color w:val="auto"/>
                <w:szCs w:val="18"/>
                <w:lang w:val="en-CA"/>
              </w:rPr>
              <w:t>(citation to any relevant provision)</w:t>
            </w:r>
          </w:p>
        </w:tc>
        <w:tc>
          <w:tcPr>
            <w:tcW w:w="2336" w:type="dxa"/>
          </w:tcPr>
          <w:p w14:paraId="127FB036" w14:textId="77777777" w:rsidR="00056F6C" w:rsidRPr="00AA6144" w:rsidRDefault="00056F6C" w:rsidP="00056F6C">
            <w:pPr>
              <w:pStyle w:val="AIBodyText"/>
              <w:rPr>
                <w:b/>
                <w:color w:val="auto"/>
                <w:szCs w:val="18"/>
                <w:lang w:val="en-CA"/>
              </w:rPr>
            </w:pPr>
            <w:r w:rsidRPr="00AA6144">
              <w:rPr>
                <w:b/>
                <w:color w:val="auto"/>
                <w:szCs w:val="18"/>
                <w:lang w:val="en-CA"/>
              </w:rPr>
              <w:t xml:space="preserve">Universal jurisdiction </w:t>
            </w:r>
            <w:r w:rsidRPr="00AA6144">
              <w:rPr>
                <w:color w:val="auto"/>
                <w:szCs w:val="18"/>
                <w:lang w:val="en-CA"/>
              </w:rPr>
              <w:t>(citation to any relevant provision)</w:t>
            </w:r>
          </w:p>
        </w:tc>
      </w:tr>
      <w:tr w:rsidR="00056F6C" w:rsidRPr="00AA6144" w14:paraId="56D666BB" w14:textId="77777777">
        <w:tc>
          <w:tcPr>
            <w:tcW w:w="1192" w:type="dxa"/>
          </w:tcPr>
          <w:p w14:paraId="236FD3B4" w14:textId="77777777" w:rsidR="00056F6C" w:rsidRPr="00AA6144" w:rsidRDefault="00056F6C" w:rsidP="00056F6C">
            <w:pPr>
              <w:pStyle w:val="AIBodyText"/>
              <w:rPr>
                <w:color w:val="auto"/>
                <w:szCs w:val="18"/>
                <w:lang w:val="en-CA"/>
              </w:rPr>
            </w:pPr>
            <w:r w:rsidRPr="00AA6144">
              <w:rPr>
                <w:color w:val="auto"/>
                <w:szCs w:val="18"/>
                <w:lang w:val="en-CA"/>
              </w:rPr>
              <w:t>Harm to protected cultural property</w:t>
            </w:r>
          </w:p>
        </w:tc>
        <w:tc>
          <w:tcPr>
            <w:tcW w:w="1359" w:type="dxa"/>
          </w:tcPr>
          <w:p w14:paraId="14195DE9" w14:textId="77777777" w:rsidR="00056F6C" w:rsidRPr="00AA6144" w:rsidRDefault="00056F6C" w:rsidP="00056F6C">
            <w:pPr>
              <w:pStyle w:val="AIBodyText"/>
              <w:rPr>
                <w:color w:val="auto"/>
                <w:szCs w:val="18"/>
                <w:lang w:val="en-CA"/>
              </w:rPr>
            </w:pPr>
            <w:r w:rsidRPr="00AA6144">
              <w:rPr>
                <w:color w:val="auto"/>
                <w:szCs w:val="18"/>
                <w:lang w:val="en-CA"/>
              </w:rPr>
              <w:t>1954 CCP and Hague Prot. 1954</w:t>
            </w:r>
            <w:r w:rsidRPr="00AA6144">
              <w:rPr>
                <w:color w:val="auto"/>
                <w:szCs w:val="18"/>
                <w:vertAlign w:val="superscript"/>
                <w:lang w:val="en-CA"/>
              </w:rPr>
              <w:footnoteReference w:id="182"/>
            </w:r>
          </w:p>
        </w:tc>
        <w:tc>
          <w:tcPr>
            <w:tcW w:w="1279" w:type="dxa"/>
          </w:tcPr>
          <w:p w14:paraId="2C346BFE" w14:textId="77777777" w:rsidR="00056F6C" w:rsidRPr="00AA6144" w:rsidRDefault="00056F6C" w:rsidP="00056F6C">
            <w:pPr>
              <w:pStyle w:val="AIBodyText"/>
              <w:rPr>
                <w:color w:val="auto"/>
                <w:szCs w:val="18"/>
                <w:lang w:val="en-CA"/>
              </w:rPr>
            </w:pPr>
            <w:r w:rsidRPr="00AA6144">
              <w:rPr>
                <w:color w:val="auto"/>
                <w:szCs w:val="18"/>
                <w:lang w:val="en-CA"/>
              </w:rPr>
              <w:t xml:space="preserve">December 11, 1998 (consent to be bound) </w:t>
            </w:r>
          </w:p>
        </w:tc>
        <w:tc>
          <w:tcPr>
            <w:tcW w:w="1292" w:type="dxa"/>
          </w:tcPr>
          <w:p w14:paraId="721FB986" w14:textId="77777777" w:rsidR="00056F6C" w:rsidRPr="00AA6144" w:rsidRDefault="00056F6C" w:rsidP="00056F6C">
            <w:pPr>
              <w:pStyle w:val="AIBodyText"/>
              <w:rPr>
                <w:color w:val="auto"/>
                <w:szCs w:val="18"/>
                <w:lang w:val="en-CA"/>
              </w:rPr>
            </w:pPr>
            <w:r w:rsidRPr="00AA6144">
              <w:rPr>
                <w:color w:val="auto"/>
                <w:szCs w:val="18"/>
                <w:lang w:val="en-CA"/>
              </w:rPr>
              <w:t>March 11, 1999 (acceded)</w:t>
            </w:r>
          </w:p>
        </w:tc>
        <w:tc>
          <w:tcPr>
            <w:tcW w:w="1400" w:type="dxa"/>
          </w:tcPr>
          <w:p w14:paraId="461D4A1B"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6CB0D488"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5637F818" w14:textId="77777777">
        <w:tc>
          <w:tcPr>
            <w:tcW w:w="1192" w:type="dxa"/>
          </w:tcPr>
          <w:p w14:paraId="7A30018D" w14:textId="77777777" w:rsidR="00056F6C" w:rsidRPr="00AA6144" w:rsidRDefault="00056F6C" w:rsidP="00056F6C">
            <w:pPr>
              <w:pStyle w:val="AIBodyText"/>
              <w:rPr>
                <w:color w:val="auto"/>
                <w:szCs w:val="18"/>
                <w:lang w:val="en-CA"/>
              </w:rPr>
            </w:pPr>
            <w:r w:rsidRPr="00AA6144">
              <w:rPr>
                <w:color w:val="auto"/>
                <w:szCs w:val="18"/>
                <w:lang w:val="en-CA"/>
              </w:rPr>
              <w:t>Use of certain prohibited conventional weapons</w:t>
            </w:r>
          </w:p>
        </w:tc>
        <w:tc>
          <w:tcPr>
            <w:tcW w:w="1359" w:type="dxa"/>
          </w:tcPr>
          <w:p w14:paraId="1EB87476" w14:textId="77777777" w:rsidR="00056F6C" w:rsidRPr="00AA6144" w:rsidRDefault="00056F6C" w:rsidP="00056F6C">
            <w:pPr>
              <w:pStyle w:val="AIBodyText"/>
              <w:rPr>
                <w:color w:val="auto"/>
                <w:szCs w:val="18"/>
                <w:lang w:val="en-CA"/>
              </w:rPr>
            </w:pPr>
            <w:r w:rsidRPr="00AA6144">
              <w:rPr>
                <w:color w:val="auto"/>
                <w:szCs w:val="18"/>
                <w:lang w:val="en-CA"/>
              </w:rPr>
              <w:t>CCW 1980</w:t>
            </w:r>
            <w:r w:rsidRPr="00AA6144">
              <w:rPr>
                <w:color w:val="auto"/>
                <w:szCs w:val="18"/>
                <w:vertAlign w:val="superscript"/>
                <w:lang w:val="en-CA"/>
              </w:rPr>
              <w:footnoteReference w:id="183"/>
            </w:r>
          </w:p>
        </w:tc>
        <w:tc>
          <w:tcPr>
            <w:tcW w:w="1279" w:type="dxa"/>
          </w:tcPr>
          <w:p w14:paraId="25589E9F" w14:textId="77777777" w:rsidR="00056F6C" w:rsidRPr="00AA6144" w:rsidRDefault="00056F6C" w:rsidP="00056F6C">
            <w:pPr>
              <w:pStyle w:val="AIBodyText"/>
              <w:rPr>
                <w:color w:val="auto"/>
                <w:szCs w:val="18"/>
                <w:lang w:val="en-CA"/>
              </w:rPr>
            </w:pPr>
            <w:r w:rsidRPr="00AA6144">
              <w:rPr>
                <w:color w:val="auto"/>
                <w:szCs w:val="18"/>
                <w:lang w:val="en-CA"/>
              </w:rPr>
              <w:t>April 10, 1981</w:t>
            </w:r>
          </w:p>
        </w:tc>
        <w:tc>
          <w:tcPr>
            <w:tcW w:w="1292" w:type="dxa"/>
          </w:tcPr>
          <w:p w14:paraId="53CA05BD" w14:textId="77777777" w:rsidR="00056F6C" w:rsidRPr="00AA6144" w:rsidRDefault="00056F6C" w:rsidP="00056F6C">
            <w:pPr>
              <w:pStyle w:val="AIBodyText"/>
              <w:rPr>
                <w:color w:val="auto"/>
                <w:szCs w:val="18"/>
                <w:lang w:val="en-CA"/>
              </w:rPr>
            </w:pPr>
            <w:r w:rsidRPr="00AA6144">
              <w:rPr>
                <w:color w:val="auto"/>
                <w:szCs w:val="18"/>
                <w:lang w:val="en-CA"/>
              </w:rPr>
              <w:t>June 24, 1994 (ratified)</w:t>
            </w:r>
          </w:p>
        </w:tc>
        <w:tc>
          <w:tcPr>
            <w:tcW w:w="1400" w:type="dxa"/>
          </w:tcPr>
          <w:p w14:paraId="084B048C"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 (war crime)</w:t>
            </w:r>
          </w:p>
        </w:tc>
        <w:tc>
          <w:tcPr>
            <w:tcW w:w="2336" w:type="dxa"/>
          </w:tcPr>
          <w:p w14:paraId="40FA1D04"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5EBB9AE7" w14:textId="77777777">
        <w:tc>
          <w:tcPr>
            <w:tcW w:w="1192" w:type="dxa"/>
          </w:tcPr>
          <w:p w14:paraId="3C35A229" w14:textId="77777777" w:rsidR="00056F6C" w:rsidRPr="00AA6144" w:rsidRDefault="00056F6C" w:rsidP="00056F6C">
            <w:pPr>
              <w:pStyle w:val="AIBodyText"/>
              <w:rPr>
                <w:color w:val="auto"/>
                <w:szCs w:val="18"/>
                <w:lang w:val="en-CA"/>
              </w:rPr>
            </w:pPr>
            <w:r w:rsidRPr="00AA6144">
              <w:rPr>
                <w:color w:val="auto"/>
                <w:szCs w:val="18"/>
                <w:lang w:val="en-CA"/>
              </w:rPr>
              <w:t>Use of weapons that injure by non-detectable fragments</w:t>
            </w:r>
          </w:p>
        </w:tc>
        <w:tc>
          <w:tcPr>
            <w:tcW w:w="1359" w:type="dxa"/>
          </w:tcPr>
          <w:p w14:paraId="709AD8E1" w14:textId="77777777" w:rsidR="00056F6C" w:rsidRPr="00AA6144" w:rsidRDefault="00056F6C" w:rsidP="00056F6C">
            <w:pPr>
              <w:pStyle w:val="AIBodyText"/>
              <w:rPr>
                <w:color w:val="auto"/>
                <w:szCs w:val="18"/>
                <w:lang w:val="en-CA"/>
              </w:rPr>
            </w:pPr>
            <w:proofErr w:type="gramStart"/>
            <w:r w:rsidRPr="00AA6144">
              <w:rPr>
                <w:color w:val="auto"/>
                <w:szCs w:val="18"/>
                <w:lang w:val="en-CA"/>
              </w:rPr>
              <w:t>CCW  Prot.</w:t>
            </w:r>
            <w:proofErr w:type="gramEnd"/>
            <w:r w:rsidRPr="00AA6144">
              <w:rPr>
                <w:color w:val="auto"/>
                <w:szCs w:val="18"/>
                <w:lang w:val="en-CA"/>
              </w:rPr>
              <w:t xml:space="preserve"> I 1980</w:t>
            </w:r>
            <w:r w:rsidRPr="00AA6144">
              <w:rPr>
                <w:color w:val="auto"/>
                <w:szCs w:val="18"/>
                <w:vertAlign w:val="superscript"/>
                <w:lang w:val="en-CA"/>
              </w:rPr>
              <w:footnoteReference w:id="184"/>
            </w:r>
          </w:p>
        </w:tc>
        <w:tc>
          <w:tcPr>
            <w:tcW w:w="1279" w:type="dxa"/>
          </w:tcPr>
          <w:p w14:paraId="7F7F35B5" w14:textId="77777777" w:rsidR="00056F6C" w:rsidRPr="00AA6144" w:rsidRDefault="00056F6C" w:rsidP="00056F6C">
            <w:pPr>
              <w:pStyle w:val="AIBodyText"/>
              <w:rPr>
                <w:color w:val="auto"/>
                <w:szCs w:val="18"/>
                <w:lang w:val="en-CA"/>
              </w:rPr>
            </w:pPr>
            <w:r w:rsidRPr="00AA6144">
              <w:rPr>
                <w:color w:val="auto"/>
                <w:szCs w:val="18"/>
                <w:lang w:val="en-CA"/>
              </w:rPr>
              <w:t>April 10, 1981</w:t>
            </w:r>
          </w:p>
        </w:tc>
        <w:tc>
          <w:tcPr>
            <w:tcW w:w="1292" w:type="dxa"/>
          </w:tcPr>
          <w:p w14:paraId="4E3C5844" w14:textId="77777777" w:rsidR="00056F6C" w:rsidRPr="00AA6144" w:rsidRDefault="00056F6C" w:rsidP="00056F6C">
            <w:pPr>
              <w:pStyle w:val="AIBodyText"/>
              <w:rPr>
                <w:color w:val="auto"/>
                <w:szCs w:val="18"/>
                <w:lang w:val="en-CA"/>
              </w:rPr>
            </w:pPr>
            <w:r w:rsidRPr="00AA6144">
              <w:rPr>
                <w:color w:val="auto"/>
                <w:szCs w:val="18"/>
                <w:lang w:val="en-CA"/>
              </w:rPr>
              <w:t>June 24, 1994 (ratified)</w:t>
            </w:r>
          </w:p>
        </w:tc>
        <w:tc>
          <w:tcPr>
            <w:tcW w:w="1400" w:type="dxa"/>
          </w:tcPr>
          <w:p w14:paraId="7C12F7C0"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7EB772CA"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69B33016" w14:textId="77777777">
        <w:tc>
          <w:tcPr>
            <w:tcW w:w="1192" w:type="dxa"/>
          </w:tcPr>
          <w:p w14:paraId="5E3282EE" w14:textId="77777777" w:rsidR="00056F6C" w:rsidRPr="00AA6144" w:rsidRDefault="00056F6C" w:rsidP="00056F6C">
            <w:pPr>
              <w:pStyle w:val="AIBodyText"/>
              <w:rPr>
                <w:color w:val="auto"/>
                <w:szCs w:val="18"/>
                <w:lang w:val="en-CA"/>
              </w:rPr>
            </w:pPr>
            <w:r w:rsidRPr="00AA6144">
              <w:rPr>
                <w:color w:val="auto"/>
                <w:szCs w:val="18"/>
                <w:lang w:val="en-CA"/>
              </w:rPr>
              <w:t>Use of prohibited mines, booby-traps and other devices</w:t>
            </w:r>
          </w:p>
        </w:tc>
        <w:tc>
          <w:tcPr>
            <w:tcW w:w="1359" w:type="dxa"/>
          </w:tcPr>
          <w:p w14:paraId="52D5DDB2" w14:textId="77777777" w:rsidR="00056F6C" w:rsidRPr="00AA6144" w:rsidRDefault="00056F6C" w:rsidP="00056F6C">
            <w:pPr>
              <w:pStyle w:val="AIBodyText"/>
              <w:rPr>
                <w:color w:val="auto"/>
                <w:szCs w:val="18"/>
                <w:lang w:val="en-CA"/>
              </w:rPr>
            </w:pPr>
            <w:r w:rsidRPr="00AA6144">
              <w:rPr>
                <w:color w:val="auto"/>
                <w:szCs w:val="18"/>
                <w:lang w:val="en-CA"/>
              </w:rPr>
              <w:t xml:space="preserve"> CCW Prot. II 1980</w:t>
            </w:r>
            <w:r w:rsidRPr="00AA6144">
              <w:rPr>
                <w:color w:val="auto"/>
                <w:szCs w:val="18"/>
                <w:vertAlign w:val="superscript"/>
                <w:lang w:val="en-CA"/>
              </w:rPr>
              <w:footnoteReference w:id="185"/>
            </w:r>
          </w:p>
        </w:tc>
        <w:tc>
          <w:tcPr>
            <w:tcW w:w="1279" w:type="dxa"/>
          </w:tcPr>
          <w:p w14:paraId="71A6CB74" w14:textId="77777777" w:rsidR="00056F6C" w:rsidRPr="00AA6144" w:rsidRDefault="00056F6C" w:rsidP="00056F6C">
            <w:pPr>
              <w:pStyle w:val="AIBodyText"/>
              <w:rPr>
                <w:color w:val="auto"/>
                <w:szCs w:val="18"/>
                <w:lang w:val="en-CA"/>
              </w:rPr>
            </w:pPr>
            <w:r w:rsidRPr="00AA6144">
              <w:rPr>
                <w:color w:val="auto"/>
                <w:szCs w:val="18"/>
                <w:lang w:val="en-CA"/>
              </w:rPr>
              <w:t>April 10, 1981</w:t>
            </w:r>
          </w:p>
        </w:tc>
        <w:tc>
          <w:tcPr>
            <w:tcW w:w="1292" w:type="dxa"/>
          </w:tcPr>
          <w:p w14:paraId="26D82085" w14:textId="77777777" w:rsidR="00056F6C" w:rsidRPr="00AA6144" w:rsidRDefault="00056F6C" w:rsidP="00056F6C">
            <w:pPr>
              <w:pStyle w:val="AIBodyText"/>
              <w:rPr>
                <w:color w:val="auto"/>
                <w:szCs w:val="18"/>
                <w:lang w:val="en-CA"/>
              </w:rPr>
            </w:pPr>
            <w:r w:rsidRPr="00AA6144">
              <w:rPr>
                <w:color w:val="auto"/>
                <w:szCs w:val="18"/>
                <w:lang w:val="en-CA"/>
              </w:rPr>
              <w:t>June 24, 1994 (ratified)</w:t>
            </w:r>
          </w:p>
        </w:tc>
        <w:tc>
          <w:tcPr>
            <w:tcW w:w="1400" w:type="dxa"/>
          </w:tcPr>
          <w:p w14:paraId="4C646010"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41C6262C"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7E934D57" w14:textId="77777777">
        <w:tc>
          <w:tcPr>
            <w:tcW w:w="1192" w:type="dxa"/>
          </w:tcPr>
          <w:p w14:paraId="1A48AE7C" w14:textId="77777777" w:rsidR="00056F6C" w:rsidRPr="00AA6144" w:rsidRDefault="00056F6C" w:rsidP="00056F6C">
            <w:pPr>
              <w:pStyle w:val="AIBodyText"/>
              <w:rPr>
                <w:color w:val="auto"/>
                <w:szCs w:val="18"/>
                <w:lang w:val="en-CA"/>
              </w:rPr>
            </w:pPr>
            <w:r w:rsidRPr="00AA6144">
              <w:rPr>
                <w:color w:val="auto"/>
                <w:szCs w:val="18"/>
                <w:lang w:val="en-CA"/>
              </w:rPr>
              <w:t xml:space="preserve">Use of </w:t>
            </w:r>
            <w:proofErr w:type="gramStart"/>
            <w:r w:rsidRPr="00AA6144">
              <w:rPr>
                <w:color w:val="auto"/>
                <w:szCs w:val="18"/>
                <w:lang w:val="en-CA"/>
              </w:rPr>
              <w:t>prohibited  incendiary</w:t>
            </w:r>
            <w:proofErr w:type="gramEnd"/>
            <w:r w:rsidRPr="00AA6144">
              <w:rPr>
                <w:color w:val="auto"/>
                <w:szCs w:val="18"/>
                <w:lang w:val="en-CA"/>
              </w:rPr>
              <w:t xml:space="preserve"> weapons</w:t>
            </w:r>
          </w:p>
        </w:tc>
        <w:tc>
          <w:tcPr>
            <w:tcW w:w="1359" w:type="dxa"/>
          </w:tcPr>
          <w:p w14:paraId="715A9380" w14:textId="77777777" w:rsidR="00056F6C" w:rsidRPr="00AA6144" w:rsidRDefault="00056F6C" w:rsidP="00056F6C">
            <w:pPr>
              <w:pStyle w:val="AIBodyText"/>
              <w:rPr>
                <w:color w:val="auto"/>
                <w:szCs w:val="18"/>
                <w:lang w:val="en-CA"/>
              </w:rPr>
            </w:pPr>
            <w:r w:rsidRPr="00AA6144">
              <w:rPr>
                <w:color w:val="auto"/>
                <w:szCs w:val="18"/>
                <w:lang w:val="en-CA"/>
              </w:rPr>
              <w:t xml:space="preserve"> </w:t>
            </w:r>
            <w:proofErr w:type="spellStart"/>
            <w:r w:rsidRPr="00AA6144">
              <w:rPr>
                <w:color w:val="auto"/>
                <w:szCs w:val="18"/>
                <w:lang w:val="en-CA"/>
              </w:rPr>
              <w:t>CCWProt</w:t>
            </w:r>
            <w:proofErr w:type="spellEnd"/>
            <w:r w:rsidRPr="00AA6144">
              <w:rPr>
                <w:color w:val="auto"/>
                <w:szCs w:val="18"/>
                <w:lang w:val="en-CA"/>
              </w:rPr>
              <w:t>. III 1980</w:t>
            </w:r>
            <w:r w:rsidRPr="00AA6144">
              <w:rPr>
                <w:color w:val="auto"/>
                <w:szCs w:val="18"/>
                <w:vertAlign w:val="superscript"/>
                <w:lang w:val="en-CA"/>
              </w:rPr>
              <w:footnoteReference w:id="186"/>
            </w:r>
          </w:p>
        </w:tc>
        <w:tc>
          <w:tcPr>
            <w:tcW w:w="1279" w:type="dxa"/>
          </w:tcPr>
          <w:p w14:paraId="3AD98824" w14:textId="77777777" w:rsidR="00056F6C" w:rsidRPr="00AA6144" w:rsidRDefault="00056F6C" w:rsidP="00056F6C">
            <w:pPr>
              <w:pStyle w:val="AIBodyText"/>
              <w:rPr>
                <w:color w:val="auto"/>
                <w:szCs w:val="18"/>
                <w:lang w:val="en-CA"/>
              </w:rPr>
            </w:pPr>
            <w:r w:rsidRPr="00AA6144">
              <w:rPr>
                <w:color w:val="auto"/>
                <w:szCs w:val="18"/>
                <w:lang w:val="en-CA"/>
              </w:rPr>
              <w:t>April 10, 1981</w:t>
            </w:r>
          </w:p>
        </w:tc>
        <w:tc>
          <w:tcPr>
            <w:tcW w:w="1292" w:type="dxa"/>
          </w:tcPr>
          <w:p w14:paraId="4648A39F" w14:textId="77777777" w:rsidR="00056F6C" w:rsidRPr="00AA6144" w:rsidRDefault="00056F6C" w:rsidP="00056F6C">
            <w:pPr>
              <w:pStyle w:val="AIBodyText"/>
              <w:rPr>
                <w:color w:val="auto"/>
                <w:szCs w:val="18"/>
                <w:lang w:val="en-CA"/>
              </w:rPr>
            </w:pPr>
            <w:r w:rsidRPr="00AA6144">
              <w:rPr>
                <w:color w:val="auto"/>
                <w:szCs w:val="18"/>
                <w:lang w:val="en-CA"/>
              </w:rPr>
              <w:t>June 24, 1994 (ratified)</w:t>
            </w:r>
          </w:p>
        </w:tc>
        <w:tc>
          <w:tcPr>
            <w:tcW w:w="1400" w:type="dxa"/>
          </w:tcPr>
          <w:p w14:paraId="6BB9DCBB"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5455E732"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54460A3F" w14:textId="77777777">
        <w:tc>
          <w:tcPr>
            <w:tcW w:w="1192" w:type="dxa"/>
          </w:tcPr>
          <w:p w14:paraId="740AFD2F" w14:textId="77777777" w:rsidR="00056F6C" w:rsidRPr="00AA6144" w:rsidRDefault="00056F6C" w:rsidP="00056F6C">
            <w:pPr>
              <w:pStyle w:val="AIBodyText"/>
              <w:rPr>
                <w:color w:val="auto"/>
                <w:szCs w:val="18"/>
                <w:lang w:val="en-CA"/>
              </w:rPr>
            </w:pPr>
            <w:r w:rsidRPr="00AA6144">
              <w:rPr>
                <w:color w:val="auto"/>
                <w:szCs w:val="18"/>
                <w:lang w:val="en-CA"/>
              </w:rPr>
              <w:t>Use of prohibited mines, booby-traps and other devices</w:t>
            </w:r>
          </w:p>
        </w:tc>
        <w:tc>
          <w:tcPr>
            <w:tcW w:w="1359" w:type="dxa"/>
          </w:tcPr>
          <w:p w14:paraId="649FFA92" w14:textId="77777777" w:rsidR="00056F6C" w:rsidRPr="00AA6144" w:rsidRDefault="00056F6C" w:rsidP="00056F6C">
            <w:pPr>
              <w:pStyle w:val="AIBodyText"/>
              <w:rPr>
                <w:color w:val="auto"/>
                <w:szCs w:val="18"/>
                <w:lang w:val="en-CA"/>
              </w:rPr>
            </w:pPr>
            <w:r w:rsidRPr="00AA6144">
              <w:rPr>
                <w:color w:val="auto"/>
                <w:szCs w:val="18"/>
                <w:lang w:val="en-CA"/>
              </w:rPr>
              <w:t xml:space="preserve">CCW Prot. II a 1996 </w:t>
            </w:r>
            <w:r w:rsidRPr="00AA6144">
              <w:rPr>
                <w:color w:val="auto"/>
                <w:szCs w:val="18"/>
                <w:vertAlign w:val="superscript"/>
                <w:lang w:val="en-CA"/>
              </w:rPr>
              <w:footnoteReference w:id="187"/>
            </w:r>
          </w:p>
        </w:tc>
        <w:tc>
          <w:tcPr>
            <w:tcW w:w="1279" w:type="dxa"/>
          </w:tcPr>
          <w:p w14:paraId="685C8EAD" w14:textId="77777777" w:rsidR="00056F6C" w:rsidRPr="00AA6144" w:rsidRDefault="00056F6C" w:rsidP="00056F6C">
            <w:pPr>
              <w:pStyle w:val="AIBodyText"/>
              <w:rPr>
                <w:color w:val="auto"/>
                <w:szCs w:val="18"/>
                <w:lang w:val="en-CA"/>
              </w:rPr>
            </w:pPr>
            <w:r w:rsidRPr="00AA6144">
              <w:rPr>
                <w:color w:val="auto"/>
                <w:szCs w:val="18"/>
                <w:lang w:val="en-CA"/>
              </w:rPr>
              <w:t>April 10, 1981</w:t>
            </w:r>
          </w:p>
        </w:tc>
        <w:tc>
          <w:tcPr>
            <w:tcW w:w="1292" w:type="dxa"/>
          </w:tcPr>
          <w:p w14:paraId="41DA624E" w14:textId="77777777" w:rsidR="00056F6C" w:rsidRPr="00AA6144" w:rsidRDefault="00056F6C" w:rsidP="00056F6C">
            <w:pPr>
              <w:pStyle w:val="AIBodyText"/>
              <w:rPr>
                <w:color w:val="auto"/>
                <w:szCs w:val="18"/>
                <w:lang w:val="en-CA"/>
              </w:rPr>
            </w:pPr>
            <w:r w:rsidRPr="00AA6144">
              <w:rPr>
                <w:color w:val="auto"/>
                <w:szCs w:val="18"/>
                <w:lang w:val="en-CA"/>
              </w:rPr>
              <w:t>December 3, 1998 (consent to be bound)</w:t>
            </w:r>
          </w:p>
        </w:tc>
        <w:tc>
          <w:tcPr>
            <w:tcW w:w="1400" w:type="dxa"/>
          </w:tcPr>
          <w:p w14:paraId="71FA33E8"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26A648DD"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5DB62BC9" w14:textId="77777777">
        <w:tc>
          <w:tcPr>
            <w:tcW w:w="1192" w:type="dxa"/>
          </w:tcPr>
          <w:p w14:paraId="1E03E310" w14:textId="77777777" w:rsidR="00056F6C" w:rsidRPr="00AA6144" w:rsidRDefault="00056F6C" w:rsidP="00056F6C">
            <w:pPr>
              <w:pStyle w:val="AIBodyText"/>
              <w:rPr>
                <w:color w:val="auto"/>
                <w:szCs w:val="18"/>
                <w:lang w:val="en-CA"/>
              </w:rPr>
            </w:pPr>
            <w:r w:rsidRPr="00AA6144">
              <w:rPr>
                <w:color w:val="auto"/>
                <w:szCs w:val="18"/>
                <w:lang w:val="en-CA"/>
              </w:rPr>
              <w:t xml:space="preserve">Developing, producing, </w:t>
            </w:r>
            <w:proofErr w:type="gramStart"/>
            <w:r w:rsidRPr="00AA6144">
              <w:rPr>
                <w:color w:val="auto"/>
                <w:szCs w:val="18"/>
                <w:lang w:val="en-CA"/>
              </w:rPr>
              <w:t>stockpiling</w:t>
            </w:r>
            <w:proofErr w:type="gramEnd"/>
            <w:r w:rsidRPr="00AA6144">
              <w:rPr>
                <w:color w:val="auto"/>
                <w:szCs w:val="18"/>
                <w:lang w:val="en-CA"/>
              </w:rPr>
              <w:t xml:space="preserve"> and using prohibited chemical weapons</w:t>
            </w:r>
          </w:p>
        </w:tc>
        <w:tc>
          <w:tcPr>
            <w:tcW w:w="1359" w:type="dxa"/>
          </w:tcPr>
          <w:p w14:paraId="162A9DEE" w14:textId="77777777" w:rsidR="00056F6C" w:rsidRPr="00AA6144" w:rsidRDefault="00056F6C" w:rsidP="00056F6C">
            <w:pPr>
              <w:pStyle w:val="AIBodyText"/>
              <w:rPr>
                <w:color w:val="auto"/>
                <w:szCs w:val="18"/>
                <w:lang w:val="en-CA"/>
              </w:rPr>
            </w:pPr>
            <w:r w:rsidRPr="00AA6144">
              <w:rPr>
                <w:color w:val="auto"/>
                <w:szCs w:val="18"/>
                <w:lang w:val="en-CA"/>
              </w:rPr>
              <w:t>CWC 1993</w:t>
            </w:r>
            <w:r w:rsidRPr="00AA6144">
              <w:rPr>
                <w:color w:val="auto"/>
                <w:szCs w:val="18"/>
                <w:vertAlign w:val="superscript"/>
                <w:lang w:val="en-CA"/>
              </w:rPr>
              <w:footnoteReference w:id="188"/>
            </w:r>
          </w:p>
        </w:tc>
        <w:tc>
          <w:tcPr>
            <w:tcW w:w="1279" w:type="dxa"/>
          </w:tcPr>
          <w:p w14:paraId="7BF96104" w14:textId="77777777" w:rsidR="00056F6C" w:rsidRPr="00AA6144" w:rsidRDefault="00056F6C" w:rsidP="00056F6C">
            <w:pPr>
              <w:pStyle w:val="AIBodyText"/>
              <w:rPr>
                <w:color w:val="auto"/>
                <w:szCs w:val="18"/>
                <w:lang w:val="en-CA"/>
              </w:rPr>
            </w:pPr>
            <w:r w:rsidRPr="00AA6144">
              <w:rPr>
                <w:color w:val="auto"/>
                <w:szCs w:val="18"/>
                <w:lang w:val="en-CA"/>
              </w:rPr>
              <w:t>January 13, 1993</w:t>
            </w:r>
          </w:p>
        </w:tc>
        <w:tc>
          <w:tcPr>
            <w:tcW w:w="1292" w:type="dxa"/>
          </w:tcPr>
          <w:p w14:paraId="290BC114" w14:textId="77777777" w:rsidR="00056F6C" w:rsidRPr="00AA6144" w:rsidRDefault="00056F6C" w:rsidP="00056F6C">
            <w:pPr>
              <w:pStyle w:val="AIBodyText"/>
              <w:rPr>
                <w:color w:val="auto"/>
                <w:szCs w:val="18"/>
                <w:lang w:val="en-CA"/>
              </w:rPr>
            </w:pPr>
            <w:r w:rsidRPr="00AA6144">
              <w:rPr>
                <w:color w:val="auto"/>
                <w:szCs w:val="18"/>
                <w:lang w:val="en-CA"/>
              </w:rPr>
              <w:t>September 26, 1995(ratified)</w:t>
            </w:r>
          </w:p>
        </w:tc>
        <w:tc>
          <w:tcPr>
            <w:tcW w:w="1400" w:type="dxa"/>
          </w:tcPr>
          <w:p w14:paraId="42FAE206" w14:textId="77777777" w:rsidR="00056F6C" w:rsidRPr="00AA6144" w:rsidRDefault="00056F6C" w:rsidP="00056F6C">
            <w:pPr>
              <w:pStyle w:val="AIBodyText"/>
              <w:rPr>
                <w:color w:val="auto"/>
                <w:szCs w:val="18"/>
                <w:lang w:val="en-CA"/>
              </w:rPr>
            </w:pPr>
            <w:r w:rsidRPr="00AA6144">
              <w:rPr>
                <w:i/>
                <w:iCs/>
                <w:color w:val="auto"/>
                <w:szCs w:val="18"/>
                <w:lang w:val="en-CA"/>
              </w:rPr>
              <w:t>Chemical weapons implementation Act</w:t>
            </w:r>
            <w:r w:rsidRPr="00AA6144">
              <w:rPr>
                <w:color w:val="auto"/>
                <w:szCs w:val="18"/>
                <w:lang w:val="en-CA"/>
              </w:rPr>
              <w:t>, S.C. 1995, c. 25, s.20.</w:t>
            </w:r>
          </w:p>
          <w:p w14:paraId="2DBDDE24"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w:t>
            </w:r>
          </w:p>
        </w:tc>
        <w:tc>
          <w:tcPr>
            <w:tcW w:w="2336" w:type="dxa"/>
          </w:tcPr>
          <w:p w14:paraId="67FFDC60"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2EE5ABB3" w14:textId="77777777">
        <w:tc>
          <w:tcPr>
            <w:tcW w:w="1192" w:type="dxa"/>
          </w:tcPr>
          <w:p w14:paraId="30BAA0DA" w14:textId="77777777" w:rsidR="00056F6C" w:rsidRPr="00AA6144" w:rsidRDefault="00056F6C" w:rsidP="00056F6C">
            <w:pPr>
              <w:pStyle w:val="AIBodyText"/>
              <w:rPr>
                <w:color w:val="auto"/>
                <w:szCs w:val="18"/>
                <w:lang w:val="en-CA"/>
              </w:rPr>
            </w:pPr>
            <w:r w:rsidRPr="00AA6144">
              <w:rPr>
                <w:color w:val="auto"/>
                <w:szCs w:val="18"/>
                <w:lang w:val="en-CA"/>
              </w:rPr>
              <w:t>Use of blinding laser weapons</w:t>
            </w:r>
          </w:p>
        </w:tc>
        <w:tc>
          <w:tcPr>
            <w:tcW w:w="1359" w:type="dxa"/>
          </w:tcPr>
          <w:p w14:paraId="02B99514" w14:textId="77777777" w:rsidR="00056F6C" w:rsidRPr="00AA6144" w:rsidRDefault="00056F6C" w:rsidP="00056F6C">
            <w:pPr>
              <w:pStyle w:val="AIBodyText"/>
              <w:rPr>
                <w:color w:val="auto"/>
                <w:szCs w:val="18"/>
                <w:lang w:val="en-CA"/>
              </w:rPr>
            </w:pPr>
            <w:r w:rsidRPr="00AA6144">
              <w:rPr>
                <w:color w:val="auto"/>
                <w:szCs w:val="18"/>
                <w:lang w:val="en-CA"/>
              </w:rPr>
              <w:t>CCW Prot. IV 1995</w:t>
            </w:r>
            <w:r w:rsidRPr="00AA6144">
              <w:rPr>
                <w:color w:val="auto"/>
                <w:szCs w:val="18"/>
                <w:vertAlign w:val="superscript"/>
                <w:lang w:val="en-CA"/>
              </w:rPr>
              <w:footnoteReference w:id="189"/>
            </w:r>
          </w:p>
        </w:tc>
        <w:tc>
          <w:tcPr>
            <w:tcW w:w="1279" w:type="dxa"/>
          </w:tcPr>
          <w:p w14:paraId="2498D77D" w14:textId="77777777" w:rsidR="00056F6C" w:rsidRPr="00AA6144" w:rsidRDefault="00056F6C" w:rsidP="00056F6C">
            <w:pPr>
              <w:pStyle w:val="AIBodyText"/>
              <w:rPr>
                <w:color w:val="auto"/>
                <w:szCs w:val="18"/>
                <w:lang w:val="en-CA"/>
              </w:rPr>
            </w:pPr>
            <w:r w:rsidRPr="00AA6144">
              <w:rPr>
                <w:color w:val="auto"/>
                <w:szCs w:val="18"/>
                <w:lang w:val="en-CA"/>
              </w:rPr>
              <w:t>April 10, 1981</w:t>
            </w:r>
          </w:p>
        </w:tc>
        <w:tc>
          <w:tcPr>
            <w:tcW w:w="1292" w:type="dxa"/>
          </w:tcPr>
          <w:p w14:paraId="168FAB3C" w14:textId="77777777" w:rsidR="00056F6C" w:rsidRPr="00AA6144" w:rsidRDefault="00056F6C" w:rsidP="00056F6C">
            <w:pPr>
              <w:pStyle w:val="AIBodyText"/>
              <w:rPr>
                <w:color w:val="auto"/>
                <w:szCs w:val="18"/>
                <w:lang w:val="en-CA"/>
              </w:rPr>
            </w:pPr>
            <w:r w:rsidRPr="00AA6144">
              <w:rPr>
                <w:color w:val="auto"/>
                <w:szCs w:val="18"/>
                <w:lang w:val="en-CA"/>
              </w:rPr>
              <w:t>July 30, 1998 (consent to be bound)</w:t>
            </w:r>
          </w:p>
        </w:tc>
        <w:tc>
          <w:tcPr>
            <w:tcW w:w="1400" w:type="dxa"/>
          </w:tcPr>
          <w:p w14:paraId="20A8D898"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0889F0C0"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368BB234" w14:textId="77777777">
        <w:tc>
          <w:tcPr>
            <w:tcW w:w="1192" w:type="dxa"/>
          </w:tcPr>
          <w:p w14:paraId="3BF8C37A" w14:textId="77777777" w:rsidR="00056F6C" w:rsidRPr="00AA6144" w:rsidRDefault="00056F6C" w:rsidP="00056F6C">
            <w:pPr>
              <w:pStyle w:val="AIBodyText"/>
              <w:rPr>
                <w:color w:val="auto"/>
                <w:szCs w:val="18"/>
                <w:lang w:val="en-CA"/>
              </w:rPr>
            </w:pPr>
            <w:r w:rsidRPr="00AA6144">
              <w:rPr>
                <w:color w:val="auto"/>
                <w:szCs w:val="18"/>
                <w:lang w:val="en-CA"/>
              </w:rPr>
              <w:t xml:space="preserve">Using, stockpiling, </w:t>
            </w:r>
            <w:proofErr w:type="gramStart"/>
            <w:r w:rsidRPr="00AA6144">
              <w:rPr>
                <w:color w:val="auto"/>
                <w:szCs w:val="18"/>
                <w:lang w:val="en-CA"/>
              </w:rPr>
              <w:t>producing</w:t>
            </w:r>
            <w:proofErr w:type="gramEnd"/>
            <w:r w:rsidRPr="00AA6144">
              <w:rPr>
                <w:color w:val="auto"/>
                <w:szCs w:val="18"/>
                <w:lang w:val="en-CA"/>
              </w:rPr>
              <w:t xml:space="preserve"> and transferring prohibited anti-personnel mines</w:t>
            </w:r>
          </w:p>
        </w:tc>
        <w:tc>
          <w:tcPr>
            <w:tcW w:w="1359" w:type="dxa"/>
          </w:tcPr>
          <w:p w14:paraId="516FE3CE" w14:textId="77777777" w:rsidR="00056F6C" w:rsidRPr="00AA6144" w:rsidRDefault="00056F6C" w:rsidP="00056F6C">
            <w:pPr>
              <w:pStyle w:val="AIBodyText"/>
              <w:rPr>
                <w:color w:val="auto"/>
                <w:szCs w:val="18"/>
                <w:lang w:val="en-CA"/>
              </w:rPr>
            </w:pPr>
            <w:r w:rsidRPr="00AA6144">
              <w:rPr>
                <w:color w:val="auto"/>
                <w:szCs w:val="18"/>
                <w:lang w:val="en-CA"/>
              </w:rPr>
              <w:t>AP Mine Ban Conv. 1997</w:t>
            </w:r>
            <w:r w:rsidRPr="00AA6144">
              <w:rPr>
                <w:color w:val="auto"/>
                <w:szCs w:val="18"/>
                <w:vertAlign w:val="superscript"/>
                <w:lang w:val="en-CA"/>
              </w:rPr>
              <w:footnoteReference w:id="190"/>
            </w:r>
          </w:p>
        </w:tc>
        <w:tc>
          <w:tcPr>
            <w:tcW w:w="1279" w:type="dxa"/>
          </w:tcPr>
          <w:p w14:paraId="4C83306C" w14:textId="77777777" w:rsidR="00056F6C" w:rsidRPr="00AA6144" w:rsidRDefault="00056F6C" w:rsidP="00056F6C">
            <w:pPr>
              <w:pStyle w:val="AIBodyText"/>
              <w:rPr>
                <w:color w:val="auto"/>
                <w:szCs w:val="18"/>
                <w:lang w:val="en-CA"/>
              </w:rPr>
            </w:pPr>
            <w:r w:rsidRPr="00AA6144">
              <w:rPr>
                <w:color w:val="auto"/>
                <w:szCs w:val="18"/>
                <w:lang w:val="en-CA"/>
              </w:rPr>
              <w:t>December 3, 1997</w:t>
            </w:r>
          </w:p>
        </w:tc>
        <w:tc>
          <w:tcPr>
            <w:tcW w:w="1292" w:type="dxa"/>
          </w:tcPr>
          <w:p w14:paraId="5FE5903A" w14:textId="77777777" w:rsidR="00056F6C" w:rsidRPr="00AA6144" w:rsidRDefault="00056F6C" w:rsidP="00056F6C">
            <w:pPr>
              <w:pStyle w:val="AIBodyText"/>
              <w:rPr>
                <w:color w:val="auto"/>
                <w:szCs w:val="18"/>
                <w:lang w:val="en-CA"/>
              </w:rPr>
            </w:pPr>
            <w:r w:rsidRPr="00AA6144">
              <w:rPr>
                <w:color w:val="auto"/>
                <w:szCs w:val="18"/>
                <w:lang w:val="en-CA"/>
              </w:rPr>
              <w:t>March 1, 1999 (ratified)</w:t>
            </w:r>
          </w:p>
        </w:tc>
        <w:tc>
          <w:tcPr>
            <w:tcW w:w="1400" w:type="dxa"/>
          </w:tcPr>
          <w:p w14:paraId="04DAD79E" w14:textId="77777777" w:rsidR="00056F6C" w:rsidRPr="00AA6144" w:rsidRDefault="00056F6C" w:rsidP="00056F6C">
            <w:pPr>
              <w:pStyle w:val="AIBodyText"/>
              <w:rPr>
                <w:color w:val="auto"/>
                <w:szCs w:val="18"/>
                <w:lang w:val="en-CA"/>
              </w:rPr>
            </w:pPr>
            <w:r w:rsidRPr="00AA6144">
              <w:rPr>
                <w:i/>
                <w:iCs/>
                <w:color w:val="auto"/>
                <w:szCs w:val="18"/>
                <w:lang w:val="en-CA"/>
              </w:rPr>
              <w:t>Anti-Personnel Mines Convention Implementation Act</w:t>
            </w:r>
            <w:r w:rsidRPr="00AA6144">
              <w:rPr>
                <w:color w:val="auto"/>
                <w:szCs w:val="18"/>
                <w:lang w:val="en-CA"/>
              </w:rPr>
              <w:t>, S.C. 1997, c. 33, s. 21.</w:t>
            </w:r>
          </w:p>
          <w:p w14:paraId="5A8E7401"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s.6.</w:t>
            </w:r>
          </w:p>
          <w:p w14:paraId="26053FA1" w14:textId="77777777" w:rsidR="00056F6C" w:rsidRPr="00AA6144" w:rsidRDefault="00056F6C" w:rsidP="00056F6C">
            <w:pPr>
              <w:pStyle w:val="AIBodyText"/>
              <w:rPr>
                <w:color w:val="auto"/>
                <w:szCs w:val="18"/>
                <w:lang w:val="en-CA"/>
              </w:rPr>
            </w:pPr>
          </w:p>
          <w:p w14:paraId="3266C13B" w14:textId="77777777" w:rsidR="00056F6C" w:rsidRPr="00AA6144" w:rsidRDefault="00056F6C" w:rsidP="00056F6C">
            <w:pPr>
              <w:pStyle w:val="AIBodyText"/>
              <w:rPr>
                <w:color w:val="auto"/>
                <w:szCs w:val="18"/>
                <w:lang w:val="en-CA"/>
              </w:rPr>
            </w:pPr>
          </w:p>
          <w:p w14:paraId="2B0FC1B0" w14:textId="77777777" w:rsidR="00056F6C" w:rsidRPr="00AA6144" w:rsidRDefault="00056F6C" w:rsidP="00056F6C">
            <w:pPr>
              <w:pStyle w:val="AIBodyText"/>
              <w:rPr>
                <w:color w:val="auto"/>
                <w:szCs w:val="18"/>
                <w:lang w:val="en-CA"/>
              </w:rPr>
            </w:pPr>
          </w:p>
        </w:tc>
        <w:tc>
          <w:tcPr>
            <w:tcW w:w="2336" w:type="dxa"/>
          </w:tcPr>
          <w:p w14:paraId="16863AD5"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36936CFD" w14:textId="77777777">
        <w:tc>
          <w:tcPr>
            <w:tcW w:w="1192" w:type="dxa"/>
          </w:tcPr>
          <w:p w14:paraId="284050E8" w14:textId="77777777" w:rsidR="00056F6C" w:rsidRPr="00AA6144" w:rsidRDefault="00056F6C" w:rsidP="00056F6C">
            <w:pPr>
              <w:pStyle w:val="AIBodyText"/>
              <w:rPr>
                <w:color w:val="auto"/>
                <w:szCs w:val="18"/>
                <w:lang w:val="en-CA"/>
              </w:rPr>
            </w:pPr>
            <w:r w:rsidRPr="00AA6144">
              <w:rPr>
                <w:color w:val="auto"/>
                <w:szCs w:val="18"/>
                <w:lang w:val="en-CA"/>
              </w:rPr>
              <w:t>Harm to protected cultural property</w:t>
            </w:r>
          </w:p>
        </w:tc>
        <w:tc>
          <w:tcPr>
            <w:tcW w:w="1359" w:type="dxa"/>
          </w:tcPr>
          <w:p w14:paraId="466C89DB" w14:textId="77777777" w:rsidR="00056F6C" w:rsidRPr="00AA6144" w:rsidRDefault="00056F6C" w:rsidP="00056F6C">
            <w:pPr>
              <w:pStyle w:val="AIBodyText"/>
              <w:rPr>
                <w:color w:val="auto"/>
                <w:szCs w:val="18"/>
                <w:lang w:val="en-CA"/>
              </w:rPr>
            </w:pPr>
            <w:r w:rsidRPr="00AA6144">
              <w:rPr>
                <w:color w:val="auto"/>
                <w:szCs w:val="18"/>
                <w:lang w:val="en-CA"/>
              </w:rPr>
              <w:t>Hague Prot. 1999</w:t>
            </w:r>
            <w:r w:rsidRPr="00AA6144">
              <w:rPr>
                <w:color w:val="auto"/>
                <w:szCs w:val="18"/>
                <w:vertAlign w:val="superscript"/>
                <w:lang w:val="en-CA"/>
              </w:rPr>
              <w:footnoteReference w:id="191"/>
            </w:r>
          </w:p>
        </w:tc>
        <w:tc>
          <w:tcPr>
            <w:tcW w:w="1279" w:type="dxa"/>
          </w:tcPr>
          <w:p w14:paraId="4CF16B87" w14:textId="77777777" w:rsidR="00056F6C" w:rsidRPr="00AA6144" w:rsidRDefault="00056F6C" w:rsidP="00056F6C">
            <w:pPr>
              <w:pStyle w:val="AIBodyText"/>
              <w:rPr>
                <w:color w:val="auto"/>
                <w:szCs w:val="18"/>
                <w:lang w:val="en-CA"/>
              </w:rPr>
            </w:pPr>
            <w:r w:rsidRPr="00AA6144">
              <w:rPr>
                <w:color w:val="auto"/>
                <w:szCs w:val="18"/>
                <w:lang w:val="en-CA"/>
              </w:rPr>
              <w:t xml:space="preserve">November 29, 2005 (consent to be bound) </w:t>
            </w:r>
          </w:p>
        </w:tc>
        <w:tc>
          <w:tcPr>
            <w:tcW w:w="1292" w:type="dxa"/>
          </w:tcPr>
          <w:p w14:paraId="64B6F321" w14:textId="77777777" w:rsidR="00056F6C" w:rsidRPr="00AA6144" w:rsidRDefault="00056F6C" w:rsidP="00056F6C">
            <w:pPr>
              <w:pStyle w:val="AIBodyText"/>
              <w:rPr>
                <w:color w:val="auto"/>
                <w:szCs w:val="18"/>
                <w:lang w:val="en-CA"/>
              </w:rPr>
            </w:pPr>
            <w:r w:rsidRPr="00AA6144">
              <w:rPr>
                <w:color w:val="auto"/>
                <w:szCs w:val="18"/>
                <w:lang w:val="en-CA"/>
              </w:rPr>
              <w:t>February 28, 2006 (acceded)</w:t>
            </w:r>
          </w:p>
        </w:tc>
        <w:tc>
          <w:tcPr>
            <w:tcW w:w="1400" w:type="dxa"/>
          </w:tcPr>
          <w:p w14:paraId="599A3811"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0C65C06A"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295B5E79" w14:textId="77777777">
        <w:tc>
          <w:tcPr>
            <w:tcW w:w="1192" w:type="dxa"/>
          </w:tcPr>
          <w:p w14:paraId="50C8EE84" w14:textId="77777777" w:rsidR="00056F6C" w:rsidRPr="00AA6144" w:rsidRDefault="00056F6C" w:rsidP="00056F6C">
            <w:pPr>
              <w:pStyle w:val="AIBodyText"/>
              <w:rPr>
                <w:color w:val="auto"/>
                <w:szCs w:val="18"/>
                <w:lang w:val="en-CA"/>
              </w:rPr>
            </w:pPr>
            <w:r w:rsidRPr="00AA6144">
              <w:rPr>
                <w:color w:val="auto"/>
                <w:szCs w:val="18"/>
                <w:lang w:val="en-CA"/>
              </w:rPr>
              <w:t>Recruiting and using child soldiers</w:t>
            </w:r>
          </w:p>
        </w:tc>
        <w:tc>
          <w:tcPr>
            <w:tcW w:w="1359" w:type="dxa"/>
          </w:tcPr>
          <w:p w14:paraId="4773182B" w14:textId="77777777" w:rsidR="00056F6C" w:rsidRPr="00AA6144" w:rsidRDefault="00056F6C" w:rsidP="00056F6C">
            <w:pPr>
              <w:pStyle w:val="AIBodyText"/>
              <w:rPr>
                <w:color w:val="auto"/>
                <w:szCs w:val="18"/>
                <w:lang w:val="en-CA"/>
              </w:rPr>
            </w:pPr>
            <w:proofErr w:type="spellStart"/>
            <w:r w:rsidRPr="00AA6144">
              <w:rPr>
                <w:color w:val="auto"/>
                <w:szCs w:val="18"/>
                <w:lang w:val="en-CA"/>
              </w:rPr>
              <w:t>Opt</w:t>
            </w:r>
            <w:proofErr w:type="spellEnd"/>
            <w:r w:rsidRPr="00AA6144">
              <w:rPr>
                <w:color w:val="auto"/>
                <w:szCs w:val="18"/>
                <w:lang w:val="en-CA"/>
              </w:rPr>
              <w:t xml:space="preserve"> Prot. CRC 2000</w:t>
            </w:r>
            <w:r w:rsidRPr="00AA6144">
              <w:rPr>
                <w:color w:val="auto"/>
                <w:szCs w:val="18"/>
                <w:vertAlign w:val="superscript"/>
                <w:lang w:val="en-CA"/>
              </w:rPr>
              <w:footnoteReference w:id="192"/>
            </w:r>
          </w:p>
        </w:tc>
        <w:tc>
          <w:tcPr>
            <w:tcW w:w="1279" w:type="dxa"/>
          </w:tcPr>
          <w:p w14:paraId="2572F7C6" w14:textId="77777777" w:rsidR="00056F6C" w:rsidRPr="00AA6144" w:rsidRDefault="00056F6C" w:rsidP="00056F6C">
            <w:pPr>
              <w:pStyle w:val="AIBodyText"/>
              <w:rPr>
                <w:color w:val="auto"/>
                <w:szCs w:val="18"/>
                <w:lang w:val="en-CA"/>
              </w:rPr>
            </w:pPr>
            <w:r w:rsidRPr="00AA6144">
              <w:rPr>
                <w:color w:val="auto"/>
                <w:szCs w:val="18"/>
                <w:lang w:val="en-CA"/>
              </w:rPr>
              <w:t>June 5, 2000</w:t>
            </w:r>
          </w:p>
        </w:tc>
        <w:tc>
          <w:tcPr>
            <w:tcW w:w="1292" w:type="dxa"/>
          </w:tcPr>
          <w:p w14:paraId="46982BB7" w14:textId="77777777" w:rsidR="00056F6C" w:rsidRPr="00AA6144" w:rsidRDefault="00056F6C" w:rsidP="00056F6C">
            <w:pPr>
              <w:pStyle w:val="AIBodyText"/>
              <w:rPr>
                <w:color w:val="auto"/>
                <w:szCs w:val="18"/>
                <w:lang w:val="en-CA"/>
              </w:rPr>
            </w:pPr>
            <w:r w:rsidRPr="00AA6144">
              <w:rPr>
                <w:color w:val="auto"/>
                <w:szCs w:val="18"/>
                <w:lang w:val="en-CA"/>
              </w:rPr>
              <w:t>July 7, 2000 (ratified)</w:t>
            </w:r>
          </w:p>
        </w:tc>
        <w:tc>
          <w:tcPr>
            <w:tcW w:w="1400" w:type="dxa"/>
          </w:tcPr>
          <w:p w14:paraId="56D1DB94"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4BE19D46"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172C27FD" w14:textId="77777777">
        <w:tc>
          <w:tcPr>
            <w:tcW w:w="1192" w:type="dxa"/>
          </w:tcPr>
          <w:p w14:paraId="31440BD8" w14:textId="77777777" w:rsidR="00056F6C" w:rsidRPr="00AA6144" w:rsidRDefault="00056F6C" w:rsidP="00056F6C">
            <w:pPr>
              <w:pStyle w:val="AIBodyText"/>
              <w:rPr>
                <w:color w:val="auto"/>
                <w:szCs w:val="18"/>
                <w:lang w:val="en-CA"/>
              </w:rPr>
            </w:pPr>
            <w:r w:rsidRPr="00AA6144">
              <w:rPr>
                <w:color w:val="auto"/>
                <w:szCs w:val="18"/>
                <w:lang w:val="en-CA"/>
              </w:rPr>
              <w:t>Using certain prohibited conventional weapons</w:t>
            </w:r>
          </w:p>
        </w:tc>
        <w:tc>
          <w:tcPr>
            <w:tcW w:w="1359" w:type="dxa"/>
          </w:tcPr>
          <w:p w14:paraId="1A8726AD" w14:textId="77777777" w:rsidR="00056F6C" w:rsidRPr="00AA6144" w:rsidRDefault="00056F6C" w:rsidP="00056F6C">
            <w:pPr>
              <w:pStyle w:val="AIBodyText"/>
              <w:rPr>
                <w:color w:val="auto"/>
                <w:szCs w:val="18"/>
                <w:lang w:val="en-CA"/>
              </w:rPr>
            </w:pPr>
            <w:r w:rsidRPr="00AA6144">
              <w:rPr>
                <w:color w:val="auto"/>
                <w:szCs w:val="18"/>
                <w:lang w:val="en-CA"/>
              </w:rPr>
              <w:t xml:space="preserve">CCW </w:t>
            </w:r>
            <w:proofErr w:type="spellStart"/>
            <w:r w:rsidRPr="00AA6144">
              <w:rPr>
                <w:color w:val="auto"/>
                <w:szCs w:val="18"/>
                <w:lang w:val="en-CA"/>
              </w:rPr>
              <w:t>Amdt</w:t>
            </w:r>
            <w:proofErr w:type="spellEnd"/>
            <w:r w:rsidRPr="00AA6144">
              <w:rPr>
                <w:color w:val="auto"/>
                <w:szCs w:val="18"/>
                <w:lang w:val="en-CA"/>
              </w:rPr>
              <w:t xml:space="preserve"> 2001</w:t>
            </w:r>
            <w:r w:rsidRPr="00AA6144">
              <w:rPr>
                <w:color w:val="auto"/>
                <w:szCs w:val="18"/>
                <w:vertAlign w:val="superscript"/>
                <w:lang w:val="en-CA"/>
              </w:rPr>
              <w:footnoteReference w:id="193"/>
            </w:r>
          </w:p>
        </w:tc>
        <w:tc>
          <w:tcPr>
            <w:tcW w:w="1279" w:type="dxa"/>
          </w:tcPr>
          <w:p w14:paraId="4DE38015" w14:textId="77777777" w:rsidR="00056F6C" w:rsidRPr="00AA6144" w:rsidRDefault="00056F6C" w:rsidP="00056F6C">
            <w:pPr>
              <w:pStyle w:val="AIBodyText"/>
              <w:rPr>
                <w:color w:val="auto"/>
                <w:szCs w:val="18"/>
                <w:lang w:val="en-CA"/>
              </w:rPr>
            </w:pPr>
            <w:r w:rsidRPr="00AA6144">
              <w:rPr>
                <w:color w:val="auto"/>
                <w:szCs w:val="18"/>
                <w:lang w:val="en-CA"/>
              </w:rPr>
              <w:t xml:space="preserve">July 22, 2002 (acceptance) </w:t>
            </w:r>
          </w:p>
        </w:tc>
        <w:tc>
          <w:tcPr>
            <w:tcW w:w="1292" w:type="dxa"/>
          </w:tcPr>
          <w:p w14:paraId="2BB5792D" w14:textId="77777777" w:rsidR="00056F6C" w:rsidRPr="00AA6144" w:rsidRDefault="00056F6C" w:rsidP="00056F6C">
            <w:pPr>
              <w:pStyle w:val="AIBodyText"/>
              <w:rPr>
                <w:color w:val="auto"/>
                <w:szCs w:val="18"/>
                <w:lang w:val="en-CA"/>
              </w:rPr>
            </w:pPr>
            <w:r w:rsidRPr="00AA6144">
              <w:rPr>
                <w:color w:val="auto"/>
                <w:szCs w:val="18"/>
                <w:lang w:val="en-CA"/>
              </w:rPr>
              <w:t>May 18, 2004 (effect)</w:t>
            </w:r>
            <w:r w:rsidRPr="00AA6144">
              <w:rPr>
                <w:color w:val="auto"/>
                <w:szCs w:val="18"/>
                <w:vertAlign w:val="superscript"/>
                <w:lang w:val="en-CA"/>
              </w:rPr>
              <w:footnoteReference w:id="194"/>
            </w:r>
          </w:p>
        </w:tc>
        <w:tc>
          <w:tcPr>
            <w:tcW w:w="1400" w:type="dxa"/>
          </w:tcPr>
          <w:p w14:paraId="6BF67B20"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69DE7B46"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7789F376" w14:textId="77777777">
        <w:tc>
          <w:tcPr>
            <w:tcW w:w="1192" w:type="dxa"/>
          </w:tcPr>
          <w:p w14:paraId="1406DC8B" w14:textId="77777777" w:rsidR="00056F6C" w:rsidRPr="00AA6144" w:rsidRDefault="00056F6C" w:rsidP="00056F6C">
            <w:pPr>
              <w:pStyle w:val="AIBodyText"/>
              <w:rPr>
                <w:color w:val="auto"/>
                <w:szCs w:val="18"/>
                <w:lang w:val="en-CA"/>
              </w:rPr>
            </w:pPr>
            <w:r w:rsidRPr="00AA6144">
              <w:rPr>
                <w:color w:val="auto"/>
                <w:szCs w:val="18"/>
                <w:lang w:val="en-CA"/>
              </w:rPr>
              <w:t>Failing to clear and destroy explosive remnants of war</w:t>
            </w:r>
          </w:p>
        </w:tc>
        <w:tc>
          <w:tcPr>
            <w:tcW w:w="1359" w:type="dxa"/>
          </w:tcPr>
          <w:p w14:paraId="66478CD9" w14:textId="77777777" w:rsidR="00056F6C" w:rsidRPr="00AA6144" w:rsidRDefault="00056F6C" w:rsidP="00056F6C">
            <w:pPr>
              <w:pStyle w:val="AIBodyText"/>
              <w:rPr>
                <w:color w:val="auto"/>
                <w:szCs w:val="18"/>
                <w:lang w:val="en-CA"/>
              </w:rPr>
            </w:pPr>
            <w:r w:rsidRPr="00AA6144">
              <w:rPr>
                <w:color w:val="auto"/>
                <w:szCs w:val="18"/>
                <w:lang w:val="en-CA"/>
              </w:rPr>
              <w:t>CCW Prot. V</w:t>
            </w:r>
            <w:r w:rsidRPr="00AA6144">
              <w:rPr>
                <w:color w:val="auto"/>
                <w:szCs w:val="18"/>
                <w:vertAlign w:val="superscript"/>
                <w:lang w:val="en-CA"/>
              </w:rPr>
              <w:footnoteReference w:id="195"/>
            </w:r>
          </w:p>
        </w:tc>
        <w:tc>
          <w:tcPr>
            <w:tcW w:w="1279" w:type="dxa"/>
          </w:tcPr>
          <w:p w14:paraId="61F33E31" w14:textId="77777777" w:rsidR="00056F6C" w:rsidRPr="00AA6144" w:rsidRDefault="00056F6C" w:rsidP="00056F6C">
            <w:pPr>
              <w:pStyle w:val="AIBodyText"/>
              <w:rPr>
                <w:color w:val="auto"/>
                <w:szCs w:val="18"/>
                <w:lang w:val="en-CA"/>
              </w:rPr>
            </w:pPr>
            <w:r w:rsidRPr="00AA6144">
              <w:rPr>
                <w:color w:val="auto"/>
                <w:szCs w:val="18"/>
                <w:lang w:val="en-CA"/>
              </w:rPr>
              <w:t xml:space="preserve">May 19, 2009 (consent to be bound) </w:t>
            </w:r>
          </w:p>
        </w:tc>
        <w:tc>
          <w:tcPr>
            <w:tcW w:w="1292" w:type="dxa"/>
          </w:tcPr>
          <w:p w14:paraId="4BA5C414" w14:textId="77777777" w:rsidR="00056F6C" w:rsidRPr="00AA6144" w:rsidRDefault="00056F6C" w:rsidP="00056F6C">
            <w:pPr>
              <w:pStyle w:val="AIBodyText"/>
              <w:rPr>
                <w:color w:val="auto"/>
                <w:szCs w:val="18"/>
                <w:lang w:val="en-CA"/>
              </w:rPr>
            </w:pPr>
            <w:r w:rsidRPr="00AA6144">
              <w:rPr>
                <w:color w:val="auto"/>
                <w:szCs w:val="18"/>
                <w:lang w:val="en-CA"/>
              </w:rPr>
              <w:t>November 19, 2009 (effect)</w:t>
            </w:r>
          </w:p>
        </w:tc>
        <w:tc>
          <w:tcPr>
            <w:tcW w:w="1400" w:type="dxa"/>
          </w:tcPr>
          <w:p w14:paraId="31600AC8"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xml:space="preserve">, S.C.-2000, c. 24, s.6. </w:t>
            </w:r>
          </w:p>
        </w:tc>
        <w:tc>
          <w:tcPr>
            <w:tcW w:w="2336" w:type="dxa"/>
          </w:tcPr>
          <w:p w14:paraId="4C8A7A7D" w14:textId="77777777" w:rsidR="00056F6C" w:rsidRPr="00AA6144" w:rsidRDefault="00056F6C" w:rsidP="00056F6C">
            <w:pPr>
              <w:pStyle w:val="AIBodyText"/>
              <w:rPr>
                <w:color w:val="auto"/>
                <w:szCs w:val="18"/>
                <w:lang w:val="en-CA"/>
              </w:rPr>
            </w:pPr>
            <w:r w:rsidRPr="00AA6144">
              <w:rPr>
                <w:i/>
                <w:iCs/>
                <w:color w:val="auto"/>
                <w:szCs w:val="18"/>
                <w:lang w:val="en-CA"/>
              </w:rPr>
              <w:t>Crimes Against Humanity and War Crimes Act</w:t>
            </w:r>
            <w:r w:rsidRPr="00AA6144">
              <w:rPr>
                <w:color w:val="auto"/>
                <w:szCs w:val="18"/>
                <w:lang w:val="en-CA"/>
              </w:rPr>
              <w:t>, S.C.-2000, c. 24, s.8 b).</w:t>
            </w:r>
          </w:p>
        </w:tc>
      </w:tr>
      <w:tr w:rsidR="00056F6C" w:rsidRPr="00AA6144" w14:paraId="02668A43" w14:textId="77777777">
        <w:tc>
          <w:tcPr>
            <w:tcW w:w="1192" w:type="dxa"/>
          </w:tcPr>
          <w:p w14:paraId="024DDED9" w14:textId="77777777" w:rsidR="00056F6C" w:rsidRPr="00AA6144" w:rsidRDefault="00056F6C" w:rsidP="00056F6C">
            <w:pPr>
              <w:pStyle w:val="AIBodyText"/>
              <w:rPr>
                <w:color w:val="auto"/>
                <w:szCs w:val="18"/>
                <w:lang w:val="en-CA"/>
              </w:rPr>
            </w:pPr>
            <w:r w:rsidRPr="00AA6144">
              <w:rPr>
                <w:color w:val="auto"/>
                <w:szCs w:val="18"/>
                <w:lang w:val="en-CA"/>
              </w:rPr>
              <w:t>Use of prohibited cluster munitions</w:t>
            </w:r>
          </w:p>
        </w:tc>
        <w:tc>
          <w:tcPr>
            <w:tcW w:w="1359" w:type="dxa"/>
          </w:tcPr>
          <w:p w14:paraId="006ACA62" w14:textId="77777777" w:rsidR="00056F6C" w:rsidRPr="00AA6144" w:rsidRDefault="00056F6C" w:rsidP="00056F6C">
            <w:pPr>
              <w:pStyle w:val="AIBodyText"/>
              <w:rPr>
                <w:color w:val="auto"/>
                <w:szCs w:val="18"/>
                <w:lang w:val="en-CA"/>
              </w:rPr>
            </w:pPr>
            <w:r w:rsidRPr="00AA6144">
              <w:rPr>
                <w:color w:val="auto"/>
                <w:szCs w:val="18"/>
                <w:lang w:val="en-CA"/>
              </w:rPr>
              <w:t>Cluster Munitions 2008</w:t>
            </w:r>
            <w:r w:rsidRPr="00AA6144">
              <w:rPr>
                <w:color w:val="auto"/>
                <w:szCs w:val="18"/>
                <w:vertAlign w:val="superscript"/>
                <w:lang w:val="en-CA"/>
              </w:rPr>
              <w:footnoteReference w:id="196"/>
            </w:r>
          </w:p>
        </w:tc>
        <w:tc>
          <w:tcPr>
            <w:tcW w:w="1279" w:type="dxa"/>
          </w:tcPr>
          <w:p w14:paraId="1BE2B0C7" w14:textId="77777777" w:rsidR="00056F6C" w:rsidRPr="00AA6144" w:rsidRDefault="00056F6C" w:rsidP="00056F6C">
            <w:pPr>
              <w:pStyle w:val="AIBodyText"/>
              <w:rPr>
                <w:color w:val="auto"/>
                <w:szCs w:val="18"/>
                <w:lang w:val="en-CA"/>
              </w:rPr>
            </w:pPr>
            <w:r w:rsidRPr="00AA6144">
              <w:rPr>
                <w:color w:val="auto"/>
                <w:szCs w:val="18"/>
                <w:lang w:val="en-CA"/>
              </w:rPr>
              <w:t>December 3, 2008</w:t>
            </w:r>
          </w:p>
        </w:tc>
        <w:tc>
          <w:tcPr>
            <w:tcW w:w="1292" w:type="dxa"/>
          </w:tcPr>
          <w:p w14:paraId="62A47BFB" w14:textId="77777777" w:rsidR="00056F6C" w:rsidRPr="00AA6144" w:rsidRDefault="00056F6C" w:rsidP="00056F6C">
            <w:pPr>
              <w:pStyle w:val="AIBodyText"/>
              <w:rPr>
                <w:color w:val="auto"/>
                <w:szCs w:val="18"/>
                <w:lang w:val="en-CA"/>
              </w:rPr>
            </w:pPr>
            <w:r w:rsidRPr="00AA6144">
              <w:rPr>
                <w:color w:val="auto"/>
                <w:szCs w:val="18"/>
                <w:lang w:val="en-CA"/>
              </w:rPr>
              <w:t>NO</w:t>
            </w:r>
          </w:p>
        </w:tc>
        <w:tc>
          <w:tcPr>
            <w:tcW w:w="1400" w:type="dxa"/>
          </w:tcPr>
          <w:p w14:paraId="5B3533FF" w14:textId="77777777" w:rsidR="00056F6C" w:rsidRPr="00AA6144" w:rsidRDefault="00056F6C" w:rsidP="00056F6C">
            <w:pPr>
              <w:pStyle w:val="AIBodyText"/>
              <w:rPr>
                <w:color w:val="auto"/>
                <w:szCs w:val="18"/>
                <w:lang w:val="en-CA"/>
              </w:rPr>
            </w:pPr>
            <w:r w:rsidRPr="00AA6144">
              <w:rPr>
                <w:color w:val="auto"/>
                <w:szCs w:val="18"/>
                <w:lang w:val="en-CA"/>
              </w:rPr>
              <w:t>NO</w:t>
            </w:r>
          </w:p>
        </w:tc>
        <w:tc>
          <w:tcPr>
            <w:tcW w:w="2336" w:type="dxa"/>
          </w:tcPr>
          <w:p w14:paraId="23189DB2" w14:textId="77777777" w:rsidR="00056F6C" w:rsidRPr="00AA6144" w:rsidRDefault="00056F6C" w:rsidP="00056F6C">
            <w:pPr>
              <w:pStyle w:val="AIBodyText"/>
              <w:rPr>
                <w:color w:val="auto"/>
                <w:szCs w:val="18"/>
                <w:lang w:val="en-CA"/>
              </w:rPr>
            </w:pPr>
            <w:r w:rsidRPr="00AA6144">
              <w:rPr>
                <w:color w:val="auto"/>
                <w:szCs w:val="18"/>
                <w:lang w:val="en-CA"/>
              </w:rPr>
              <w:t>NO (Unless the trial judge concludes that the use of prohibited cluster munitions is a crime under customary international law.)</w:t>
            </w:r>
          </w:p>
        </w:tc>
      </w:tr>
    </w:tbl>
    <w:p w14:paraId="32D2E297" w14:textId="77777777" w:rsidR="00E800B8" w:rsidRPr="00AA6144" w:rsidRDefault="00E800B8" w:rsidP="001E3D97">
      <w:pPr>
        <w:pStyle w:val="AIBodyText"/>
        <w:rPr>
          <w:color w:val="auto"/>
          <w:lang w:val="en-CA"/>
        </w:rPr>
      </w:pPr>
    </w:p>
    <w:p w14:paraId="5F4B81D0" w14:textId="77777777" w:rsidR="00AD1220" w:rsidRPr="00AA6144" w:rsidRDefault="00B2302B" w:rsidP="005D4819">
      <w:pPr>
        <w:pStyle w:val="AIBodyText"/>
        <w:rPr>
          <w:color w:val="auto"/>
          <w:lang w:val="en-CA"/>
        </w:rPr>
      </w:pPr>
      <w:r w:rsidRPr="00AA6144">
        <w:rPr>
          <w:b/>
          <w:i/>
          <w:color w:val="auto"/>
          <w:lang w:val="en-CA"/>
        </w:rPr>
        <w:t>Rules of customary international humanitarian law.</w:t>
      </w:r>
      <w:r w:rsidRPr="00AA6144">
        <w:rPr>
          <w:color w:val="auto"/>
          <w:lang w:val="en-CA"/>
        </w:rPr>
        <w:t xml:space="preserve"> </w:t>
      </w:r>
      <w:r w:rsidR="00AD1220" w:rsidRPr="00AA6144">
        <w:rPr>
          <w:color w:val="auto"/>
          <w:lang w:val="en-CA"/>
        </w:rPr>
        <w:t>Finally, there a</w:t>
      </w:r>
      <w:r w:rsidR="00E800B8" w:rsidRPr="00AA6144">
        <w:rPr>
          <w:color w:val="auto"/>
          <w:lang w:val="en-CA"/>
        </w:rPr>
        <w:t xml:space="preserve">re </w:t>
      </w:r>
      <w:proofErr w:type="gramStart"/>
      <w:r w:rsidR="00E800B8" w:rsidRPr="00AA6144">
        <w:rPr>
          <w:color w:val="auto"/>
          <w:lang w:val="en-CA"/>
        </w:rPr>
        <w:t>a</w:t>
      </w:r>
      <w:r w:rsidR="00AD1220" w:rsidRPr="00AA6144">
        <w:rPr>
          <w:color w:val="auto"/>
          <w:lang w:val="en-CA"/>
        </w:rPr>
        <w:t xml:space="preserve"> number of</w:t>
      </w:r>
      <w:proofErr w:type="gramEnd"/>
      <w:r w:rsidR="00AD1220" w:rsidRPr="00AA6144">
        <w:rPr>
          <w:color w:val="auto"/>
          <w:lang w:val="en-CA"/>
        </w:rPr>
        <w:t xml:space="preserve"> rules of customary international law applicable </w:t>
      </w:r>
      <w:r w:rsidR="00D97BDD" w:rsidRPr="00AA6144">
        <w:rPr>
          <w:color w:val="auto"/>
          <w:lang w:val="en-CA"/>
        </w:rPr>
        <w:t>in</w:t>
      </w:r>
      <w:r w:rsidR="00AD1220" w:rsidRPr="00AA6144">
        <w:rPr>
          <w:color w:val="auto"/>
          <w:lang w:val="en-CA"/>
        </w:rPr>
        <w:t xml:space="preserve"> non-international armed conflict which, if violated, could lead to individual criminal responsibility for war crimes</w:t>
      </w:r>
      <w:r w:rsidR="007A4B53" w:rsidRPr="00AA6144">
        <w:rPr>
          <w:color w:val="auto"/>
          <w:lang w:val="en-CA"/>
        </w:rPr>
        <w:t xml:space="preserve">. </w:t>
      </w:r>
      <w:r w:rsidRPr="00AA6144">
        <w:rPr>
          <w:color w:val="auto"/>
          <w:lang w:val="en-CA"/>
        </w:rPr>
        <w:t xml:space="preserve">Some of these rules are listed in </w:t>
      </w:r>
      <w:r w:rsidR="00693437" w:rsidRPr="00AA6144">
        <w:rPr>
          <w:color w:val="auto"/>
          <w:lang w:val="en-CA"/>
        </w:rPr>
        <w:t>Chart VI</w:t>
      </w:r>
      <w:r w:rsidR="00D97BDD" w:rsidRPr="00AA6144">
        <w:rPr>
          <w:color w:val="auto"/>
          <w:lang w:val="en-CA"/>
        </w:rPr>
        <w:t>.</w:t>
      </w:r>
      <w:r w:rsidR="00823B47" w:rsidRPr="00AA6144">
        <w:rPr>
          <w:color w:val="auto"/>
          <w:lang w:val="en-CA"/>
        </w:rPr>
        <w:t xml:space="preserve"> The chart</w:t>
      </w:r>
      <w:r w:rsidR="00056F6C" w:rsidRPr="00AA6144">
        <w:rPr>
          <w:color w:val="auto"/>
          <w:szCs w:val="18"/>
          <w:lang w:val="en-CA"/>
        </w:rPr>
        <w:t xml:space="preserve"> indicates that Canada has defined violations of these treaties as war crimes under national law. It also indicates that Canada has authorized its courts to exercise universal jurisdiction over </w:t>
      </w:r>
      <w:r w:rsidR="00C32DC9" w:rsidRPr="00AA6144">
        <w:rPr>
          <w:color w:val="auto"/>
          <w:szCs w:val="18"/>
          <w:lang w:val="en-CA"/>
        </w:rPr>
        <w:t>these crimes</w:t>
      </w:r>
      <w:r w:rsidR="00D83DE0" w:rsidRPr="00AA6144">
        <w:rPr>
          <w:color w:val="auto"/>
          <w:szCs w:val="18"/>
          <w:lang w:val="en-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gridCol w:w="2227"/>
      </w:tblGrid>
      <w:tr w:rsidR="00056F6C" w:rsidRPr="00AA6144" w14:paraId="55E3F27B" w14:textId="77777777">
        <w:trPr>
          <w:tblHeader/>
        </w:trPr>
        <w:tc>
          <w:tcPr>
            <w:tcW w:w="7580" w:type="dxa"/>
            <w:gridSpan w:val="3"/>
            <w:shd w:val="clear" w:color="auto" w:fill="000000"/>
          </w:tcPr>
          <w:p w14:paraId="6EBFF9ED" w14:textId="77777777" w:rsidR="00056F6C" w:rsidRPr="00AA6144" w:rsidRDefault="00056F6C" w:rsidP="00056F6C">
            <w:pPr>
              <w:pStyle w:val="AIBodyText"/>
              <w:rPr>
                <w:b/>
                <w:color w:val="auto"/>
                <w:lang w:val="en-CA"/>
              </w:rPr>
            </w:pPr>
            <w:r w:rsidRPr="00AA6144">
              <w:rPr>
                <w:b/>
                <w:color w:val="auto"/>
                <w:lang w:val="en-CA"/>
              </w:rPr>
              <w:t>CHART VI. RULES OF CUSTOMARY INTERNATIONAL LAW APPLICABLE TO NON-INTERNATIONAL ARMED CONFLICT WHICH, IF VIOLATED, COULD LEAD TO INDIVIDUAL CRIMINAL RESPONSIBILITY FOR WAR CRIMES</w:t>
            </w:r>
          </w:p>
        </w:tc>
      </w:tr>
      <w:tr w:rsidR="00056F6C" w:rsidRPr="00AA6144" w14:paraId="25B442FC" w14:textId="77777777">
        <w:trPr>
          <w:tblHeader/>
        </w:trPr>
        <w:tc>
          <w:tcPr>
            <w:tcW w:w="3369" w:type="dxa"/>
          </w:tcPr>
          <w:p w14:paraId="24DA3C6A" w14:textId="77777777" w:rsidR="00056F6C" w:rsidRPr="00AA6144" w:rsidRDefault="00056F6C" w:rsidP="00056F6C">
            <w:pPr>
              <w:pStyle w:val="AIBodyText"/>
              <w:rPr>
                <w:color w:val="auto"/>
                <w:lang w:val="en-CA"/>
              </w:rPr>
            </w:pPr>
            <w:r w:rsidRPr="00AA6144">
              <w:rPr>
                <w:color w:val="auto"/>
                <w:lang w:val="en-CA"/>
              </w:rPr>
              <w:t>Rule of customary international humanitarian law</w:t>
            </w:r>
          </w:p>
        </w:tc>
        <w:tc>
          <w:tcPr>
            <w:tcW w:w="1984" w:type="dxa"/>
          </w:tcPr>
          <w:p w14:paraId="634C7F47" w14:textId="77777777" w:rsidR="00056F6C" w:rsidRPr="00AA6144" w:rsidRDefault="00056F6C" w:rsidP="00056F6C">
            <w:pPr>
              <w:pStyle w:val="AIBodyText"/>
              <w:rPr>
                <w:color w:val="auto"/>
                <w:lang w:val="en-CA"/>
              </w:rPr>
            </w:pPr>
            <w:r w:rsidRPr="00AA6144">
              <w:rPr>
                <w:color w:val="auto"/>
                <w:lang w:val="en-CA"/>
              </w:rPr>
              <w:t>Defined in national law (citation to any relevant provision)</w:t>
            </w:r>
          </w:p>
        </w:tc>
        <w:tc>
          <w:tcPr>
            <w:tcW w:w="2227" w:type="dxa"/>
          </w:tcPr>
          <w:p w14:paraId="08BBBFA8" w14:textId="77777777" w:rsidR="00056F6C" w:rsidRPr="00AA6144" w:rsidRDefault="00056F6C" w:rsidP="00056F6C">
            <w:pPr>
              <w:pStyle w:val="AIBodyText"/>
              <w:rPr>
                <w:color w:val="auto"/>
                <w:lang w:val="en-CA"/>
              </w:rPr>
            </w:pPr>
            <w:r w:rsidRPr="00AA6144">
              <w:rPr>
                <w:color w:val="auto"/>
                <w:lang w:val="en-CA"/>
              </w:rPr>
              <w:t>Universal jurisdiction (citation to any relevant provision)</w:t>
            </w:r>
          </w:p>
        </w:tc>
      </w:tr>
      <w:tr w:rsidR="00056F6C" w:rsidRPr="00AA6144" w14:paraId="2282D640" w14:textId="77777777">
        <w:tc>
          <w:tcPr>
            <w:tcW w:w="3369" w:type="dxa"/>
          </w:tcPr>
          <w:p w14:paraId="0F7A84CF" w14:textId="77777777" w:rsidR="00056F6C" w:rsidRPr="00AA6144" w:rsidRDefault="00056F6C" w:rsidP="00056F6C">
            <w:pPr>
              <w:pStyle w:val="AIBodyText"/>
              <w:rPr>
                <w:color w:val="auto"/>
                <w:lang w:val="en-CA"/>
              </w:rPr>
            </w:pPr>
            <w:r w:rsidRPr="00AA6144">
              <w:rPr>
                <w:color w:val="auto"/>
                <w:lang w:val="en-CA"/>
              </w:rPr>
              <w:t>Use of biological weapons</w:t>
            </w:r>
            <w:r w:rsidRPr="00AA6144">
              <w:rPr>
                <w:color w:val="auto"/>
                <w:vertAlign w:val="superscript"/>
                <w:lang w:val="en-CA"/>
              </w:rPr>
              <w:footnoteReference w:id="197"/>
            </w:r>
          </w:p>
        </w:tc>
        <w:tc>
          <w:tcPr>
            <w:tcW w:w="1984" w:type="dxa"/>
          </w:tcPr>
          <w:p w14:paraId="6A45A2B5"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tc>
        <w:tc>
          <w:tcPr>
            <w:tcW w:w="2227" w:type="dxa"/>
          </w:tcPr>
          <w:p w14:paraId="0C7FEBB9"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4906A099" w14:textId="77777777">
        <w:tc>
          <w:tcPr>
            <w:tcW w:w="3369" w:type="dxa"/>
          </w:tcPr>
          <w:p w14:paraId="43D4A02C" w14:textId="77777777" w:rsidR="00056F6C" w:rsidRPr="00AA6144" w:rsidRDefault="00056F6C" w:rsidP="00056F6C">
            <w:pPr>
              <w:pStyle w:val="AIBodyText"/>
              <w:rPr>
                <w:color w:val="auto"/>
                <w:lang w:val="en-CA"/>
              </w:rPr>
            </w:pPr>
            <w:r w:rsidRPr="00AA6144">
              <w:rPr>
                <w:color w:val="auto"/>
                <w:lang w:val="en-CA"/>
              </w:rPr>
              <w:t>Use of chemical weapons</w:t>
            </w:r>
            <w:r w:rsidRPr="00AA6144">
              <w:rPr>
                <w:color w:val="auto"/>
                <w:vertAlign w:val="superscript"/>
                <w:lang w:val="en-CA"/>
              </w:rPr>
              <w:footnoteReference w:id="198"/>
            </w:r>
          </w:p>
          <w:p w14:paraId="10621804" w14:textId="5753C5B5" w:rsidR="00F4757C" w:rsidRPr="00AA6144" w:rsidRDefault="00F4757C" w:rsidP="00056F6C">
            <w:pPr>
              <w:pStyle w:val="AIBodyText"/>
              <w:rPr>
                <w:color w:val="auto"/>
                <w:lang w:val="en-CA"/>
              </w:rPr>
            </w:pPr>
          </w:p>
        </w:tc>
        <w:tc>
          <w:tcPr>
            <w:tcW w:w="1984" w:type="dxa"/>
          </w:tcPr>
          <w:p w14:paraId="06B2331C"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p w14:paraId="1E3FFEDD" w14:textId="3D6378EC" w:rsidR="008A0F11" w:rsidRPr="00AA6144" w:rsidRDefault="008A0F11" w:rsidP="00056F6C">
            <w:pPr>
              <w:pStyle w:val="AIBodyText"/>
              <w:rPr>
                <w:color w:val="auto"/>
                <w:lang w:val="en-CA"/>
              </w:rPr>
            </w:pPr>
            <w:r w:rsidRPr="00AA6144">
              <w:rPr>
                <w:i/>
                <w:lang w:val="en-CA"/>
              </w:rPr>
              <w:t>Rome Statute</w:t>
            </w:r>
            <w:r w:rsidRPr="00AA6144">
              <w:rPr>
                <w:lang w:val="en-CA"/>
              </w:rPr>
              <w:t>, articles 8(2)(e)(xiii)</w:t>
            </w:r>
            <w:r w:rsidRPr="00AA6144">
              <w:rPr>
                <w:rStyle w:val="FootnoteReference"/>
                <w:lang w:val="en-CA"/>
              </w:rPr>
              <w:footnoteReference w:id="199"/>
            </w:r>
          </w:p>
        </w:tc>
        <w:tc>
          <w:tcPr>
            <w:tcW w:w="2227" w:type="dxa"/>
          </w:tcPr>
          <w:p w14:paraId="18211A9C"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6A2A16F9" w14:textId="77777777">
        <w:tc>
          <w:tcPr>
            <w:tcW w:w="3369" w:type="dxa"/>
          </w:tcPr>
          <w:p w14:paraId="1E4BE3D4" w14:textId="77777777" w:rsidR="00056F6C" w:rsidRPr="00AA6144" w:rsidRDefault="00056F6C" w:rsidP="00056F6C">
            <w:pPr>
              <w:pStyle w:val="AIBodyText"/>
              <w:rPr>
                <w:color w:val="auto"/>
                <w:lang w:val="en-CA"/>
              </w:rPr>
            </w:pPr>
            <w:r w:rsidRPr="00AA6144">
              <w:rPr>
                <w:color w:val="auto"/>
                <w:lang w:val="en-CA"/>
              </w:rPr>
              <w:t>Use of non-detectable fragments</w:t>
            </w:r>
            <w:r w:rsidRPr="00AA6144">
              <w:rPr>
                <w:color w:val="auto"/>
                <w:vertAlign w:val="superscript"/>
                <w:lang w:val="en-CA"/>
              </w:rPr>
              <w:footnoteReference w:id="200"/>
            </w:r>
          </w:p>
        </w:tc>
        <w:tc>
          <w:tcPr>
            <w:tcW w:w="1984" w:type="dxa"/>
          </w:tcPr>
          <w:p w14:paraId="606FF21D"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tc>
        <w:tc>
          <w:tcPr>
            <w:tcW w:w="2227" w:type="dxa"/>
          </w:tcPr>
          <w:p w14:paraId="41A821EB"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31A9D0B3" w14:textId="77777777">
        <w:tc>
          <w:tcPr>
            <w:tcW w:w="3369" w:type="dxa"/>
          </w:tcPr>
          <w:p w14:paraId="6BC05028" w14:textId="77777777" w:rsidR="00056F6C" w:rsidRPr="00AA6144" w:rsidRDefault="00056F6C" w:rsidP="00056F6C">
            <w:pPr>
              <w:pStyle w:val="AIBodyText"/>
              <w:rPr>
                <w:color w:val="auto"/>
                <w:lang w:val="en-CA"/>
              </w:rPr>
            </w:pPr>
            <w:r w:rsidRPr="00AA6144">
              <w:rPr>
                <w:color w:val="auto"/>
                <w:lang w:val="en-CA"/>
              </w:rPr>
              <w:t>Use of blinding laser weapons</w:t>
            </w:r>
            <w:r w:rsidRPr="00AA6144">
              <w:rPr>
                <w:color w:val="auto"/>
                <w:vertAlign w:val="superscript"/>
                <w:lang w:val="en-CA"/>
              </w:rPr>
              <w:footnoteReference w:id="201"/>
            </w:r>
          </w:p>
        </w:tc>
        <w:tc>
          <w:tcPr>
            <w:tcW w:w="1984" w:type="dxa"/>
          </w:tcPr>
          <w:p w14:paraId="4BCFF87B"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tc>
        <w:tc>
          <w:tcPr>
            <w:tcW w:w="2227" w:type="dxa"/>
          </w:tcPr>
          <w:p w14:paraId="047C5A88"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5C82D08B" w14:textId="77777777">
        <w:tc>
          <w:tcPr>
            <w:tcW w:w="3369" w:type="dxa"/>
          </w:tcPr>
          <w:p w14:paraId="5AB82CD5" w14:textId="77777777" w:rsidR="00056F6C" w:rsidRPr="00AA6144" w:rsidRDefault="00056F6C" w:rsidP="00056F6C">
            <w:pPr>
              <w:pStyle w:val="AIBodyText"/>
              <w:rPr>
                <w:color w:val="auto"/>
                <w:lang w:val="en-CA"/>
              </w:rPr>
            </w:pPr>
            <w:r w:rsidRPr="00AA6144">
              <w:rPr>
                <w:color w:val="auto"/>
                <w:lang w:val="en-CA"/>
              </w:rPr>
              <w:t xml:space="preserve">Launching an indiscriminate attack resulting in death or injury to civilians, or an attack in the knowledge that it will cause excessive Incidental civilian loss, </w:t>
            </w:r>
            <w:proofErr w:type="gramStart"/>
            <w:r w:rsidRPr="00AA6144">
              <w:rPr>
                <w:color w:val="auto"/>
                <w:lang w:val="en-CA"/>
              </w:rPr>
              <w:t>injury</w:t>
            </w:r>
            <w:proofErr w:type="gramEnd"/>
            <w:r w:rsidRPr="00AA6144">
              <w:rPr>
                <w:color w:val="auto"/>
                <w:lang w:val="en-CA"/>
              </w:rPr>
              <w:t xml:space="preserve"> or damage</w:t>
            </w:r>
            <w:r w:rsidRPr="00AA6144">
              <w:rPr>
                <w:color w:val="auto"/>
                <w:vertAlign w:val="superscript"/>
                <w:lang w:val="en-CA"/>
              </w:rPr>
              <w:footnoteReference w:id="202"/>
            </w:r>
          </w:p>
        </w:tc>
        <w:tc>
          <w:tcPr>
            <w:tcW w:w="1984" w:type="dxa"/>
          </w:tcPr>
          <w:p w14:paraId="669CBDFE"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tc>
        <w:tc>
          <w:tcPr>
            <w:tcW w:w="2227" w:type="dxa"/>
          </w:tcPr>
          <w:p w14:paraId="2631B894"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63BB2012" w14:textId="77777777">
        <w:tc>
          <w:tcPr>
            <w:tcW w:w="3369" w:type="dxa"/>
          </w:tcPr>
          <w:p w14:paraId="218748FA" w14:textId="77777777" w:rsidR="00056F6C" w:rsidRPr="00AA6144" w:rsidRDefault="00056F6C" w:rsidP="00056F6C">
            <w:pPr>
              <w:pStyle w:val="AIBodyText"/>
              <w:rPr>
                <w:color w:val="auto"/>
                <w:lang w:val="en-CA"/>
              </w:rPr>
            </w:pPr>
            <w:r w:rsidRPr="00AA6144">
              <w:rPr>
                <w:color w:val="auto"/>
                <w:lang w:val="en-CA"/>
              </w:rPr>
              <w:t>Making non-defended localities and demilitarized zones the object of attack</w:t>
            </w:r>
            <w:r w:rsidRPr="00AA6144">
              <w:rPr>
                <w:color w:val="auto"/>
                <w:vertAlign w:val="superscript"/>
                <w:lang w:val="en-CA"/>
              </w:rPr>
              <w:footnoteReference w:id="203"/>
            </w:r>
          </w:p>
        </w:tc>
        <w:tc>
          <w:tcPr>
            <w:tcW w:w="1984" w:type="dxa"/>
          </w:tcPr>
          <w:p w14:paraId="5E07688C"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tc>
        <w:tc>
          <w:tcPr>
            <w:tcW w:w="2227" w:type="dxa"/>
          </w:tcPr>
          <w:p w14:paraId="5D42B8DF"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69F6BF8A" w14:textId="77777777">
        <w:tc>
          <w:tcPr>
            <w:tcW w:w="3369" w:type="dxa"/>
          </w:tcPr>
          <w:p w14:paraId="1CCA434F" w14:textId="77777777" w:rsidR="00056F6C" w:rsidRPr="00AA6144" w:rsidRDefault="00056F6C" w:rsidP="00056F6C">
            <w:pPr>
              <w:pStyle w:val="AIBodyText"/>
              <w:rPr>
                <w:color w:val="auto"/>
                <w:lang w:val="en-CA"/>
              </w:rPr>
            </w:pPr>
            <w:r w:rsidRPr="00AA6144">
              <w:rPr>
                <w:color w:val="auto"/>
                <w:lang w:val="en-CA"/>
              </w:rPr>
              <w:t>Using human shields</w:t>
            </w:r>
            <w:r w:rsidRPr="00AA6144">
              <w:rPr>
                <w:color w:val="auto"/>
                <w:vertAlign w:val="superscript"/>
                <w:lang w:val="en-CA"/>
              </w:rPr>
              <w:footnoteReference w:id="204"/>
            </w:r>
          </w:p>
        </w:tc>
        <w:tc>
          <w:tcPr>
            <w:tcW w:w="1984" w:type="dxa"/>
          </w:tcPr>
          <w:p w14:paraId="1684EF57"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tc>
        <w:tc>
          <w:tcPr>
            <w:tcW w:w="2227" w:type="dxa"/>
          </w:tcPr>
          <w:p w14:paraId="04DE9495"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0C7472D6" w14:textId="77777777">
        <w:tc>
          <w:tcPr>
            <w:tcW w:w="3369" w:type="dxa"/>
          </w:tcPr>
          <w:p w14:paraId="3A1EFFCD" w14:textId="77777777" w:rsidR="00056F6C" w:rsidRPr="00AA6144" w:rsidRDefault="00056F6C" w:rsidP="00056F6C">
            <w:pPr>
              <w:pStyle w:val="AIBodyText"/>
              <w:rPr>
                <w:color w:val="auto"/>
                <w:lang w:val="en-CA"/>
              </w:rPr>
            </w:pPr>
            <w:r w:rsidRPr="00AA6144">
              <w:rPr>
                <w:color w:val="auto"/>
                <w:lang w:val="en-CA"/>
              </w:rPr>
              <w:t>Slavery</w:t>
            </w:r>
            <w:r w:rsidRPr="00AA6144">
              <w:rPr>
                <w:color w:val="auto"/>
                <w:vertAlign w:val="superscript"/>
                <w:lang w:val="en-CA"/>
              </w:rPr>
              <w:footnoteReference w:id="205"/>
            </w:r>
          </w:p>
        </w:tc>
        <w:tc>
          <w:tcPr>
            <w:tcW w:w="1984" w:type="dxa"/>
          </w:tcPr>
          <w:p w14:paraId="5248402D"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tc>
        <w:tc>
          <w:tcPr>
            <w:tcW w:w="2227" w:type="dxa"/>
          </w:tcPr>
          <w:p w14:paraId="38D2DCFC"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09821388" w14:textId="77777777">
        <w:tc>
          <w:tcPr>
            <w:tcW w:w="3369" w:type="dxa"/>
          </w:tcPr>
          <w:p w14:paraId="6A663390" w14:textId="77777777" w:rsidR="00056F6C" w:rsidRPr="00AA6144" w:rsidRDefault="00056F6C" w:rsidP="00056F6C">
            <w:pPr>
              <w:pStyle w:val="AIBodyText"/>
              <w:rPr>
                <w:color w:val="auto"/>
                <w:lang w:val="en-CA"/>
              </w:rPr>
            </w:pPr>
            <w:r w:rsidRPr="00AA6144">
              <w:rPr>
                <w:color w:val="auto"/>
                <w:lang w:val="en-CA"/>
              </w:rPr>
              <w:t>Collective punishments</w:t>
            </w:r>
            <w:r w:rsidRPr="00AA6144">
              <w:rPr>
                <w:color w:val="auto"/>
                <w:vertAlign w:val="superscript"/>
                <w:lang w:val="en-CA"/>
              </w:rPr>
              <w:footnoteReference w:id="206"/>
            </w:r>
          </w:p>
        </w:tc>
        <w:tc>
          <w:tcPr>
            <w:tcW w:w="1984" w:type="dxa"/>
          </w:tcPr>
          <w:p w14:paraId="6DD50183"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tc>
        <w:tc>
          <w:tcPr>
            <w:tcW w:w="2227" w:type="dxa"/>
          </w:tcPr>
          <w:p w14:paraId="1FA7F581"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391259E9" w14:textId="77777777">
        <w:tc>
          <w:tcPr>
            <w:tcW w:w="3369" w:type="dxa"/>
          </w:tcPr>
          <w:p w14:paraId="5E340EB0" w14:textId="77777777" w:rsidR="00056F6C" w:rsidRPr="00AA6144" w:rsidRDefault="00056F6C" w:rsidP="00056F6C">
            <w:pPr>
              <w:pStyle w:val="AIBodyText"/>
              <w:rPr>
                <w:color w:val="auto"/>
                <w:lang w:val="en-CA"/>
              </w:rPr>
            </w:pPr>
            <w:r w:rsidRPr="00AA6144">
              <w:rPr>
                <w:color w:val="auto"/>
                <w:lang w:val="en-CA"/>
              </w:rPr>
              <w:t>Use of poison</w:t>
            </w:r>
            <w:r w:rsidRPr="00AA6144">
              <w:rPr>
                <w:color w:val="auto"/>
                <w:vertAlign w:val="superscript"/>
                <w:lang w:val="en-CA"/>
              </w:rPr>
              <w:footnoteReference w:id="207"/>
            </w:r>
          </w:p>
        </w:tc>
        <w:tc>
          <w:tcPr>
            <w:tcW w:w="1984" w:type="dxa"/>
          </w:tcPr>
          <w:p w14:paraId="2D28237A"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p w14:paraId="0E245E51" w14:textId="20BD5261" w:rsidR="00D33FC2" w:rsidRPr="00AA6144" w:rsidRDefault="00D33FC2" w:rsidP="00056F6C">
            <w:pPr>
              <w:pStyle w:val="AIBodyText"/>
              <w:rPr>
                <w:color w:val="auto"/>
                <w:lang w:val="en-CA"/>
              </w:rPr>
            </w:pPr>
            <w:r w:rsidRPr="00AA6144">
              <w:rPr>
                <w:i/>
                <w:lang w:val="en-CA"/>
              </w:rPr>
              <w:t>Rome Statute</w:t>
            </w:r>
            <w:r w:rsidRPr="00AA6144">
              <w:rPr>
                <w:lang w:val="en-CA"/>
              </w:rPr>
              <w:t>, articles 8(2)(e)(xiii)- (xiv)</w:t>
            </w:r>
            <w:r w:rsidR="00E26FA3" w:rsidRPr="00AA6144">
              <w:rPr>
                <w:rStyle w:val="FootnoteReference"/>
                <w:lang w:val="en-CA"/>
              </w:rPr>
              <w:footnoteReference w:id="208"/>
            </w:r>
          </w:p>
        </w:tc>
        <w:tc>
          <w:tcPr>
            <w:tcW w:w="2227" w:type="dxa"/>
          </w:tcPr>
          <w:p w14:paraId="2442FDE1"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5A4D20A4" w14:textId="77777777">
        <w:tc>
          <w:tcPr>
            <w:tcW w:w="3369" w:type="dxa"/>
          </w:tcPr>
          <w:p w14:paraId="101009D4" w14:textId="77777777" w:rsidR="00056F6C" w:rsidRPr="00AA6144" w:rsidRDefault="00056F6C" w:rsidP="00056F6C">
            <w:pPr>
              <w:pStyle w:val="AIBodyText"/>
              <w:rPr>
                <w:color w:val="auto"/>
                <w:lang w:val="en-CA"/>
              </w:rPr>
            </w:pPr>
            <w:r w:rsidRPr="00AA6144">
              <w:rPr>
                <w:color w:val="auto"/>
                <w:lang w:val="en-CA"/>
              </w:rPr>
              <w:t>Use of toxic gases</w:t>
            </w:r>
            <w:r w:rsidRPr="00AA6144">
              <w:rPr>
                <w:color w:val="auto"/>
                <w:vertAlign w:val="superscript"/>
                <w:lang w:val="en-CA"/>
              </w:rPr>
              <w:footnoteReference w:id="209"/>
            </w:r>
          </w:p>
        </w:tc>
        <w:tc>
          <w:tcPr>
            <w:tcW w:w="1984" w:type="dxa"/>
          </w:tcPr>
          <w:p w14:paraId="0A718F73"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xml:space="preserve">, S.C.-2000, c. 24, s.6. </w:t>
            </w:r>
          </w:p>
          <w:p w14:paraId="5255B6BF" w14:textId="3ADC8544" w:rsidR="00D33FC2" w:rsidRPr="00AA6144" w:rsidRDefault="00D33FC2" w:rsidP="00056F6C">
            <w:pPr>
              <w:pStyle w:val="AIBodyText"/>
              <w:rPr>
                <w:color w:val="auto"/>
                <w:lang w:val="en-CA"/>
              </w:rPr>
            </w:pPr>
            <w:r w:rsidRPr="00AA6144">
              <w:rPr>
                <w:i/>
                <w:lang w:val="en-CA"/>
              </w:rPr>
              <w:t>Rome Statute</w:t>
            </w:r>
            <w:r w:rsidRPr="00AA6144">
              <w:rPr>
                <w:lang w:val="en-CA"/>
              </w:rPr>
              <w:t>, articles 8(2)(e)(xiii)- (xiv)</w:t>
            </w:r>
            <w:r w:rsidR="00E26FA3" w:rsidRPr="00AA6144">
              <w:rPr>
                <w:rStyle w:val="FootnoteReference"/>
                <w:lang w:val="en-CA"/>
              </w:rPr>
              <w:footnoteReference w:id="210"/>
            </w:r>
          </w:p>
        </w:tc>
        <w:tc>
          <w:tcPr>
            <w:tcW w:w="2227" w:type="dxa"/>
          </w:tcPr>
          <w:p w14:paraId="3D50A816"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r w:rsidR="00056F6C" w:rsidRPr="00AA6144" w14:paraId="75535BA5" w14:textId="77777777">
        <w:tc>
          <w:tcPr>
            <w:tcW w:w="3369" w:type="dxa"/>
          </w:tcPr>
          <w:p w14:paraId="5BEA2CD0" w14:textId="77777777" w:rsidR="00056F6C" w:rsidRPr="00AA6144" w:rsidRDefault="00056F6C" w:rsidP="00056F6C">
            <w:pPr>
              <w:pStyle w:val="AIBodyText"/>
              <w:rPr>
                <w:color w:val="auto"/>
                <w:lang w:val="en-CA"/>
              </w:rPr>
            </w:pPr>
            <w:r w:rsidRPr="00AA6144">
              <w:rPr>
                <w:color w:val="auto"/>
                <w:lang w:val="en-CA"/>
              </w:rPr>
              <w:t>Use of dum-dum bullets</w:t>
            </w:r>
            <w:r w:rsidRPr="00AA6144">
              <w:rPr>
                <w:color w:val="auto"/>
                <w:vertAlign w:val="superscript"/>
                <w:lang w:val="en-CA"/>
              </w:rPr>
              <w:footnoteReference w:id="211"/>
            </w:r>
          </w:p>
        </w:tc>
        <w:tc>
          <w:tcPr>
            <w:tcW w:w="1984" w:type="dxa"/>
          </w:tcPr>
          <w:p w14:paraId="311600D6" w14:textId="77777777" w:rsidR="00056F6C" w:rsidRPr="00AA6144" w:rsidRDefault="00056F6C" w:rsidP="00056F6C">
            <w:pPr>
              <w:pStyle w:val="AIBodyText"/>
              <w:rPr>
                <w:color w:val="auto"/>
                <w:szCs w:val="18"/>
                <w:lang w:val="en-CA"/>
              </w:rPr>
            </w:pPr>
            <w:r w:rsidRPr="00AA6144">
              <w:rPr>
                <w:i/>
                <w:iCs/>
                <w:color w:val="auto"/>
                <w:lang w:val="en-CA"/>
              </w:rPr>
              <w:t>Crimes Against Humanity and War Crimes Act</w:t>
            </w:r>
            <w:r w:rsidRPr="00AA6144">
              <w:rPr>
                <w:color w:val="auto"/>
                <w:lang w:val="en-CA"/>
              </w:rPr>
              <w:t xml:space="preserve">, S.C.-2000, c. </w:t>
            </w:r>
            <w:r w:rsidRPr="00AA6144">
              <w:rPr>
                <w:color w:val="auto"/>
                <w:szCs w:val="18"/>
                <w:lang w:val="en-CA"/>
              </w:rPr>
              <w:t xml:space="preserve">24, s.6. </w:t>
            </w:r>
          </w:p>
          <w:p w14:paraId="342AD81A" w14:textId="0B7638C7" w:rsidR="00D33FC2" w:rsidRPr="007B53D3" w:rsidRDefault="00D33FC2" w:rsidP="00D33FC2">
            <w:pPr>
              <w:pStyle w:val="CommentText"/>
              <w:rPr>
                <w:sz w:val="18"/>
                <w:szCs w:val="18"/>
                <w:lang w:val="fr-CA"/>
              </w:rPr>
            </w:pPr>
            <w:r w:rsidRPr="007B53D3">
              <w:rPr>
                <w:i/>
                <w:sz w:val="18"/>
                <w:szCs w:val="18"/>
                <w:lang w:val="fr-CA"/>
              </w:rPr>
              <w:t>Rome Statue</w:t>
            </w:r>
            <w:r w:rsidRPr="007B53D3">
              <w:rPr>
                <w:sz w:val="18"/>
                <w:szCs w:val="18"/>
                <w:lang w:val="fr-CA"/>
              </w:rPr>
              <w:t>, article 8(2)(e)(xv)</w:t>
            </w:r>
            <w:r w:rsidR="00E26FA3" w:rsidRPr="00AA6144">
              <w:rPr>
                <w:rStyle w:val="FootnoteReference"/>
                <w:sz w:val="18"/>
                <w:szCs w:val="18"/>
                <w:lang w:val="en-CA"/>
              </w:rPr>
              <w:footnoteReference w:id="212"/>
            </w:r>
          </w:p>
          <w:p w14:paraId="41C5FD5B" w14:textId="6C7A7637" w:rsidR="00D33FC2" w:rsidRPr="007B53D3" w:rsidRDefault="00D33FC2" w:rsidP="00056F6C">
            <w:pPr>
              <w:pStyle w:val="AIBodyText"/>
              <w:rPr>
                <w:color w:val="auto"/>
                <w:lang w:val="fr-CA"/>
              </w:rPr>
            </w:pPr>
          </w:p>
        </w:tc>
        <w:tc>
          <w:tcPr>
            <w:tcW w:w="2227" w:type="dxa"/>
          </w:tcPr>
          <w:p w14:paraId="63956512" w14:textId="77777777" w:rsidR="00056F6C" w:rsidRPr="00AA6144" w:rsidRDefault="00056F6C" w:rsidP="00056F6C">
            <w:pPr>
              <w:pStyle w:val="AIBodyText"/>
              <w:rPr>
                <w:color w:val="auto"/>
                <w:lang w:val="en-CA"/>
              </w:rPr>
            </w:pPr>
            <w:r w:rsidRPr="00AA6144">
              <w:rPr>
                <w:i/>
                <w:iCs/>
                <w:color w:val="auto"/>
                <w:lang w:val="en-CA"/>
              </w:rPr>
              <w:t>Crimes Against Humanity and War Crimes Act</w:t>
            </w:r>
            <w:r w:rsidRPr="00AA6144">
              <w:rPr>
                <w:color w:val="auto"/>
                <w:lang w:val="en-CA"/>
              </w:rPr>
              <w:t>, S.C.-2000, c. 24, s.8 b).</w:t>
            </w:r>
          </w:p>
        </w:tc>
      </w:tr>
    </w:tbl>
    <w:p w14:paraId="19EFCFAA" w14:textId="77777777" w:rsidR="00056F6C" w:rsidRPr="00AA6144" w:rsidRDefault="00056F6C" w:rsidP="005D4819">
      <w:pPr>
        <w:pStyle w:val="AIBodyText"/>
        <w:rPr>
          <w:color w:val="auto"/>
          <w:lang w:val="en-CA"/>
        </w:rPr>
      </w:pPr>
    </w:p>
    <w:p w14:paraId="1FFE7704" w14:textId="22567D60" w:rsidR="00B677A5" w:rsidRPr="00AA6144" w:rsidRDefault="001F7082" w:rsidP="005D4819">
      <w:pPr>
        <w:pStyle w:val="AIBodyText"/>
        <w:rPr>
          <w:color w:val="auto"/>
          <w:lang w:val="en-CA"/>
        </w:rPr>
      </w:pPr>
      <w:r w:rsidRPr="00AA6144">
        <w:rPr>
          <w:color w:val="auto"/>
          <w:lang w:val="en-CA"/>
        </w:rPr>
        <w:t>The definitions of the war crimes under customary international humanitarian law listed above th</w:t>
      </w:r>
      <w:r w:rsidR="00056F6C" w:rsidRPr="00AA6144">
        <w:rPr>
          <w:color w:val="auto"/>
          <w:lang w:val="en-CA"/>
        </w:rPr>
        <w:t xml:space="preserve">at have </w:t>
      </w:r>
      <w:r w:rsidR="00056F6C" w:rsidRPr="008C3C43">
        <w:rPr>
          <w:color w:val="auto"/>
          <w:lang w:val="en-CA"/>
        </w:rPr>
        <w:t>been incorporated into Canada’s law a</w:t>
      </w:r>
      <w:r w:rsidR="008C3C43" w:rsidRPr="00813569">
        <w:rPr>
          <w:color w:val="auto"/>
          <w:lang w:val="en-CA"/>
        </w:rPr>
        <w:t xml:space="preserve">ppear to be </w:t>
      </w:r>
      <w:r w:rsidRPr="00813569">
        <w:rPr>
          <w:color w:val="auto"/>
          <w:lang w:val="en-CA"/>
        </w:rPr>
        <w:t>consistent</w:t>
      </w:r>
      <w:r w:rsidRPr="008C3C43">
        <w:rPr>
          <w:color w:val="auto"/>
          <w:lang w:val="en-CA"/>
        </w:rPr>
        <w:t xml:space="preserve"> with international </w:t>
      </w:r>
      <w:r w:rsidRPr="00AA6144">
        <w:rPr>
          <w:color w:val="auto"/>
          <w:lang w:val="en-CA"/>
        </w:rPr>
        <w:t>humanitarian law.</w:t>
      </w:r>
    </w:p>
    <w:p w14:paraId="00288828" w14:textId="77777777" w:rsidR="00E57056" w:rsidRPr="00AA6144" w:rsidRDefault="00E57056" w:rsidP="008B472E">
      <w:pPr>
        <w:pStyle w:val="Heading3"/>
        <w:rPr>
          <w:color w:val="auto"/>
          <w:lang w:val="en-CA"/>
        </w:rPr>
      </w:pPr>
      <w:bookmarkStart w:id="85" w:name="_Toc193798656"/>
      <w:bookmarkStart w:id="86" w:name="_Toc220954454"/>
      <w:bookmarkStart w:id="87" w:name="_Toc43382736"/>
      <w:r w:rsidRPr="00AA6144">
        <w:rPr>
          <w:color w:val="auto"/>
          <w:lang w:val="en-CA"/>
        </w:rPr>
        <w:t>4.3.2. Crimes against humanity</w:t>
      </w:r>
      <w:bookmarkEnd w:id="85"/>
      <w:bookmarkEnd w:id="86"/>
      <w:bookmarkEnd w:id="87"/>
    </w:p>
    <w:p w14:paraId="2DFC26BF" w14:textId="77777777" w:rsidR="00437A3D" w:rsidRPr="00AA6144" w:rsidRDefault="00437A3D" w:rsidP="00437A3D">
      <w:pPr>
        <w:spacing w:after="0"/>
        <w:rPr>
          <w:lang w:val="en-CA"/>
        </w:rPr>
      </w:pPr>
    </w:p>
    <w:p w14:paraId="3D673A6A" w14:textId="5E7FDA1E" w:rsidR="00057F9A" w:rsidRPr="00AA6144" w:rsidRDefault="00057F9A" w:rsidP="00057F9A">
      <w:pPr>
        <w:pStyle w:val="BodyText"/>
        <w:rPr>
          <w:color w:val="auto"/>
          <w:lang w:val="en-CA"/>
        </w:rPr>
      </w:pPr>
      <w:r w:rsidRPr="00AA6144">
        <w:rPr>
          <w:color w:val="auto"/>
          <w:lang w:val="en-CA"/>
        </w:rPr>
        <w:t xml:space="preserve">Canada signed the </w:t>
      </w:r>
      <w:r w:rsidR="005C5FF0" w:rsidRPr="00AA6144">
        <w:rPr>
          <w:color w:val="auto"/>
          <w:lang w:val="en-CA"/>
        </w:rPr>
        <w:t>Rome Statute</w:t>
      </w:r>
      <w:r w:rsidRPr="00AA6144">
        <w:rPr>
          <w:color w:val="auto"/>
          <w:lang w:val="en-CA"/>
        </w:rPr>
        <w:t xml:space="preserve"> on December 18, 1998 and ratified it on July 7, 2000. The most widely accepted definition of the acts constituting crimes against humanity is found in Article 7 of the </w:t>
      </w:r>
      <w:r w:rsidR="005C5FF0" w:rsidRPr="00AA6144">
        <w:rPr>
          <w:color w:val="auto"/>
          <w:lang w:val="en-CA"/>
        </w:rPr>
        <w:t>Rome Statute</w:t>
      </w:r>
      <w:r w:rsidRPr="00AA6144">
        <w:rPr>
          <w:color w:val="auto"/>
          <w:lang w:val="en-CA"/>
        </w:rPr>
        <w:t>.</w:t>
      </w:r>
      <w:r w:rsidRPr="00AA6144">
        <w:rPr>
          <w:color w:val="auto"/>
          <w:vertAlign w:val="superscript"/>
          <w:lang w:val="en-CA"/>
        </w:rPr>
        <w:footnoteReference w:id="213"/>
      </w:r>
      <w:r w:rsidRPr="00AA6144">
        <w:rPr>
          <w:color w:val="auto"/>
          <w:lang w:val="en-CA"/>
        </w:rPr>
        <w:t xml:space="preserve"> </w:t>
      </w:r>
    </w:p>
    <w:p w14:paraId="3C38D23E" w14:textId="77777777" w:rsidR="00800562" w:rsidRPr="00AA6144" w:rsidRDefault="00800562" w:rsidP="00800562">
      <w:pPr>
        <w:pStyle w:val="BodyText"/>
        <w:rPr>
          <w:color w:val="auto"/>
          <w:szCs w:val="18"/>
          <w:lang w:val="en-CA"/>
        </w:rPr>
      </w:pPr>
      <w:r w:rsidRPr="000C2340">
        <w:rPr>
          <w:color w:val="auto"/>
          <w:szCs w:val="18"/>
          <w:lang w:val="en-CA"/>
        </w:rPr>
        <w:t xml:space="preserve">Canada has </w:t>
      </w:r>
      <w:r w:rsidR="00D32250" w:rsidRPr="000C2340">
        <w:rPr>
          <w:color w:val="auto"/>
          <w:szCs w:val="18"/>
          <w:lang w:val="en-CA"/>
        </w:rPr>
        <w:t xml:space="preserve">prohibited </w:t>
      </w:r>
      <w:r w:rsidRPr="000C2340">
        <w:rPr>
          <w:color w:val="auto"/>
          <w:szCs w:val="18"/>
          <w:lang w:val="en-CA"/>
        </w:rPr>
        <w:t xml:space="preserve">some conduct that could amount to crimes against humanity </w:t>
      </w:r>
      <w:r w:rsidR="00D32250" w:rsidRPr="000C2340">
        <w:rPr>
          <w:color w:val="auto"/>
          <w:szCs w:val="18"/>
          <w:lang w:val="en-CA"/>
        </w:rPr>
        <w:t>in its ordinary criminal law</w:t>
      </w:r>
      <w:r w:rsidR="00780945" w:rsidRPr="000C2340">
        <w:rPr>
          <w:color w:val="auto"/>
          <w:szCs w:val="18"/>
          <w:lang w:val="en-CA"/>
        </w:rPr>
        <w:t>.</w:t>
      </w:r>
      <w:r w:rsidR="00780945" w:rsidRPr="00AA6144">
        <w:rPr>
          <w:color w:val="auto"/>
          <w:szCs w:val="18"/>
          <w:lang w:val="en-CA"/>
        </w:rPr>
        <w:t xml:space="preserve"> </w:t>
      </w:r>
      <w:r w:rsidRPr="00AA6144">
        <w:rPr>
          <w:color w:val="auto"/>
          <w:szCs w:val="18"/>
          <w:lang w:val="en-CA"/>
        </w:rPr>
        <w:t xml:space="preserve">For example, section 235 of the </w:t>
      </w:r>
      <w:r w:rsidRPr="00AA6144">
        <w:rPr>
          <w:i/>
          <w:color w:val="auto"/>
          <w:szCs w:val="18"/>
          <w:lang w:val="en-CA"/>
        </w:rPr>
        <w:t xml:space="preserve">Criminal Code </w:t>
      </w:r>
      <w:r w:rsidRPr="00AA6144">
        <w:rPr>
          <w:iCs/>
          <w:color w:val="auto"/>
          <w:szCs w:val="18"/>
          <w:lang w:val="en-CA"/>
        </w:rPr>
        <w:t>criminalizes</w:t>
      </w:r>
      <w:r w:rsidRPr="00AA6144">
        <w:rPr>
          <w:color w:val="auto"/>
          <w:szCs w:val="18"/>
          <w:lang w:val="en-CA"/>
        </w:rPr>
        <w:t xml:space="preserve"> murder, </w:t>
      </w:r>
      <w:r w:rsidR="00780945" w:rsidRPr="00AA6144">
        <w:rPr>
          <w:color w:val="auto"/>
          <w:szCs w:val="18"/>
          <w:lang w:val="en-CA"/>
        </w:rPr>
        <w:t xml:space="preserve">section 271 criminalizes </w:t>
      </w:r>
      <w:r w:rsidR="00DC6A31" w:rsidRPr="00AA6144">
        <w:rPr>
          <w:color w:val="auto"/>
          <w:szCs w:val="18"/>
          <w:lang w:val="en-CA"/>
        </w:rPr>
        <w:t xml:space="preserve">sexual assault, and </w:t>
      </w:r>
      <w:r w:rsidR="00780945" w:rsidRPr="00AA6144">
        <w:rPr>
          <w:color w:val="auto"/>
          <w:szCs w:val="18"/>
          <w:lang w:val="en-CA"/>
        </w:rPr>
        <w:t xml:space="preserve">torture is criminalized in </w:t>
      </w:r>
      <w:r w:rsidRPr="00AA6144">
        <w:rPr>
          <w:color w:val="auto"/>
          <w:szCs w:val="18"/>
          <w:lang w:val="en-CA"/>
        </w:rPr>
        <w:t>section 269.1</w:t>
      </w:r>
      <w:r w:rsidR="00DC6A31" w:rsidRPr="00AA6144">
        <w:rPr>
          <w:color w:val="auto"/>
          <w:szCs w:val="18"/>
          <w:lang w:val="en-CA"/>
        </w:rPr>
        <w:t xml:space="preserve">. Universal jurisdiction cannot be exercised over most domestic criminal </w:t>
      </w:r>
      <w:proofErr w:type="gramStart"/>
      <w:r w:rsidR="00DC6A31" w:rsidRPr="00AA6144">
        <w:rPr>
          <w:color w:val="auto"/>
          <w:szCs w:val="18"/>
          <w:lang w:val="en-CA"/>
        </w:rPr>
        <w:t>offences,</w:t>
      </w:r>
      <w:proofErr w:type="gramEnd"/>
      <w:r w:rsidR="00DC6A31" w:rsidRPr="00AA6144">
        <w:rPr>
          <w:color w:val="auto"/>
          <w:szCs w:val="18"/>
          <w:lang w:val="en-CA"/>
        </w:rPr>
        <w:t xml:space="preserve"> however </w:t>
      </w:r>
      <w:r w:rsidR="00780945" w:rsidRPr="00AA6144">
        <w:rPr>
          <w:color w:val="auto"/>
          <w:szCs w:val="18"/>
          <w:lang w:val="en-CA"/>
        </w:rPr>
        <w:t xml:space="preserve">the offence of </w:t>
      </w:r>
      <w:r w:rsidR="00DC6A31" w:rsidRPr="00AA6144">
        <w:rPr>
          <w:color w:val="auto"/>
          <w:szCs w:val="18"/>
          <w:lang w:val="en-CA"/>
        </w:rPr>
        <w:t>torture</w:t>
      </w:r>
      <w:r w:rsidR="00780945" w:rsidRPr="00AA6144">
        <w:rPr>
          <w:color w:val="auto"/>
          <w:szCs w:val="18"/>
          <w:lang w:val="en-CA"/>
        </w:rPr>
        <w:t xml:space="preserve"> is subject to universal jurisdiction by virtue of section</w:t>
      </w:r>
      <w:r w:rsidR="00DC6A31" w:rsidRPr="00AA6144">
        <w:rPr>
          <w:color w:val="auto"/>
          <w:szCs w:val="18"/>
          <w:lang w:val="en-CA"/>
        </w:rPr>
        <w:t xml:space="preserve"> 7(3.7) </w:t>
      </w:r>
      <w:r w:rsidR="0010071E" w:rsidRPr="00AA6144">
        <w:rPr>
          <w:color w:val="auto"/>
          <w:szCs w:val="18"/>
          <w:lang w:val="en-CA"/>
        </w:rPr>
        <w:t xml:space="preserve">of the </w:t>
      </w:r>
      <w:r w:rsidR="0010071E" w:rsidRPr="00AA6144">
        <w:rPr>
          <w:i/>
          <w:color w:val="auto"/>
          <w:szCs w:val="18"/>
          <w:lang w:val="en-CA"/>
        </w:rPr>
        <w:t>Criminal Code</w:t>
      </w:r>
      <w:r w:rsidR="00780945" w:rsidRPr="00AA6144">
        <w:rPr>
          <w:color w:val="auto"/>
          <w:szCs w:val="18"/>
          <w:lang w:val="en-CA"/>
        </w:rPr>
        <w:t>.</w:t>
      </w:r>
    </w:p>
    <w:p w14:paraId="6AE67747" w14:textId="77777777" w:rsidR="00800562" w:rsidRPr="00AA6144" w:rsidRDefault="00800562" w:rsidP="0016636A">
      <w:pPr>
        <w:pStyle w:val="BodyText"/>
        <w:rPr>
          <w:b/>
          <w:bCs/>
          <w:color w:val="auto"/>
          <w:szCs w:val="18"/>
          <w:lang w:val="en-CA"/>
        </w:rPr>
      </w:pPr>
      <w:r w:rsidRPr="00AA6144">
        <w:rPr>
          <w:color w:val="auto"/>
          <w:szCs w:val="18"/>
          <w:lang w:val="en-CA"/>
        </w:rPr>
        <w:t>Universal jurisdiction</w:t>
      </w:r>
      <w:r w:rsidR="00EB66B0" w:rsidRPr="00AA6144">
        <w:rPr>
          <w:color w:val="auto"/>
          <w:szCs w:val="18"/>
          <w:lang w:val="en-CA"/>
        </w:rPr>
        <w:t xml:space="preserve"> can be exercised</w:t>
      </w:r>
      <w:r w:rsidRPr="00AA6144">
        <w:rPr>
          <w:color w:val="auto"/>
          <w:szCs w:val="18"/>
          <w:lang w:val="en-CA"/>
        </w:rPr>
        <w:t xml:space="preserve"> </w:t>
      </w:r>
      <w:r w:rsidR="00780945" w:rsidRPr="00AA6144">
        <w:rPr>
          <w:color w:val="auto"/>
          <w:szCs w:val="18"/>
          <w:lang w:val="en-CA"/>
        </w:rPr>
        <w:t>over</w:t>
      </w:r>
      <w:r w:rsidRPr="00AA6144">
        <w:rPr>
          <w:color w:val="auto"/>
          <w:szCs w:val="18"/>
          <w:lang w:val="en-CA"/>
        </w:rPr>
        <w:t xml:space="preserve"> crimes against humanity</w:t>
      </w:r>
      <w:r w:rsidR="00EB66B0" w:rsidRPr="00AA6144">
        <w:rPr>
          <w:color w:val="auto"/>
          <w:szCs w:val="18"/>
          <w:lang w:val="en-CA"/>
        </w:rPr>
        <w:t xml:space="preserve"> pursuant to the</w:t>
      </w:r>
      <w:r w:rsidRPr="00AA6144">
        <w:rPr>
          <w:color w:val="auto"/>
          <w:szCs w:val="18"/>
          <w:lang w:val="en-CA"/>
        </w:rPr>
        <w:t xml:space="preserve"> </w:t>
      </w:r>
      <w:r w:rsidRPr="00AA6144">
        <w:rPr>
          <w:i/>
          <w:color w:val="auto"/>
          <w:szCs w:val="18"/>
          <w:lang w:val="en-CA"/>
        </w:rPr>
        <w:t>Crimes Against Humanity and War Crimes Act</w:t>
      </w:r>
      <w:r w:rsidRPr="00AA6144">
        <w:rPr>
          <w:color w:val="auto"/>
          <w:szCs w:val="18"/>
          <w:lang w:val="en-CA"/>
        </w:rPr>
        <w:t xml:space="preserve">. </w:t>
      </w:r>
      <w:r w:rsidR="00EB66B0" w:rsidRPr="00AA6144">
        <w:rPr>
          <w:color w:val="auto"/>
          <w:szCs w:val="18"/>
          <w:lang w:val="en-CA"/>
        </w:rPr>
        <w:t>A</w:t>
      </w:r>
      <w:r w:rsidRPr="00AA6144">
        <w:rPr>
          <w:color w:val="auto"/>
          <w:szCs w:val="18"/>
          <w:lang w:val="en-CA"/>
        </w:rPr>
        <w:t xml:space="preserve">ccording to section 8 of the </w:t>
      </w:r>
      <w:r w:rsidR="00EB66B0" w:rsidRPr="00AA6144">
        <w:rPr>
          <w:i/>
          <w:color w:val="auto"/>
          <w:szCs w:val="18"/>
          <w:lang w:val="en-CA"/>
        </w:rPr>
        <w:t>CAHWCA</w:t>
      </w:r>
      <w:r w:rsidRPr="00AA6144">
        <w:rPr>
          <w:color w:val="auto"/>
          <w:szCs w:val="18"/>
          <w:lang w:val="en-CA"/>
        </w:rPr>
        <w:t xml:space="preserve">, a Canadian court may </w:t>
      </w:r>
      <w:r w:rsidR="00EB66B0" w:rsidRPr="00AA6144">
        <w:rPr>
          <w:color w:val="auto"/>
          <w:szCs w:val="18"/>
          <w:lang w:val="en-CA"/>
        </w:rPr>
        <w:t xml:space="preserve">exercise </w:t>
      </w:r>
      <w:r w:rsidRPr="00AA6144">
        <w:rPr>
          <w:color w:val="auto"/>
          <w:szCs w:val="18"/>
          <w:lang w:val="en-CA"/>
        </w:rPr>
        <w:t>jurisdiction over crimes against humanity as follows:</w:t>
      </w:r>
    </w:p>
    <w:p w14:paraId="267AC812" w14:textId="77777777" w:rsidR="00800562" w:rsidRPr="00AA6144" w:rsidRDefault="00800562" w:rsidP="00EF7ABF">
      <w:pPr>
        <w:pStyle w:val="BodyText"/>
        <w:ind w:left="357" w:right="567"/>
        <w:rPr>
          <w:color w:val="auto"/>
          <w:szCs w:val="18"/>
          <w:lang w:val="en-CA"/>
        </w:rPr>
      </w:pPr>
      <w:r w:rsidRPr="00AA6144">
        <w:rPr>
          <w:color w:val="auto"/>
          <w:szCs w:val="18"/>
          <w:lang w:val="en-CA"/>
        </w:rPr>
        <w:t>“A person who is alleged to have committed an offence under section 6 or 7 may be prosecuted for that offence if</w:t>
      </w:r>
    </w:p>
    <w:p w14:paraId="4F5A15F5" w14:textId="77777777" w:rsidR="00800562" w:rsidRPr="00AA6144" w:rsidRDefault="00800562" w:rsidP="00EF7ABF">
      <w:pPr>
        <w:pStyle w:val="BodyText"/>
        <w:ind w:left="357" w:right="567"/>
        <w:rPr>
          <w:color w:val="auto"/>
          <w:szCs w:val="18"/>
          <w:lang w:val="en-CA"/>
        </w:rPr>
      </w:pPr>
      <w:r w:rsidRPr="00AA6144">
        <w:rPr>
          <w:color w:val="auto"/>
          <w:szCs w:val="18"/>
          <w:lang w:val="en-CA"/>
        </w:rPr>
        <w:t>(</w:t>
      </w:r>
      <w:r w:rsidRPr="00AA6144">
        <w:rPr>
          <w:i/>
          <w:iCs/>
          <w:color w:val="auto"/>
          <w:szCs w:val="18"/>
          <w:lang w:val="en-CA"/>
        </w:rPr>
        <w:t>a</w:t>
      </w:r>
      <w:r w:rsidRPr="00AA6144">
        <w:rPr>
          <w:color w:val="auto"/>
          <w:szCs w:val="18"/>
          <w:lang w:val="en-CA"/>
        </w:rPr>
        <w:t>) at the time the offence is alleged to have been committed,</w:t>
      </w:r>
    </w:p>
    <w:p w14:paraId="4E09336A" w14:textId="77777777" w:rsidR="00800562" w:rsidRPr="00AA6144" w:rsidRDefault="00800562" w:rsidP="00EF7ABF">
      <w:pPr>
        <w:pStyle w:val="BodyText"/>
        <w:ind w:left="714" w:right="567"/>
        <w:rPr>
          <w:color w:val="auto"/>
          <w:szCs w:val="18"/>
          <w:lang w:val="en-CA"/>
        </w:rPr>
      </w:pPr>
      <w:r w:rsidRPr="00AA6144">
        <w:rPr>
          <w:color w:val="auto"/>
          <w:szCs w:val="18"/>
          <w:lang w:val="en-CA"/>
        </w:rPr>
        <w:t>(</w:t>
      </w:r>
      <w:proofErr w:type="spellStart"/>
      <w:r w:rsidRPr="00AA6144">
        <w:rPr>
          <w:color w:val="auto"/>
          <w:szCs w:val="18"/>
          <w:lang w:val="en-CA"/>
        </w:rPr>
        <w:t>i</w:t>
      </w:r>
      <w:proofErr w:type="spellEnd"/>
      <w:r w:rsidRPr="00AA6144">
        <w:rPr>
          <w:color w:val="auto"/>
          <w:szCs w:val="18"/>
          <w:lang w:val="en-CA"/>
        </w:rPr>
        <w:t>) the person was a Canadian citizen or was employed by Canada in a civilian or military capacity,</w:t>
      </w:r>
    </w:p>
    <w:p w14:paraId="52065A6D" w14:textId="77777777" w:rsidR="00800562" w:rsidRPr="00AA6144" w:rsidRDefault="00800562" w:rsidP="00EF7ABF">
      <w:pPr>
        <w:pStyle w:val="BodyText"/>
        <w:ind w:left="714" w:right="567"/>
        <w:rPr>
          <w:color w:val="auto"/>
          <w:szCs w:val="18"/>
          <w:lang w:val="en-CA"/>
        </w:rPr>
      </w:pPr>
      <w:r w:rsidRPr="00AA6144">
        <w:rPr>
          <w:color w:val="auto"/>
          <w:szCs w:val="18"/>
          <w:lang w:val="en-CA"/>
        </w:rPr>
        <w:t>(ii) the person was a citizen of a state that was engaged in an armed conflict against Canada, or was employed in a civilian or military capacity by such a state,</w:t>
      </w:r>
    </w:p>
    <w:p w14:paraId="58C7D72C" w14:textId="77777777" w:rsidR="00800562" w:rsidRPr="00AA6144" w:rsidRDefault="00800562" w:rsidP="00EF7ABF">
      <w:pPr>
        <w:pStyle w:val="BodyText"/>
        <w:ind w:left="357" w:right="567" w:firstLine="357"/>
        <w:rPr>
          <w:color w:val="auto"/>
          <w:szCs w:val="18"/>
          <w:lang w:val="en-CA"/>
        </w:rPr>
      </w:pPr>
      <w:r w:rsidRPr="00AA6144">
        <w:rPr>
          <w:color w:val="auto"/>
          <w:szCs w:val="18"/>
          <w:lang w:val="en-CA"/>
        </w:rPr>
        <w:t>(iii) the victim of the alleged offence was a Canadian citizen, or</w:t>
      </w:r>
    </w:p>
    <w:p w14:paraId="05968915" w14:textId="77777777" w:rsidR="00800562" w:rsidRPr="00AA6144" w:rsidRDefault="00800562" w:rsidP="00EF7ABF">
      <w:pPr>
        <w:pStyle w:val="BodyText"/>
        <w:ind w:left="714" w:right="567"/>
        <w:rPr>
          <w:color w:val="auto"/>
          <w:szCs w:val="18"/>
          <w:lang w:val="en-CA"/>
        </w:rPr>
      </w:pPr>
      <w:r w:rsidRPr="00AA6144">
        <w:rPr>
          <w:color w:val="auto"/>
          <w:szCs w:val="18"/>
          <w:lang w:val="en-CA"/>
        </w:rPr>
        <w:t>(iv) the victim of the alleged offence was a citizen of a state that was allied with Canada in an armed conflict; or</w:t>
      </w:r>
    </w:p>
    <w:p w14:paraId="7B1592CA" w14:textId="77777777" w:rsidR="00800562" w:rsidRPr="00AA6144" w:rsidRDefault="00800562" w:rsidP="00EF7ABF">
      <w:pPr>
        <w:pStyle w:val="BodyText"/>
        <w:ind w:left="357" w:right="567"/>
        <w:rPr>
          <w:color w:val="auto"/>
          <w:szCs w:val="18"/>
          <w:lang w:val="en-CA"/>
        </w:rPr>
      </w:pPr>
      <w:r w:rsidRPr="00AA6144">
        <w:rPr>
          <w:color w:val="auto"/>
          <w:szCs w:val="18"/>
          <w:lang w:val="en-CA"/>
        </w:rPr>
        <w:t>(</w:t>
      </w:r>
      <w:r w:rsidRPr="00AA6144">
        <w:rPr>
          <w:i/>
          <w:iCs/>
          <w:color w:val="auto"/>
          <w:szCs w:val="18"/>
          <w:lang w:val="en-CA"/>
        </w:rPr>
        <w:t>b</w:t>
      </w:r>
      <w:r w:rsidRPr="00AA6144">
        <w:rPr>
          <w:color w:val="auto"/>
          <w:szCs w:val="18"/>
          <w:lang w:val="en-CA"/>
        </w:rPr>
        <w:t>) after the time the offence is alleged to have been committed, the person is present in Canada</w:t>
      </w:r>
      <w:r w:rsidR="00EB66B0" w:rsidRPr="00AA6144">
        <w:rPr>
          <w:color w:val="auto"/>
          <w:szCs w:val="18"/>
          <w:lang w:val="en-CA"/>
        </w:rPr>
        <w:t>.</w:t>
      </w:r>
      <w:r w:rsidRPr="00AA6144">
        <w:rPr>
          <w:color w:val="auto"/>
          <w:szCs w:val="18"/>
          <w:vertAlign w:val="superscript"/>
          <w:lang w:val="en-CA"/>
        </w:rPr>
        <w:footnoteReference w:id="214"/>
      </w:r>
    </w:p>
    <w:p w14:paraId="05AD3703" w14:textId="035B0716" w:rsidR="00800562" w:rsidRPr="00AA6144" w:rsidRDefault="00800562" w:rsidP="00800562">
      <w:pPr>
        <w:pStyle w:val="BodyText"/>
        <w:rPr>
          <w:color w:val="auto"/>
          <w:szCs w:val="18"/>
          <w:lang w:val="en-CA"/>
        </w:rPr>
      </w:pPr>
      <w:r w:rsidRPr="00AA6144">
        <w:rPr>
          <w:color w:val="auto"/>
          <w:szCs w:val="18"/>
          <w:lang w:val="en-CA"/>
        </w:rPr>
        <w:t xml:space="preserve">Section 6(3) </w:t>
      </w:r>
      <w:r w:rsidR="00EB66B0" w:rsidRPr="00AA6144">
        <w:rPr>
          <w:color w:val="auto"/>
          <w:szCs w:val="18"/>
          <w:lang w:val="en-CA"/>
        </w:rPr>
        <w:t xml:space="preserve">of the </w:t>
      </w:r>
      <w:r w:rsidR="00780945" w:rsidRPr="00AA6144">
        <w:rPr>
          <w:i/>
          <w:color w:val="auto"/>
          <w:szCs w:val="18"/>
          <w:lang w:val="en-CA"/>
        </w:rPr>
        <w:t>Crimes Against Humanity and War Crimes Act</w:t>
      </w:r>
      <w:r w:rsidR="00780945" w:rsidRPr="00AA6144" w:rsidDel="00780945">
        <w:rPr>
          <w:i/>
          <w:color w:val="auto"/>
          <w:szCs w:val="18"/>
          <w:lang w:val="en-CA"/>
        </w:rPr>
        <w:t xml:space="preserve"> </w:t>
      </w:r>
      <w:r w:rsidRPr="00AA6144">
        <w:rPr>
          <w:color w:val="auto"/>
          <w:szCs w:val="18"/>
          <w:lang w:val="en-CA"/>
        </w:rPr>
        <w:t xml:space="preserve">lists the crimes that qualify as “crimes against humanity”: </w:t>
      </w:r>
    </w:p>
    <w:p w14:paraId="612429A8" w14:textId="54665904" w:rsidR="00800562" w:rsidRPr="00AA6144" w:rsidRDefault="00800562" w:rsidP="00EF7ABF">
      <w:pPr>
        <w:pStyle w:val="BodyText"/>
        <w:ind w:left="357" w:right="567"/>
        <w:rPr>
          <w:color w:val="auto"/>
          <w:szCs w:val="18"/>
          <w:lang w:val="en-CA"/>
        </w:rPr>
      </w:pPr>
      <w:r w:rsidRPr="00AA6144">
        <w:rPr>
          <w:color w:val="auto"/>
          <w:szCs w:val="18"/>
          <w:lang w:val="en-CA"/>
        </w:rPr>
        <w:t>[…] murder, extermination, enslavement, deportation, imprisonment, torture, sexual violence, persecution committed against any civilian population or any identifiable group and that, at the time and in the place of its commission, constitutes a crime against humanity according to customary international law or conventional international law or by virtue of its being criminal according to the general principles of law recognized by the community of nations, whether or not it constitutes a contravention of the law in force at the time and in the place of its commission.</w:t>
      </w:r>
      <w:r w:rsidR="00EB66B0" w:rsidRPr="00AA6144">
        <w:rPr>
          <w:rStyle w:val="FootnoteReference"/>
          <w:color w:val="auto"/>
          <w:szCs w:val="18"/>
          <w:lang w:val="en-CA"/>
        </w:rPr>
        <w:footnoteReference w:id="215"/>
      </w:r>
    </w:p>
    <w:p w14:paraId="7571C5E4" w14:textId="13DB82AA" w:rsidR="00D64647" w:rsidRPr="00AA6144" w:rsidRDefault="00D64647" w:rsidP="00AA6144">
      <w:pPr>
        <w:pStyle w:val="AIBodyText"/>
        <w:rPr>
          <w:color w:val="auto"/>
          <w:szCs w:val="18"/>
          <w:lang w:val="en-CA"/>
        </w:rPr>
      </w:pPr>
      <w:r w:rsidRPr="00AA6144">
        <w:rPr>
          <w:color w:val="auto"/>
          <w:szCs w:val="18"/>
          <w:lang w:val="en-CA"/>
        </w:rPr>
        <w:t>Section 6(1.1) provides that ‘‘[e]very person who conspires or attempts to commit, is an accessory after the fact in relation to, or counsels in relation to [...] [crimes against humanity] is guilty of an indictable offence’’.</w:t>
      </w:r>
    </w:p>
    <w:p w14:paraId="139CE701" w14:textId="288B5E51" w:rsidR="00CC4171" w:rsidRPr="000D6C42" w:rsidRDefault="00CC4171" w:rsidP="000D6C42">
      <w:pPr>
        <w:pStyle w:val="AIBodyText"/>
        <w:rPr>
          <w:color w:val="auto"/>
          <w:szCs w:val="18"/>
          <w:lang w:val="en-CA"/>
        </w:rPr>
      </w:pPr>
      <w:r w:rsidRPr="000D6C42">
        <w:rPr>
          <w:color w:val="auto"/>
          <w:szCs w:val="18"/>
          <w:lang w:val="en-CA"/>
        </w:rPr>
        <w:t xml:space="preserve">The Quebec Court of Appeal, in </w:t>
      </w:r>
      <w:proofErr w:type="spellStart"/>
      <w:r w:rsidRPr="000D6C42">
        <w:rPr>
          <w:i/>
          <w:iCs/>
          <w:color w:val="auto"/>
          <w:szCs w:val="18"/>
          <w:lang w:val="en-CA"/>
        </w:rPr>
        <w:t>Munya</w:t>
      </w:r>
      <w:r w:rsidR="008A0F11" w:rsidRPr="000D6C42">
        <w:rPr>
          <w:i/>
          <w:iCs/>
          <w:color w:val="auto"/>
          <w:szCs w:val="18"/>
          <w:lang w:val="en-CA"/>
        </w:rPr>
        <w:t>ne</w:t>
      </w:r>
      <w:r w:rsidRPr="000D6C42">
        <w:rPr>
          <w:i/>
          <w:iCs/>
          <w:color w:val="auto"/>
          <w:szCs w:val="18"/>
          <w:lang w:val="en-CA"/>
        </w:rPr>
        <w:t>za</w:t>
      </w:r>
      <w:proofErr w:type="spellEnd"/>
      <w:r w:rsidRPr="000D6C42">
        <w:rPr>
          <w:color w:val="auto"/>
          <w:szCs w:val="18"/>
          <w:lang w:val="en-CA"/>
        </w:rPr>
        <w:t>, specified that the list defining crimes against humanity in</w:t>
      </w:r>
      <w:r w:rsidR="000D6C42">
        <w:rPr>
          <w:color w:val="auto"/>
          <w:szCs w:val="18"/>
          <w:lang w:val="en-CA"/>
        </w:rPr>
        <w:t xml:space="preserve"> </w:t>
      </w:r>
      <w:r w:rsidRPr="000D6C42">
        <w:rPr>
          <w:color w:val="auto"/>
          <w:lang w:val="en-CA"/>
        </w:rPr>
        <w:t>subsection 6(3) </w:t>
      </w:r>
      <w:r w:rsidRPr="000D6C42">
        <w:rPr>
          <w:color w:val="auto"/>
          <w:szCs w:val="18"/>
          <w:lang w:val="en-CA"/>
        </w:rPr>
        <w:t>of the</w:t>
      </w:r>
      <w:r w:rsidRPr="000D6C42">
        <w:rPr>
          <w:color w:val="auto"/>
          <w:lang w:val="en-CA"/>
        </w:rPr>
        <w:t> </w:t>
      </w:r>
      <w:r w:rsidRPr="000D6C42">
        <w:rPr>
          <w:i/>
          <w:iCs/>
          <w:color w:val="auto"/>
          <w:lang w:val="en-CA"/>
        </w:rPr>
        <w:t>CAHWA</w:t>
      </w:r>
      <w:r w:rsidR="000D6C42">
        <w:rPr>
          <w:color w:val="auto"/>
          <w:lang w:val="en-CA"/>
        </w:rPr>
        <w:t xml:space="preserve"> </w:t>
      </w:r>
      <w:r w:rsidRPr="000D6C42">
        <w:rPr>
          <w:i/>
          <w:iCs/>
          <w:color w:val="auto"/>
          <w:lang w:val="en-CA"/>
        </w:rPr>
        <w:t>Act</w:t>
      </w:r>
      <w:r w:rsidRPr="000D6C42">
        <w:rPr>
          <w:color w:val="auto"/>
          <w:lang w:val="en-CA"/>
        </w:rPr>
        <w:t> </w:t>
      </w:r>
      <w:r w:rsidRPr="000D6C42">
        <w:rPr>
          <w:color w:val="auto"/>
          <w:szCs w:val="18"/>
          <w:lang w:val="en-CA"/>
        </w:rPr>
        <w:t>is not exhaustive, “since any other act or omission that contravenes customary international law or conventional international law or by virtue of its being criminal according to the general principles of law recognized by the community of nations may constitute a proscribed underlying act”</w:t>
      </w:r>
      <w:r w:rsidR="00597F65" w:rsidRPr="000D6C42">
        <w:rPr>
          <w:color w:val="auto"/>
          <w:szCs w:val="18"/>
          <w:lang w:val="en-CA"/>
        </w:rPr>
        <w:t>.</w:t>
      </w:r>
      <w:r w:rsidR="00597F65" w:rsidRPr="000D6C42">
        <w:rPr>
          <w:color w:val="auto"/>
          <w:vertAlign w:val="superscript"/>
          <w:lang w:val="en-CA"/>
        </w:rPr>
        <w:footnoteReference w:id="216"/>
      </w:r>
    </w:p>
    <w:p w14:paraId="05EBFED4" w14:textId="0E12AEA4" w:rsidR="00E933E8" w:rsidRPr="00AA6144" w:rsidRDefault="00800562" w:rsidP="000D6C42">
      <w:pPr>
        <w:pStyle w:val="BodyText"/>
        <w:spacing w:after="246"/>
        <w:ind w:right="-17"/>
        <w:rPr>
          <w:color w:val="auto"/>
          <w:szCs w:val="18"/>
          <w:lang w:val="en-CA"/>
        </w:rPr>
      </w:pPr>
      <w:r w:rsidRPr="00AA6144">
        <w:rPr>
          <w:color w:val="auto"/>
          <w:szCs w:val="18"/>
          <w:lang w:val="en-CA"/>
        </w:rPr>
        <w:t xml:space="preserve">In the </w:t>
      </w:r>
      <w:proofErr w:type="spellStart"/>
      <w:r w:rsidRPr="00AA6144">
        <w:rPr>
          <w:i/>
          <w:color w:val="auto"/>
          <w:szCs w:val="18"/>
          <w:lang w:val="en-CA"/>
        </w:rPr>
        <w:t>Mugesera</w:t>
      </w:r>
      <w:proofErr w:type="spellEnd"/>
      <w:r w:rsidRPr="00AA6144">
        <w:rPr>
          <w:color w:val="auto"/>
          <w:szCs w:val="18"/>
          <w:lang w:val="en-CA"/>
        </w:rPr>
        <w:t xml:space="preserve"> case, the Supreme Court of Canada endeavoured to develop a definition of crimes against humanity.</w:t>
      </w:r>
      <w:bookmarkStart w:id="88" w:name="_Ref266972936"/>
      <w:r w:rsidRPr="00AA6144">
        <w:rPr>
          <w:color w:val="auto"/>
          <w:szCs w:val="18"/>
          <w:vertAlign w:val="superscript"/>
          <w:lang w:val="en-CA"/>
        </w:rPr>
        <w:footnoteReference w:id="217"/>
      </w:r>
      <w:bookmarkEnd w:id="88"/>
      <w:r w:rsidRPr="00AA6144">
        <w:rPr>
          <w:color w:val="auto"/>
          <w:szCs w:val="18"/>
          <w:lang w:val="en-CA"/>
        </w:rPr>
        <w:t xml:space="preserve"> According to the judgment, the </w:t>
      </w:r>
      <w:r w:rsidRPr="00AA6144">
        <w:rPr>
          <w:i/>
          <w:color w:val="auto"/>
          <w:szCs w:val="18"/>
          <w:lang w:val="en-CA"/>
        </w:rPr>
        <w:t xml:space="preserve">actus </w:t>
      </w:r>
      <w:proofErr w:type="spellStart"/>
      <w:r w:rsidRPr="00AA6144">
        <w:rPr>
          <w:i/>
          <w:color w:val="auto"/>
          <w:szCs w:val="18"/>
          <w:lang w:val="en-CA"/>
        </w:rPr>
        <w:t>reus</w:t>
      </w:r>
      <w:proofErr w:type="spellEnd"/>
      <w:r w:rsidRPr="00AA6144">
        <w:rPr>
          <w:color w:val="auto"/>
          <w:szCs w:val="18"/>
          <w:lang w:val="en-CA"/>
        </w:rPr>
        <w:t xml:space="preserve"> of a crime again</w:t>
      </w:r>
      <w:r w:rsidR="003B23F8" w:rsidRPr="00AA6144">
        <w:rPr>
          <w:color w:val="auto"/>
          <w:szCs w:val="18"/>
          <w:lang w:val="en-CA"/>
        </w:rPr>
        <w:t>st</w:t>
      </w:r>
      <w:r w:rsidRPr="00AA6144">
        <w:rPr>
          <w:color w:val="auto"/>
          <w:szCs w:val="18"/>
          <w:lang w:val="en-CA"/>
        </w:rPr>
        <w:t xml:space="preserve"> humanity contains three elements: ‘‘</w:t>
      </w:r>
      <w:r w:rsidR="00365E3E" w:rsidRPr="00AA6144">
        <w:rPr>
          <w:color w:val="auto"/>
          <w:szCs w:val="18"/>
          <w:lang w:val="en-CA"/>
        </w:rPr>
        <w:t xml:space="preserve">(a) </w:t>
      </w:r>
      <w:r w:rsidRPr="00AA6144">
        <w:rPr>
          <w:color w:val="auto"/>
          <w:szCs w:val="18"/>
          <w:lang w:val="en-CA"/>
        </w:rPr>
        <w:t>one of the underlying offences or ‘‘proscribed acts’’ had been committed</w:t>
      </w:r>
      <w:r w:rsidR="00365E3E" w:rsidRPr="00AA6144">
        <w:rPr>
          <w:color w:val="auto"/>
          <w:szCs w:val="18"/>
          <w:lang w:val="en-CA"/>
        </w:rPr>
        <w:t>; (b)</w:t>
      </w:r>
      <w:r w:rsidRPr="00AA6144">
        <w:rPr>
          <w:color w:val="auto"/>
          <w:szCs w:val="18"/>
          <w:lang w:val="en-CA"/>
        </w:rPr>
        <w:t xml:space="preserve"> that it was committed as part of a widespread or systematic attack</w:t>
      </w:r>
      <w:r w:rsidR="00365E3E" w:rsidRPr="00AA6144">
        <w:rPr>
          <w:color w:val="auto"/>
          <w:szCs w:val="18"/>
          <w:lang w:val="en-CA"/>
        </w:rPr>
        <w:t xml:space="preserve">; </w:t>
      </w:r>
      <w:r w:rsidRPr="00AA6144">
        <w:rPr>
          <w:color w:val="auto"/>
          <w:szCs w:val="18"/>
          <w:lang w:val="en-CA"/>
        </w:rPr>
        <w:t>and</w:t>
      </w:r>
      <w:r w:rsidR="00365E3E" w:rsidRPr="00AA6144">
        <w:rPr>
          <w:color w:val="auto"/>
          <w:szCs w:val="18"/>
          <w:lang w:val="en-CA"/>
        </w:rPr>
        <w:t xml:space="preserve"> (c)</w:t>
      </w:r>
      <w:r w:rsidRPr="00AA6144">
        <w:rPr>
          <w:color w:val="auto"/>
          <w:szCs w:val="18"/>
          <w:lang w:val="en-CA"/>
        </w:rPr>
        <w:t xml:space="preserve"> that the attack was directed against any civilian population or any identifiable group of persons’’.</w:t>
      </w:r>
      <w:r w:rsidRPr="00AA6144">
        <w:rPr>
          <w:color w:val="auto"/>
          <w:szCs w:val="18"/>
          <w:vertAlign w:val="superscript"/>
          <w:lang w:val="en-CA"/>
        </w:rPr>
        <w:footnoteReference w:id="218"/>
      </w:r>
      <w:r w:rsidRPr="00AA6144">
        <w:rPr>
          <w:color w:val="auto"/>
          <w:szCs w:val="18"/>
          <w:lang w:val="en-CA"/>
        </w:rPr>
        <w:t xml:space="preserve"> The Court defined ‘‘attack’’ as the commission of an act of violence</w:t>
      </w:r>
      <w:r w:rsidRPr="00AA6144">
        <w:rPr>
          <w:color w:val="auto"/>
          <w:szCs w:val="18"/>
          <w:vertAlign w:val="superscript"/>
          <w:lang w:val="en-CA"/>
        </w:rPr>
        <w:footnoteReference w:id="219"/>
      </w:r>
      <w:r w:rsidRPr="00AA6144">
        <w:rPr>
          <w:color w:val="auto"/>
          <w:szCs w:val="18"/>
          <w:lang w:val="en-CA"/>
        </w:rPr>
        <w:t xml:space="preserve"> while ‘‘widespread attack’’ includes ‘‘massive, frequent, large scale action, carried out collectively with considerable seriousness and directed against a multiplicity of victims’’.</w:t>
      </w:r>
      <w:r w:rsidRPr="00AA6144">
        <w:rPr>
          <w:color w:val="auto"/>
          <w:szCs w:val="18"/>
          <w:vertAlign w:val="superscript"/>
          <w:lang w:val="en-CA"/>
        </w:rPr>
        <w:footnoteReference w:id="220"/>
      </w:r>
      <w:r w:rsidRPr="00AA6144">
        <w:rPr>
          <w:color w:val="auto"/>
          <w:szCs w:val="18"/>
          <w:lang w:val="en-CA"/>
        </w:rPr>
        <w:t xml:space="preserve"> For the third element of the </w:t>
      </w:r>
      <w:r w:rsidRPr="00AA6144">
        <w:rPr>
          <w:i/>
          <w:color w:val="auto"/>
          <w:szCs w:val="18"/>
          <w:lang w:val="en-CA"/>
        </w:rPr>
        <w:t xml:space="preserve">actus </w:t>
      </w:r>
      <w:proofErr w:type="spellStart"/>
      <w:r w:rsidRPr="00AA6144">
        <w:rPr>
          <w:i/>
          <w:color w:val="auto"/>
          <w:szCs w:val="18"/>
          <w:lang w:val="en-CA"/>
        </w:rPr>
        <w:t>reus</w:t>
      </w:r>
      <w:proofErr w:type="spellEnd"/>
      <w:r w:rsidRPr="00AA6144">
        <w:rPr>
          <w:color w:val="auto"/>
          <w:szCs w:val="18"/>
          <w:lang w:val="en-CA"/>
        </w:rPr>
        <w:t xml:space="preserve">, the population </w:t>
      </w:r>
      <w:r w:rsidR="00A63463" w:rsidRPr="00AA6144">
        <w:rPr>
          <w:color w:val="auto"/>
          <w:szCs w:val="18"/>
          <w:lang w:val="en-CA"/>
        </w:rPr>
        <w:t>against which an attack is directed</w:t>
      </w:r>
      <w:r w:rsidRPr="00AA6144">
        <w:rPr>
          <w:color w:val="auto"/>
          <w:szCs w:val="18"/>
          <w:lang w:val="en-CA"/>
        </w:rPr>
        <w:t xml:space="preserve"> has to be the primary and not the collateral target of the attack.</w:t>
      </w:r>
      <w:r w:rsidRPr="00AA6144">
        <w:rPr>
          <w:color w:val="auto"/>
          <w:szCs w:val="18"/>
          <w:vertAlign w:val="superscript"/>
          <w:lang w:val="en-CA"/>
        </w:rPr>
        <w:footnoteReference w:id="221"/>
      </w:r>
      <w:r w:rsidRPr="00AA6144">
        <w:rPr>
          <w:color w:val="auto"/>
          <w:szCs w:val="18"/>
          <w:lang w:val="en-CA"/>
        </w:rPr>
        <w:t xml:space="preserve"> </w:t>
      </w:r>
    </w:p>
    <w:p w14:paraId="2DDEA0EA" w14:textId="77777777" w:rsidR="00800562" w:rsidRPr="00AA6144" w:rsidRDefault="00800562" w:rsidP="000D6C42">
      <w:pPr>
        <w:pStyle w:val="BodyText"/>
        <w:spacing w:after="246"/>
        <w:ind w:right="-17"/>
        <w:rPr>
          <w:color w:val="auto"/>
          <w:szCs w:val="18"/>
          <w:lang w:val="en-CA"/>
        </w:rPr>
      </w:pPr>
      <w:r w:rsidRPr="00AA6144">
        <w:rPr>
          <w:color w:val="auto"/>
          <w:szCs w:val="18"/>
          <w:lang w:val="en-CA"/>
        </w:rPr>
        <w:t xml:space="preserve">As for the </w:t>
      </w:r>
      <w:proofErr w:type="spellStart"/>
      <w:r w:rsidRPr="00AA6144">
        <w:rPr>
          <w:i/>
          <w:color w:val="auto"/>
          <w:szCs w:val="18"/>
          <w:lang w:val="en-CA"/>
        </w:rPr>
        <w:t>mens</w:t>
      </w:r>
      <w:proofErr w:type="spellEnd"/>
      <w:r w:rsidRPr="00AA6144">
        <w:rPr>
          <w:i/>
          <w:color w:val="auto"/>
          <w:szCs w:val="18"/>
          <w:lang w:val="en-CA"/>
        </w:rPr>
        <w:t xml:space="preserve"> rea</w:t>
      </w:r>
      <w:r w:rsidRPr="00AA6144">
        <w:rPr>
          <w:color w:val="auto"/>
          <w:szCs w:val="18"/>
          <w:lang w:val="en-CA"/>
        </w:rPr>
        <w:t xml:space="preserve">, the person committing the proscribed act </w:t>
      </w:r>
      <w:proofErr w:type="gramStart"/>
      <w:r w:rsidRPr="00AA6144">
        <w:rPr>
          <w:color w:val="auto"/>
          <w:szCs w:val="18"/>
          <w:lang w:val="en-CA"/>
        </w:rPr>
        <w:t>has to</w:t>
      </w:r>
      <w:proofErr w:type="gramEnd"/>
      <w:r w:rsidR="0042057F" w:rsidRPr="00AA6144">
        <w:rPr>
          <w:color w:val="auto"/>
          <w:szCs w:val="18"/>
          <w:lang w:val="en-CA"/>
        </w:rPr>
        <w:t xml:space="preserve"> have</w:t>
      </w:r>
      <w:r w:rsidRPr="00AA6144">
        <w:rPr>
          <w:color w:val="auto"/>
          <w:szCs w:val="18"/>
          <w:lang w:val="en-CA"/>
        </w:rPr>
        <w:t xml:space="preserve"> know</w:t>
      </w:r>
      <w:r w:rsidR="0042057F" w:rsidRPr="00AA6144">
        <w:rPr>
          <w:color w:val="auto"/>
          <w:szCs w:val="18"/>
          <w:lang w:val="en-CA"/>
        </w:rPr>
        <w:t>ledge</w:t>
      </w:r>
      <w:r w:rsidR="00540C17" w:rsidRPr="00AA6144">
        <w:rPr>
          <w:color w:val="auto"/>
          <w:szCs w:val="18"/>
          <w:lang w:val="en-CA"/>
        </w:rPr>
        <w:t xml:space="preserve"> of</w:t>
      </w:r>
      <w:r w:rsidRPr="00AA6144">
        <w:rPr>
          <w:color w:val="auto"/>
          <w:szCs w:val="18"/>
          <w:lang w:val="en-CA"/>
        </w:rPr>
        <w:t xml:space="preserve"> the attac</w:t>
      </w:r>
      <w:r w:rsidR="0042057F" w:rsidRPr="00AA6144">
        <w:rPr>
          <w:color w:val="auto"/>
          <w:szCs w:val="18"/>
          <w:lang w:val="en-CA"/>
        </w:rPr>
        <w:t xml:space="preserve">k. This means </w:t>
      </w:r>
      <w:r w:rsidR="00B25961" w:rsidRPr="00AA6144">
        <w:rPr>
          <w:color w:val="auto"/>
          <w:szCs w:val="18"/>
          <w:lang w:val="en-CA"/>
        </w:rPr>
        <w:t xml:space="preserve">he or she must </w:t>
      </w:r>
      <w:r w:rsidR="00540C17" w:rsidRPr="00AA6144">
        <w:rPr>
          <w:color w:val="auto"/>
          <w:szCs w:val="18"/>
          <w:lang w:val="en-CA"/>
        </w:rPr>
        <w:t>be cognizant of the link between his or her act and the attack</w:t>
      </w:r>
      <w:r w:rsidR="000B5AD1" w:rsidRPr="00AA6144">
        <w:rPr>
          <w:color w:val="auto"/>
          <w:szCs w:val="18"/>
          <w:lang w:val="en-CA"/>
        </w:rPr>
        <w:t>, knowing either that his or her acts are part of the attack directly or at least take the risk that they are part of the attack</w:t>
      </w:r>
      <w:r w:rsidR="00540C17" w:rsidRPr="00AA6144">
        <w:rPr>
          <w:color w:val="auto"/>
          <w:szCs w:val="18"/>
          <w:lang w:val="en-CA"/>
        </w:rPr>
        <w:t>.</w:t>
      </w:r>
      <w:r w:rsidRPr="00AA6144">
        <w:rPr>
          <w:color w:val="auto"/>
          <w:szCs w:val="18"/>
          <w:vertAlign w:val="superscript"/>
          <w:lang w:val="en-CA"/>
        </w:rPr>
        <w:footnoteReference w:id="222"/>
      </w:r>
      <w:r w:rsidRPr="00AA6144">
        <w:rPr>
          <w:color w:val="auto"/>
          <w:szCs w:val="18"/>
          <w:lang w:val="en-CA"/>
        </w:rPr>
        <w:t xml:space="preserve"> Both the </w:t>
      </w:r>
      <w:r w:rsidRPr="00AA6144">
        <w:rPr>
          <w:i/>
          <w:color w:val="auto"/>
          <w:szCs w:val="18"/>
          <w:lang w:val="en-CA"/>
        </w:rPr>
        <w:t xml:space="preserve">actus </w:t>
      </w:r>
      <w:proofErr w:type="spellStart"/>
      <w:r w:rsidRPr="00AA6144">
        <w:rPr>
          <w:i/>
          <w:color w:val="auto"/>
          <w:szCs w:val="18"/>
          <w:lang w:val="en-CA"/>
        </w:rPr>
        <w:t>reus</w:t>
      </w:r>
      <w:proofErr w:type="spellEnd"/>
      <w:r w:rsidRPr="00AA6144">
        <w:rPr>
          <w:color w:val="auto"/>
          <w:szCs w:val="18"/>
          <w:lang w:val="en-CA"/>
        </w:rPr>
        <w:t xml:space="preserve"> and the </w:t>
      </w:r>
      <w:proofErr w:type="spellStart"/>
      <w:r w:rsidRPr="00AA6144">
        <w:rPr>
          <w:i/>
          <w:color w:val="auto"/>
          <w:szCs w:val="18"/>
          <w:lang w:val="en-CA"/>
        </w:rPr>
        <w:t>mens</w:t>
      </w:r>
      <w:proofErr w:type="spellEnd"/>
      <w:r w:rsidRPr="00AA6144">
        <w:rPr>
          <w:i/>
          <w:color w:val="auto"/>
          <w:szCs w:val="18"/>
          <w:lang w:val="en-CA"/>
        </w:rPr>
        <w:t xml:space="preserve"> rea</w:t>
      </w:r>
      <w:r w:rsidRPr="00AA6144">
        <w:rPr>
          <w:color w:val="auto"/>
          <w:szCs w:val="18"/>
          <w:lang w:val="en-CA"/>
        </w:rPr>
        <w:t xml:space="preserve"> of the underlying offences have to be proved by the prosecution. </w:t>
      </w:r>
    </w:p>
    <w:p w14:paraId="50D00155" w14:textId="77777777" w:rsidR="00800562" w:rsidRPr="00AA6144" w:rsidRDefault="00B25961" w:rsidP="000D6C42">
      <w:pPr>
        <w:pStyle w:val="BodyText"/>
        <w:spacing w:after="246"/>
        <w:rPr>
          <w:color w:val="auto"/>
          <w:szCs w:val="18"/>
          <w:lang w:val="en-CA"/>
        </w:rPr>
      </w:pPr>
      <w:r w:rsidRPr="00AA6144">
        <w:rPr>
          <w:color w:val="auto"/>
          <w:szCs w:val="18"/>
          <w:lang w:val="en-CA"/>
        </w:rPr>
        <w:t>I</w:t>
      </w:r>
      <w:r w:rsidR="00800562" w:rsidRPr="00AA6144">
        <w:rPr>
          <w:color w:val="auto"/>
          <w:szCs w:val="18"/>
          <w:lang w:val="en-CA"/>
        </w:rPr>
        <w:t xml:space="preserve">t must be kept in mind that this decision was based on the former </w:t>
      </w:r>
      <w:r w:rsidR="00800562" w:rsidRPr="00AA6144">
        <w:rPr>
          <w:i/>
          <w:iCs/>
          <w:color w:val="auto"/>
          <w:szCs w:val="18"/>
          <w:lang w:val="en-CA"/>
        </w:rPr>
        <w:t>Criminal Code</w:t>
      </w:r>
      <w:r w:rsidR="00800562" w:rsidRPr="00AA6144">
        <w:rPr>
          <w:color w:val="auto"/>
          <w:szCs w:val="18"/>
          <w:lang w:val="en-CA"/>
        </w:rPr>
        <w:t xml:space="preserve"> provisions, but </w:t>
      </w:r>
      <w:r w:rsidR="00A03B12" w:rsidRPr="00AA6144">
        <w:rPr>
          <w:color w:val="auto"/>
          <w:szCs w:val="18"/>
          <w:lang w:val="en-CA"/>
        </w:rPr>
        <w:t xml:space="preserve">after </w:t>
      </w:r>
      <w:r w:rsidR="00800562" w:rsidRPr="00AA6144">
        <w:rPr>
          <w:color w:val="auto"/>
          <w:szCs w:val="18"/>
          <w:lang w:val="en-CA"/>
        </w:rPr>
        <w:t xml:space="preserve">the </w:t>
      </w:r>
      <w:r w:rsidR="00780945" w:rsidRPr="00AA6144">
        <w:rPr>
          <w:i/>
          <w:color w:val="auto"/>
          <w:szCs w:val="18"/>
          <w:lang w:val="en-CA"/>
        </w:rPr>
        <w:t>Crimes Against Humanity and War Crimes Act</w:t>
      </w:r>
      <w:r w:rsidR="00780945" w:rsidRPr="00AA6144" w:rsidDel="00780945">
        <w:rPr>
          <w:i/>
          <w:color w:val="auto"/>
          <w:szCs w:val="18"/>
          <w:lang w:val="en-CA"/>
        </w:rPr>
        <w:t xml:space="preserve"> </w:t>
      </w:r>
      <w:r w:rsidR="00800562" w:rsidRPr="00AA6144">
        <w:rPr>
          <w:color w:val="auto"/>
          <w:szCs w:val="18"/>
          <w:lang w:val="en-CA"/>
        </w:rPr>
        <w:t xml:space="preserve">had been adopted.  The </w:t>
      </w:r>
      <w:r w:rsidRPr="00AA6144">
        <w:rPr>
          <w:color w:val="auto"/>
          <w:szCs w:val="18"/>
          <w:lang w:val="en-CA"/>
        </w:rPr>
        <w:t>C</w:t>
      </w:r>
      <w:r w:rsidR="00301502" w:rsidRPr="00AA6144">
        <w:rPr>
          <w:color w:val="auto"/>
          <w:szCs w:val="18"/>
          <w:lang w:val="en-CA"/>
        </w:rPr>
        <w:t xml:space="preserve">ourt </w:t>
      </w:r>
      <w:r w:rsidR="00800562" w:rsidRPr="00AA6144">
        <w:rPr>
          <w:color w:val="auto"/>
          <w:szCs w:val="18"/>
          <w:lang w:val="en-CA"/>
        </w:rPr>
        <w:t xml:space="preserve">“in fact specifically mentioned that the differences in the manner that crimes against humanity are defined in the </w:t>
      </w:r>
      <w:r w:rsidR="00301502" w:rsidRPr="00AA6144">
        <w:rPr>
          <w:i/>
          <w:color w:val="auto"/>
          <w:szCs w:val="18"/>
          <w:lang w:val="en-CA"/>
        </w:rPr>
        <w:t>Act</w:t>
      </w:r>
      <w:r w:rsidR="00301502" w:rsidRPr="00AA6144">
        <w:rPr>
          <w:color w:val="auto"/>
          <w:szCs w:val="18"/>
          <w:lang w:val="en-CA"/>
        </w:rPr>
        <w:t xml:space="preserve"> </w:t>
      </w:r>
      <w:r w:rsidR="00800562" w:rsidRPr="00AA6144">
        <w:rPr>
          <w:color w:val="auto"/>
          <w:szCs w:val="18"/>
          <w:lang w:val="en-CA"/>
        </w:rPr>
        <w:t>were ‘not material’ to its discussion on this issue</w:t>
      </w:r>
      <w:r w:rsidR="00301502" w:rsidRPr="00AA6144">
        <w:rPr>
          <w:color w:val="auto"/>
          <w:szCs w:val="18"/>
          <w:lang w:val="en-CA"/>
        </w:rPr>
        <w:t>”</w:t>
      </w:r>
      <w:r w:rsidR="000413C0" w:rsidRPr="00AA6144">
        <w:rPr>
          <w:color w:val="auto"/>
          <w:szCs w:val="18"/>
          <w:lang w:val="en-CA"/>
        </w:rPr>
        <w:t>.</w:t>
      </w:r>
      <w:bookmarkStart w:id="89" w:name="_Ref267057974"/>
      <w:r w:rsidR="00800562" w:rsidRPr="00AA6144">
        <w:rPr>
          <w:color w:val="auto"/>
          <w:szCs w:val="18"/>
          <w:vertAlign w:val="superscript"/>
          <w:lang w:val="en-CA"/>
        </w:rPr>
        <w:footnoteReference w:id="223"/>
      </w:r>
      <w:bookmarkEnd w:id="89"/>
      <w:r w:rsidR="00800562" w:rsidRPr="00AA6144">
        <w:rPr>
          <w:color w:val="auto"/>
          <w:szCs w:val="18"/>
          <w:lang w:val="en-CA"/>
        </w:rPr>
        <w:t xml:space="preserve"> It seems that “there are indications that the </w:t>
      </w:r>
      <w:r w:rsidR="00301502" w:rsidRPr="00AA6144">
        <w:rPr>
          <w:color w:val="auto"/>
          <w:szCs w:val="18"/>
          <w:lang w:val="en-CA"/>
        </w:rPr>
        <w:t>c</w:t>
      </w:r>
      <w:r w:rsidR="00800562" w:rsidRPr="00AA6144">
        <w:rPr>
          <w:color w:val="auto"/>
          <w:szCs w:val="18"/>
          <w:lang w:val="en-CA"/>
        </w:rPr>
        <w:t>ourt would look to domestic law to define the constitutive elements of the underlying offence”.</w:t>
      </w:r>
      <w:r w:rsidR="00800562" w:rsidRPr="00AA6144">
        <w:rPr>
          <w:color w:val="auto"/>
          <w:szCs w:val="18"/>
          <w:vertAlign w:val="superscript"/>
          <w:lang w:val="en-CA"/>
        </w:rPr>
        <w:footnoteReference w:id="224"/>
      </w:r>
      <w:r w:rsidR="00800562" w:rsidRPr="00AA6144">
        <w:rPr>
          <w:color w:val="auto"/>
          <w:szCs w:val="18"/>
          <w:lang w:val="en-CA"/>
        </w:rPr>
        <w:t xml:space="preserve">  The elements of the underlying offence should be established with respect to international law; the default of doing so might “create a disparity in the way the international offences are defined and applied in Canada”.</w:t>
      </w:r>
      <w:r w:rsidR="00800562" w:rsidRPr="00AA6144">
        <w:rPr>
          <w:color w:val="auto"/>
          <w:szCs w:val="18"/>
          <w:vertAlign w:val="superscript"/>
          <w:lang w:val="en-CA"/>
        </w:rPr>
        <w:footnoteReference w:id="225"/>
      </w:r>
    </w:p>
    <w:p w14:paraId="56CFE8ED" w14:textId="50A24835" w:rsidR="00800562" w:rsidRPr="00AA6144" w:rsidRDefault="00800562" w:rsidP="000D6C42">
      <w:pPr>
        <w:pStyle w:val="BodyText"/>
        <w:spacing w:after="246"/>
        <w:rPr>
          <w:color w:val="auto"/>
          <w:szCs w:val="18"/>
          <w:lang w:val="en-CA"/>
        </w:rPr>
      </w:pPr>
      <w:r w:rsidRPr="00AA6144">
        <w:rPr>
          <w:color w:val="auto"/>
          <w:szCs w:val="18"/>
          <w:lang w:val="en-CA"/>
        </w:rPr>
        <w:t xml:space="preserve">This definition from the Supreme Court of Canada of the elements of a crime against humanity is susceptible </w:t>
      </w:r>
      <w:r w:rsidR="00301502" w:rsidRPr="00AA6144">
        <w:rPr>
          <w:color w:val="auto"/>
          <w:szCs w:val="18"/>
          <w:lang w:val="en-CA"/>
        </w:rPr>
        <w:t xml:space="preserve">to </w:t>
      </w:r>
      <w:r w:rsidRPr="00AA6144">
        <w:rPr>
          <w:color w:val="auto"/>
          <w:szCs w:val="18"/>
          <w:lang w:val="en-CA"/>
        </w:rPr>
        <w:t xml:space="preserve">evolution given to the provisions of the </w:t>
      </w:r>
      <w:r w:rsidRPr="00AA6144">
        <w:rPr>
          <w:i/>
          <w:iCs/>
          <w:color w:val="auto"/>
          <w:szCs w:val="18"/>
          <w:lang w:val="en-CA"/>
        </w:rPr>
        <w:t>Crimes Against Humanity and War Crimes Act</w:t>
      </w:r>
      <w:r w:rsidRPr="00AA6144">
        <w:rPr>
          <w:color w:val="auto"/>
          <w:szCs w:val="18"/>
          <w:lang w:val="en-CA"/>
        </w:rPr>
        <w:t xml:space="preserve"> </w:t>
      </w:r>
      <w:r w:rsidR="00B25961" w:rsidRPr="00AA6144">
        <w:rPr>
          <w:color w:val="auto"/>
          <w:szCs w:val="18"/>
          <w:lang w:val="en-CA"/>
        </w:rPr>
        <w:t xml:space="preserve">because it relies on </w:t>
      </w:r>
      <w:r w:rsidRPr="00AA6144">
        <w:rPr>
          <w:color w:val="auto"/>
          <w:szCs w:val="18"/>
          <w:lang w:val="en-CA"/>
        </w:rPr>
        <w:t>customary international law.</w:t>
      </w:r>
    </w:p>
    <w:p w14:paraId="0127BE25" w14:textId="02198244" w:rsidR="00E81DA6" w:rsidRPr="00AA6144" w:rsidRDefault="00E81DA6" w:rsidP="000D6C42">
      <w:pPr>
        <w:pStyle w:val="BodyText"/>
        <w:spacing w:after="246"/>
        <w:rPr>
          <w:bCs/>
          <w:color w:val="auto"/>
          <w:szCs w:val="18"/>
          <w:lang w:val="en-CA"/>
        </w:rPr>
      </w:pPr>
      <w:r w:rsidRPr="00AA6144">
        <w:rPr>
          <w:bCs/>
          <w:color w:val="auto"/>
          <w:szCs w:val="18"/>
          <w:lang w:val="en-CA"/>
        </w:rPr>
        <w:t xml:space="preserve">Section 6 of the </w:t>
      </w:r>
      <w:r w:rsidRPr="00AA6144">
        <w:rPr>
          <w:bCs/>
          <w:i/>
          <w:iCs/>
          <w:color w:val="auto"/>
          <w:szCs w:val="18"/>
          <w:lang w:val="en-CA"/>
        </w:rPr>
        <w:t>Crimes Against Humanity and War Crimes Act</w:t>
      </w:r>
      <w:r w:rsidRPr="00AA6144">
        <w:rPr>
          <w:bCs/>
          <w:color w:val="auto"/>
          <w:szCs w:val="18"/>
          <w:lang w:val="en-CA"/>
        </w:rPr>
        <w:t>, as compared to</w:t>
      </w:r>
      <w:r w:rsidR="00B25961" w:rsidRPr="00AA6144">
        <w:rPr>
          <w:bCs/>
          <w:color w:val="auto"/>
          <w:szCs w:val="18"/>
          <w:lang w:val="en-CA"/>
        </w:rPr>
        <w:t xml:space="preserve"> Article 7 of</w:t>
      </w:r>
      <w:r w:rsidRPr="00AA6144">
        <w:rPr>
          <w:bCs/>
          <w:color w:val="auto"/>
          <w:szCs w:val="18"/>
          <w:lang w:val="en-CA"/>
        </w:rPr>
        <w:t xml:space="preserve"> the </w:t>
      </w:r>
      <w:r w:rsidR="005C5FF0" w:rsidRPr="00AA6144">
        <w:rPr>
          <w:bCs/>
          <w:color w:val="auto"/>
          <w:szCs w:val="18"/>
          <w:lang w:val="en-CA"/>
        </w:rPr>
        <w:t>Rome Statute</w:t>
      </w:r>
      <w:r w:rsidRPr="00AA6144">
        <w:rPr>
          <w:bCs/>
          <w:color w:val="auto"/>
          <w:szCs w:val="18"/>
          <w:lang w:val="en-CA"/>
        </w:rPr>
        <w:t xml:space="preserve">, omits the </w:t>
      </w:r>
      <w:r w:rsidR="00B25961" w:rsidRPr="00AA6144">
        <w:rPr>
          <w:bCs/>
          <w:color w:val="auto"/>
          <w:szCs w:val="18"/>
          <w:lang w:val="en-CA"/>
        </w:rPr>
        <w:t>crimes of</w:t>
      </w:r>
      <w:r w:rsidRPr="00AA6144">
        <w:rPr>
          <w:bCs/>
          <w:color w:val="auto"/>
          <w:szCs w:val="18"/>
          <w:lang w:val="en-CA"/>
        </w:rPr>
        <w:t xml:space="preserve"> enforced disappearance </w:t>
      </w:r>
      <w:r w:rsidR="00B25961" w:rsidRPr="00AA6144">
        <w:rPr>
          <w:bCs/>
          <w:color w:val="auto"/>
          <w:szCs w:val="18"/>
          <w:lang w:val="en-CA"/>
        </w:rPr>
        <w:t>and</w:t>
      </w:r>
      <w:r w:rsidRPr="00AA6144">
        <w:rPr>
          <w:bCs/>
          <w:color w:val="auto"/>
          <w:szCs w:val="18"/>
          <w:lang w:val="en-CA"/>
        </w:rPr>
        <w:t xml:space="preserve"> apartheid.</w:t>
      </w:r>
      <w:r w:rsidR="0061257E" w:rsidRPr="00AA6144">
        <w:rPr>
          <w:rStyle w:val="FootnoteReference"/>
          <w:bCs/>
          <w:color w:val="auto"/>
          <w:szCs w:val="18"/>
          <w:lang w:val="en-CA"/>
        </w:rPr>
        <w:footnoteReference w:id="226"/>
      </w:r>
      <w:r w:rsidRPr="00AA6144">
        <w:rPr>
          <w:bCs/>
          <w:color w:val="auto"/>
          <w:szCs w:val="18"/>
          <w:lang w:val="en-CA"/>
        </w:rPr>
        <w:t xml:space="preserve">  Canada has ratified </w:t>
      </w:r>
      <w:r w:rsidR="00DF5249" w:rsidRPr="00AA6144">
        <w:rPr>
          <w:bCs/>
          <w:color w:val="auto"/>
          <w:szCs w:val="18"/>
          <w:lang w:val="en-CA"/>
        </w:rPr>
        <w:t>n</w:t>
      </w:r>
      <w:r w:rsidRPr="00AA6144">
        <w:rPr>
          <w:bCs/>
          <w:color w:val="auto"/>
          <w:szCs w:val="18"/>
          <w:lang w:val="en-CA"/>
        </w:rPr>
        <w:t>either</w:t>
      </w:r>
      <w:r w:rsidR="00DF5249" w:rsidRPr="00AA6144">
        <w:rPr>
          <w:bCs/>
          <w:color w:val="auto"/>
          <w:szCs w:val="18"/>
          <w:lang w:val="en-CA"/>
        </w:rPr>
        <w:t xml:space="preserve"> of</w:t>
      </w:r>
      <w:r w:rsidRPr="00AA6144">
        <w:rPr>
          <w:bCs/>
          <w:color w:val="auto"/>
          <w:szCs w:val="18"/>
          <w:lang w:val="en-CA"/>
        </w:rPr>
        <w:t xml:space="preserve"> the international treaties providing for such crimes.</w:t>
      </w:r>
      <w:bookmarkStart w:id="90" w:name="_Ref266973218"/>
      <w:r w:rsidRPr="00AA6144">
        <w:rPr>
          <w:bCs/>
          <w:color w:val="auto"/>
          <w:szCs w:val="18"/>
          <w:vertAlign w:val="superscript"/>
          <w:lang w:val="en-CA"/>
        </w:rPr>
        <w:footnoteReference w:id="227"/>
      </w:r>
      <w:bookmarkEnd w:id="90"/>
      <w:r w:rsidRPr="00AA6144">
        <w:rPr>
          <w:bCs/>
          <w:color w:val="auto"/>
          <w:szCs w:val="18"/>
          <w:lang w:val="en-CA"/>
        </w:rPr>
        <w:t xml:space="preserve"> However, </w:t>
      </w:r>
      <w:r w:rsidR="00301502" w:rsidRPr="00AA6144">
        <w:rPr>
          <w:bCs/>
          <w:color w:val="auto"/>
          <w:szCs w:val="18"/>
          <w:lang w:val="en-CA"/>
        </w:rPr>
        <w:t xml:space="preserve">some argue that </w:t>
      </w:r>
      <w:r w:rsidRPr="00AA6144">
        <w:rPr>
          <w:bCs/>
          <w:color w:val="auto"/>
          <w:szCs w:val="18"/>
          <w:lang w:val="en-CA"/>
        </w:rPr>
        <w:t xml:space="preserve">it </w:t>
      </w:r>
      <w:r w:rsidR="00301502" w:rsidRPr="00AA6144">
        <w:rPr>
          <w:bCs/>
          <w:color w:val="auto"/>
          <w:szCs w:val="18"/>
          <w:lang w:val="en-CA"/>
        </w:rPr>
        <w:t>would be possible to prosecute</w:t>
      </w:r>
      <w:r w:rsidRPr="00AA6144">
        <w:rPr>
          <w:bCs/>
          <w:color w:val="auto"/>
          <w:szCs w:val="18"/>
          <w:lang w:val="en-CA"/>
        </w:rPr>
        <w:t xml:space="preserve"> enforced disappearances and apartheid in Canada </w:t>
      </w:r>
      <w:r w:rsidR="00301502" w:rsidRPr="00AA6144">
        <w:rPr>
          <w:bCs/>
          <w:color w:val="auto"/>
          <w:szCs w:val="18"/>
          <w:lang w:val="en-CA"/>
        </w:rPr>
        <w:t xml:space="preserve">by including it </w:t>
      </w:r>
      <w:r w:rsidR="00B97AD7" w:rsidRPr="00AA6144">
        <w:rPr>
          <w:bCs/>
          <w:color w:val="auto"/>
          <w:szCs w:val="18"/>
          <w:lang w:val="en-CA"/>
        </w:rPr>
        <w:t>under the umbrella of</w:t>
      </w:r>
      <w:r w:rsidR="00301502" w:rsidRPr="00AA6144">
        <w:rPr>
          <w:bCs/>
          <w:color w:val="auto"/>
          <w:szCs w:val="18"/>
          <w:lang w:val="en-CA"/>
        </w:rPr>
        <w:t xml:space="preserve"> </w:t>
      </w:r>
      <w:r w:rsidRPr="00AA6144">
        <w:rPr>
          <w:bCs/>
          <w:color w:val="auto"/>
          <w:szCs w:val="18"/>
          <w:lang w:val="en-CA"/>
        </w:rPr>
        <w:t>“an</w:t>
      </w:r>
      <w:r w:rsidR="00B97AD7" w:rsidRPr="00AA6144">
        <w:rPr>
          <w:bCs/>
          <w:color w:val="auto"/>
          <w:szCs w:val="18"/>
          <w:lang w:val="en-CA"/>
        </w:rPr>
        <w:t>y</w:t>
      </w:r>
      <w:r w:rsidRPr="00AA6144">
        <w:rPr>
          <w:bCs/>
          <w:color w:val="auto"/>
          <w:szCs w:val="18"/>
          <w:lang w:val="en-CA"/>
        </w:rPr>
        <w:t xml:space="preserve"> other inhumane act” </w:t>
      </w:r>
      <w:r w:rsidR="00CB1D23" w:rsidRPr="00AA6144">
        <w:rPr>
          <w:bCs/>
          <w:color w:val="auto"/>
          <w:szCs w:val="18"/>
          <w:lang w:val="en-CA"/>
        </w:rPr>
        <w:t>from the definition of crimes against humanity in the</w:t>
      </w:r>
      <w:r w:rsidRPr="00AA6144">
        <w:rPr>
          <w:bCs/>
          <w:color w:val="auto"/>
          <w:szCs w:val="18"/>
          <w:lang w:val="en-CA"/>
        </w:rPr>
        <w:t xml:space="preserve"> </w:t>
      </w:r>
      <w:r w:rsidRPr="00AA6144">
        <w:rPr>
          <w:bCs/>
          <w:i/>
          <w:iCs/>
          <w:color w:val="auto"/>
          <w:szCs w:val="18"/>
          <w:lang w:val="en-CA"/>
        </w:rPr>
        <w:t>Crimes Against Humanity and War Crimes Act.</w:t>
      </w:r>
      <w:r w:rsidRPr="00AA6144">
        <w:rPr>
          <w:bCs/>
          <w:color w:val="auto"/>
          <w:szCs w:val="18"/>
          <w:vertAlign w:val="superscript"/>
          <w:lang w:val="en-CA"/>
        </w:rPr>
        <w:footnoteReference w:id="228"/>
      </w:r>
    </w:p>
    <w:p w14:paraId="6CB63016" w14:textId="77777777" w:rsidR="00E81DA6" w:rsidRPr="00AA6144" w:rsidRDefault="00E81DA6" w:rsidP="000D6C42">
      <w:pPr>
        <w:pStyle w:val="BodyText"/>
        <w:spacing w:after="246"/>
        <w:rPr>
          <w:bCs/>
          <w:color w:val="auto"/>
          <w:szCs w:val="18"/>
          <w:lang w:val="en-CA"/>
        </w:rPr>
      </w:pPr>
      <w:r w:rsidRPr="00AA6144">
        <w:rPr>
          <w:bCs/>
          <w:color w:val="auto"/>
          <w:szCs w:val="18"/>
          <w:lang w:val="en-CA"/>
        </w:rPr>
        <w:t xml:space="preserve">The </w:t>
      </w:r>
      <w:r w:rsidRPr="00AA6144">
        <w:rPr>
          <w:bCs/>
          <w:i/>
          <w:iCs/>
          <w:color w:val="auto"/>
          <w:szCs w:val="18"/>
          <w:lang w:val="en-CA"/>
        </w:rPr>
        <w:t>Crimes Against Humanity and War Crimes Act</w:t>
      </w:r>
      <w:r w:rsidRPr="00AA6144">
        <w:rPr>
          <w:bCs/>
          <w:color w:val="auto"/>
          <w:szCs w:val="18"/>
          <w:lang w:val="en-CA"/>
        </w:rPr>
        <w:t xml:space="preserve"> does not expressly include the crime of forcible transfer of population</w:t>
      </w:r>
      <w:r w:rsidR="006153B3" w:rsidRPr="00AA6144">
        <w:rPr>
          <w:bCs/>
          <w:color w:val="auto"/>
          <w:szCs w:val="18"/>
          <w:lang w:val="en-CA"/>
        </w:rPr>
        <w:t>s</w:t>
      </w:r>
      <w:r w:rsidR="00DF5249" w:rsidRPr="00AA6144">
        <w:rPr>
          <w:bCs/>
          <w:color w:val="auto"/>
          <w:szCs w:val="18"/>
          <w:lang w:val="en-CA"/>
        </w:rPr>
        <w:t>,</w:t>
      </w:r>
      <w:r w:rsidRPr="00AA6144">
        <w:rPr>
          <w:bCs/>
          <w:color w:val="auto"/>
          <w:szCs w:val="18"/>
          <w:lang w:val="en-CA"/>
        </w:rPr>
        <w:t xml:space="preserve"> although it prohibits the crime of deportation. Notwithstanding this lack of further specification in the </w:t>
      </w:r>
      <w:r w:rsidR="006153B3" w:rsidRPr="00AA6144">
        <w:rPr>
          <w:bCs/>
          <w:i/>
          <w:iCs/>
          <w:color w:val="auto"/>
          <w:szCs w:val="18"/>
          <w:lang w:val="en-CA"/>
        </w:rPr>
        <w:t>Crimes Against Humanity and War Crimes Act</w:t>
      </w:r>
      <w:r w:rsidRPr="00AA6144">
        <w:rPr>
          <w:bCs/>
          <w:color w:val="auto"/>
          <w:szCs w:val="18"/>
          <w:lang w:val="en-CA"/>
        </w:rPr>
        <w:t xml:space="preserve">, </w:t>
      </w:r>
      <w:r w:rsidR="00AA6037" w:rsidRPr="00AA6144">
        <w:rPr>
          <w:bCs/>
          <w:color w:val="auto"/>
          <w:szCs w:val="18"/>
          <w:lang w:val="en-CA"/>
        </w:rPr>
        <w:t xml:space="preserve">some </w:t>
      </w:r>
      <w:r w:rsidRPr="00AA6144">
        <w:rPr>
          <w:bCs/>
          <w:color w:val="auto"/>
          <w:szCs w:val="18"/>
          <w:lang w:val="en-CA"/>
        </w:rPr>
        <w:t>interpretations may favour a prosecution in Canada of the crime of forcible transfer.  Besides the fact that the crime of forcible transfer is undoubtedly part of customary international law, “</w:t>
      </w:r>
      <w:r w:rsidRPr="00AA6144">
        <w:rPr>
          <w:color w:val="auto"/>
          <w:szCs w:val="18"/>
          <w:lang w:val="en-CA"/>
        </w:rPr>
        <w:t xml:space="preserve">Canadian judges and prosecutors may either adopt the view that since ss. 4(4) and 6(4) of the </w:t>
      </w:r>
      <w:r w:rsidRPr="00AA6144">
        <w:rPr>
          <w:i/>
          <w:color w:val="auto"/>
          <w:szCs w:val="18"/>
          <w:lang w:val="en-CA"/>
        </w:rPr>
        <w:t>Act</w:t>
      </w:r>
      <w:r w:rsidRPr="00AA6144">
        <w:rPr>
          <w:color w:val="auto"/>
          <w:szCs w:val="18"/>
          <w:lang w:val="en-CA"/>
        </w:rPr>
        <w:t xml:space="preserve"> essentially mandate an interpretation of customary international law that corresponds to the </w:t>
      </w:r>
      <w:r w:rsidR="005C5FF0" w:rsidRPr="00AA6144">
        <w:rPr>
          <w:color w:val="auto"/>
          <w:szCs w:val="18"/>
          <w:lang w:val="en-CA"/>
        </w:rPr>
        <w:t>Rome Statute</w:t>
      </w:r>
      <w:r w:rsidRPr="00AA6144">
        <w:rPr>
          <w:color w:val="auto"/>
          <w:szCs w:val="18"/>
          <w:lang w:val="en-CA"/>
        </w:rPr>
        <w:t xml:space="preserve"> -which makes a single category with the two terms and defines them in the same manner- ‘deportation’ under the </w:t>
      </w:r>
      <w:r w:rsidRPr="00AA6144">
        <w:rPr>
          <w:i/>
          <w:color w:val="auto"/>
          <w:szCs w:val="18"/>
          <w:lang w:val="en-CA"/>
        </w:rPr>
        <w:t>Act</w:t>
      </w:r>
      <w:r w:rsidRPr="00AA6144">
        <w:rPr>
          <w:color w:val="auto"/>
          <w:szCs w:val="18"/>
          <w:lang w:val="en-CA"/>
        </w:rPr>
        <w:t xml:space="preserve"> should include ‘forcible transfer of population’.</w:t>
      </w:r>
      <w:r w:rsidR="00AA6037" w:rsidRPr="00AA6144">
        <w:rPr>
          <w:color w:val="auto"/>
          <w:szCs w:val="18"/>
          <w:lang w:val="en-CA"/>
        </w:rPr>
        <w:t>”</w:t>
      </w:r>
      <w:r w:rsidRPr="00AA6144">
        <w:rPr>
          <w:color w:val="auto"/>
          <w:szCs w:val="18"/>
          <w:vertAlign w:val="superscript"/>
          <w:lang w:val="en-CA"/>
        </w:rPr>
        <w:footnoteReference w:id="229"/>
      </w:r>
      <w:r w:rsidRPr="00AA6144">
        <w:rPr>
          <w:bCs/>
          <w:color w:val="auto"/>
          <w:szCs w:val="18"/>
          <w:lang w:val="en-CA"/>
        </w:rPr>
        <w:t xml:space="preserve"> Also, prosecutors and judges could “</w:t>
      </w:r>
      <w:r w:rsidRPr="00AA6144">
        <w:rPr>
          <w:color w:val="auto"/>
          <w:szCs w:val="18"/>
          <w:lang w:val="en-CA"/>
        </w:rPr>
        <w:t>include the crime within the concept of “persecution” if discriminatory intent is present</w:t>
      </w:r>
      <w:r w:rsidR="006153B3" w:rsidRPr="00AA6144">
        <w:rPr>
          <w:color w:val="auto"/>
          <w:szCs w:val="18"/>
          <w:lang w:val="en-CA"/>
        </w:rPr>
        <w:t>,</w:t>
      </w:r>
      <w:r w:rsidRPr="00AA6144">
        <w:rPr>
          <w:color w:val="auto"/>
          <w:szCs w:val="18"/>
          <w:lang w:val="en-CA"/>
        </w:rPr>
        <w:t xml:space="preserve"> or as “other inhumane acts” as some judgements of the </w:t>
      </w:r>
      <w:r w:rsidR="00AA6037" w:rsidRPr="00AA6144">
        <w:rPr>
          <w:color w:val="auto"/>
          <w:szCs w:val="18"/>
          <w:lang w:val="en-CA"/>
        </w:rPr>
        <w:t>international t</w:t>
      </w:r>
      <w:r w:rsidRPr="00AA6144">
        <w:rPr>
          <w:color w:val="auto"/>
          <w:szCs w:val="18"/>
          <w:lang w:val="en-CA"/>
        </w:rPr>
        <w:t>ribunals have done“.</w:t>
      </w:r>
      <w:r w:rsidRPr="00AA6144">
        <w:rPr>
          <w:color w:val="auto"/>
          <w:szCs w:val="18"/>
          <w:vertAlign w:val="superscript"/>
          <w:lang w:val="en-CA"/>
        </w:rPr>
        <w:footnoteReference w:id="230"/>
      </w:r>
      <w:r w:rsidRPr="00AA6144">
        <w:rPr>
          <w:bCs/>
          <w:color w:val="auto"/>
          <w:szCs w:val="18"/>
          <w:lang w:val="en-CA"/>
        </w:rPr>
        <w:t xml:space="preserve"> However, “</w:t>
      </w:r>
      <w:r w:rsidRPr="00AA6144">
        <w:rPr>
          <w:color w:val="auto"/>
          <w:szCs w:val="18"/>
          <w:lang w:val="en-CA"/>
        </w:rPr>
        <w:t xml:space="preserve">it would seem that the most coherent interpretation is to read “forcible displacement” within the meaning of “deportation” in prosecutions under the </w:t>
      </w:r>
      <w:r w:rsidRPr="00AA6144">
        <w:rPr>
          <w:i/>
          <w:color w:val="auto"/>
          <w:szCs w:val="18"/>
          <w:lang w:val="en-CA"/>
        </w:rPr>
        <w:t>Act</w:t>
      </w:r>
      <w:r w:rsidRPr="00AA6144">
        <w:rPr>
          <w:color w:val="auto"/>
          <w:szCs w:val="18"/>
          <w:lang w:val="en-CA"/>
        </w:rPr>
        <w:t xml:space="preserve">. </w:t>
      </w:r>
      <w:r w:rsidRPr="00AA6144">
        <w:rPr>
          <w:color w:val="auto"/>
          <w:szCs w:val="18"/>
          <w:vertAlign w:val="superscript"/>
          <w:lang w:val="en-CA"/>
        </w:rPr>
        <w:footnoteReference w:id="231"/>
      </w:r>
      <w:r w:rsidRPr="00AA6144">
        <w:rPr>
          <w:color w:val="auto"/>
          <w:szCs w:val="18"/>
          <w:lang w:val="en-CA"/>
        </w:rPr>
        <w:t xml:space="preserve">  </w:t>
      </w:r>
    </w:p>
    <w:p w14:paraId="1E70D38B" w14:textId="5C0B3EDB" w:rsidR="00AA32DD" w:rsidRPr="000D6C42" w:rsidRDefault="00E81DA6" w:rsidP="000D6C42">
      <w:pPr>
        <w:pStyle w:val="BodyText"/>
        <w:spacing w:after="246"/>
        <w:rPr>
          <w:color w:val="auto"/>
          <w:szCs w:val="18"/>
          <w:lang w:val="en-CA"/>
        </w:rPr>
      </w:pPr>
      <w:r w:rsidRPr="000D6C42">
        <w:rPr>
          <w:color w:val="auto"/>
          <w:szCs w:val="18"/>
          <w:lang w:val="en-CA"/>
        </w:rPr>
        <w:t xml:space="preserve">The </w:t>
      </w:r>
      <w:r w:rsidRPr="000D6C42">
        <w:rPr>
          <w:i/>
          <w:iCs/>
          <w:color w:val="auto"/>
          <w:szCs w:val="18"/>
          <w:lang w:val="en-CA"/>
        </w:rPr>
        <w:t>Crimes Against Humanity and War Crimes Act</w:t>
      </w:r>
      <w:r w:rsidRPr="000D6C42">
        <w:rPr>
          <w:color w:val="auto"/>
          <w:szCs w:val="18"/>
          <w:lang w:val="en-CA"/>
        </w:rPr>
        <w:t xml:space="preserve"> refers to sexual violence in a generic manner, as opposed to the list of sexual-related crimes </w:t>
      </w:r>
      <w:r w:rsidR="00B014B4" w:rsidRPr="000D6C42">
        <w:rPr>
          <w:color w:val="auto"/>
          <w:szCs w:val="18"/>
          <w:lang w:val="en-CA"/>
        </w:rPr>
        <w:t xml:space="preserve">enumerated in </w:t>
      </w:r>
      <w:r w:rsidRPr="000D6C42">
        <w:rPr>
          <w:color w:val="auto"/>
          <w:szCs w:val="18"/>
          <w:lang w:val="en-CA"/>
        </w:rPr>
        <w:t xml:space="preserve">the </w:t>
      </w:r>
      <w:r w:rsidR="005C5FF0" w:rsidRPr="000D6C42">
        <w:rPr>
          <w:i/>
          <w:iCs/>
          <w:color w:val="auto"/>
          <w:szCs w:val="18"/>
          <w:lang w:val="en-CA"/>
        </w:rPr>
        <w:t>Rome Statute</w:t>
      </w:r>
      <w:r w:rsidRPr="000D6C42">
        <w:rPr>
          <w:color w:val="auto"/>
          <w:szCs w:val="18"/>
          <w:lang w:val="en-CA"/>
        </w:rPr>
        <w:t xml:space="preserve"> (</w:t>
      </w:r>
      <w:r w:rsidRPr="00813569">
        <w:rPr>
          <w:color w:val="auto"/>
          <w:szCs w:val="18"/>
          <w:lang w:val="en-CA"/>
        </w:rPr>
        <w:t>rape, sexual slavery, enforced prostitution, forced pregnancy, enforced sterilization, or any other form of sexual violence of comparable gravity)</w:t>
      </w:r>
      <w:r w:rsidRPr="000D6C42">
        <w:rPr>
          <w:color w:val="auto"/>
          <w:szCs w:val="18"/>
          <w:lang w:val="en-CA"/>
        </w:rPr>
        <w:t xml:space="preserve">. </w:t>
      </w:r>
      <w:r w:rsidR="00B014B4" w:rsidRPr="000D6C42">
        <w:rPr>
          <w:color w:val="auto"/>
          <w:szCs w:val="18"/>
          <w:lang w:val="en-CA"/>
        </w:rPr>
        <w:t xml:space="preserve">The </w:t>
      </w:r>
      <w:r w:rsidR="007D42EA" w:rsidRPr="000D6C42">
        <w:rPr>
          <w:color w:val="auto"/>
          <w:szCs w:val="18"/>
          <w:lang w:val="en-CA"/>
        </w:rPr>
        <w:t xml:space="preserve">Quebec Superior Court </w:t>
      </w:r>
      <w:r w:rsidR="00B014B4" w:rsidRPr="000D6C42">
        <w:rPr>
          <w:color w:val="auto"/>
          <w:szCs w:val="18"/>
          <w:lang w:val="en-CA"/>
        </w:rPr>
        <w:t xml:space="preserve">case of </w:t>
      </w:r>
      <w:proofErr w:type="spellStart"/>
      <w:r w:rsidR="00B014B4" w:rsidRPr="000D6C42">
        <w:rPr>
          <w:i/>
          <w:iCs/>
          <w:color w:val="auto"/>
          <w:szCs w:val="18"/>
          <w:lang w:val="en-CA"/>
        </w:rPr>
        <w:t>Munyaneza</w:t>
      </w:r>
      <w:proofErr w:type="spellEnd"/>
      <w:r w:rsidR="002F16EA" w:rsidRPr="000D6C42">
        <w:rPr>
          <w:color w:val="auto"/>
          <w:szCs w:val="18"/>
          <w:lang w:val="en-CA"/>
        </w:rPr>
        <w:t>,</w:t>
      </w:r>
      <w:r w:rsidR="00B014B4" w:rsidRPr="000D6C42">
        <w:rPr>
          <w:color w:val="auto"/>
          <w:szCs w:val="18"/>
          <w:lang w:val="en-CA"/>
        </w:rPr>
        <w:t xml:space="preserve"> addressed sexual</w:t>
      </w:r>
      <w:r w:rsidRPr="000D6C42">
        <w:rPr>
          <w:color w:val="auto"/>
          <w:szCs w:val="18"/>
          <w:lang w:val="en-CA"/>
        </w:rPr>
        <w:t xml:space="preserve"> violence</w:t>
      </w:r>
      <w:r w:rsidR="00B014B4" w:rsidRPr="000D6C42">
        <w:rPr>
          <w:color w:val="auto"/>
          <w:szCs w:val="18"/>
          <w:lang w:val="en-CA"/>
        </w:rPr>
        <w:t xml:space="preserve"> as a</w:t>
      </w:r>
      <w:r w:rsidR="00813569" w:rsidRPr="000D6C42">
        <w:rPr>
          <w:color w:val="auto"/>
          <w:szCs w:val="18"/>
          <w:lang w:val="en-CA"/>
        </w:rPr>
        <w:t xml:space="preserve"> </w:t>
      </w:r>
      <w:r w:rsidR="00B014B4" w:rsidRPr="000D6C42">
        <w:rPr>
          <w:color w:val="auto"/>
          <w:szCs w:val="18"/>
          <w:lang w:val="en-CA"/>
        </w:rPr>
        <w:t xml:space="preserve">crime </w:t>
      </w:r>
      <w:r w:rsidR="00813569" w:rsidRPr="000D6C42">
        <w:rPr>
          <w:color w:val="auto"/>
          <w:szCs w:val="18"/>
          <w:lang w:val="en-CA"/>
        </w:rPr>
        <w:t>u</w:t>
      </w:r>
      <w:r w:rsidR="000D6C42">
        <w:rPr>
          <w:color w:val="auto"/>
          <w:szCs w:val="18"/>
          <w:lang w:val="en-CA"/>
        </w:rPr>
        <w:t>n</w:t>
      </w:r>
      <w:r w:rsidR="00813569" w:rsidRPr="000D6C42">
        <w:rPr>
          <w:color w:val="auto"/>
          <w:szCs w:val="18"/>
          <w:lang w:val="en-CA"/>
        </w:rPr>
        <w:t xml:space="preserve">der international law </w:t>
      </w:r>
      <w:r w:rsidR="00B014B4" w:rsidRPr="000D6C42">
        <w:rPr>
          <w:color w:val="auto"/>
          <w:szCs w:val="18"/>
          <w:lang w:val="en-CA"/>
        </w:rPr>
        <w:t>for the first time</w:t>
      </w:r>
      <w:r w:rsidRPr="000D6C42">
        <w:rPr>
          <w:color w:val="auto"/>
          <w:szCs w:val="18"/>
          <w:lang w:val="en-CA"/>
        </w:rPr>
        <w:t>.</w:t>
      </w:r>
      <w:r w:rsidRPr="000D6C42">
        <w:rPr>
          <w:color w:val="auto"/>
          <w:szCs w:val="18"/>
          <w:vertAlign w:val="superscript"/>
          <w:lang w:val="en-CA"/>
        </w:rPr>
        <w:footnoteReference w:id="232"/>
      </w:r>
      <w:r w:rsidRPr="000D6C42">
        <w:rPr>
          <w:color w:val="auto"/>
          <w:szCs w:val="18"/>
          <w:vertAlign w:val="superscript"/>
          <w:lang w:val="en-CA"/>
        </w:rPr>
        <w:t xml:space="preserve"> </w:t>
      </w:r>
      <w:r w:rsidRPr="000D6C42">
        <w:rPr>
          <w:color w:val="auto"/>
          <w:szCs w:val="18"/>
          <w:lang w:val="en-CA"/>
        </w:rPr>
        <w:t xml:space="preserve">In </w:t>
      </w:r>
      <w:proofErr w:type="spellStart"/>
      <w:r w:rsidR="002F16EA" w:rsidRPr="000D6C42">
        <w:rPr>
          <w:i/>
          <w:iCs/>
          <w:color w:val="auto"/>
          <w:szCs w:val="18"/>
          <w:lang w:val="en-CA"/>
        </w:rPr>
        <w:t>Munyaneza</w:t>
      </w:r>
      <w:proofErr w:type="spellEnd"/>
      <w:r w:rsidRPr="000D6C42">
        <w:rPr>
          <w:color w:val="auto"/>
          <w:szCs w:val="18"/>
          <w:lang w:val="en-CA"/>
        </w:rPr>
        <w:t xml:space="preserve">, Justice Denis considered that international jurisprudence did not differ from Canadian </w:t>
      </w:r>
      <w:r w:rsidR="002F16EA" w:rsidRPr="000D6C42">
        <w:rPr>
          <w:color w:val="auto"/>
          <w:szCs w:val="18"/>
          <w:lang w:val="en-CA"/>
        </w:rPr>
        <w:t>jurisprudence on enumerated sexual acts that amount to sexual violence. Justice Denis decided that acts of sexual violence include: “</w:t>
      </w:r>
      <w:r w:rsidRPr="000D6C42">
        <w:rPr>
          <w:color w:val="auto"/>
          <w:szCs w:val="18"/>
          <w:lang w:val="en-CA"/>
        </w:rPr>
        <w:t>(a) forcing a person to undress in public; (b) sexual penetration; (c) rape; (d) sexual molestation”.</w:t>
      </w:r>
      <w:r w:rsidRPr="000D6C42">
        <w:rPr>
          <w:color w:val="auto"/>
          <w:szCs w:val="18"/>
          <w:vertAlign w:val="superscript"/>
          <w:lang w:val="en-CA"/>
        </w:rPr>
        <w:footnoteReference w:id="233"/>
      </w:r>
      <w:r w:rsidR="00CD7AC3" w:rsidRPr="000D6C42">
        <w:rPr>
          <w:color w:val="auto"/>
          <w:szCs w:val="18"/>
          <w:vertAlign w:val="superscript"/>
          <w:lang w:val="en-CA"/>
        </w:rPr>
        <w:t xml:space="preserve"> </w:t>
      </w:r>
      <w:r w:rsidR="00CD7AC3" w:rsidRPr="000D6C42">
        <w:rPr>
          <w:color w:val="auto"/>
          <w:szCs w:val="18"/>
          <w:lang w:val="en-CA"/>
        </w:rPr>
        <w:t xml:space="preserve">On appeal, </w:t>
      </w:r>
      <w:r w:rsidR="00DC3E75" w:rsidRPr="000D6C42">
        <w:rPr>
          <w:color w:val="auto"/>
          <w:szCs w:val="18"/>
          <w:lang w:val="en-CA"/>
        </w:rPr>
        <w:t xml:space="preserve">the </w:t>
      </w:r>
      <w:r w:rsidR="00BE18EF" w:rsidRPr="000D6C42">
        <w:rPr>
          <w:color w:val="auto"/>
          <w:szCs w:val="18"/>
          <w:lang w:val="en-CA"/>
        </w:rPr>
        <w:t>C</w:t>
      </w:r>
      <w:r w:rsidR="00DC3E75" w:rsidRPr="000D6C42">
        <w:rPr>
          <w:color w:val="auto"/>
          <w:szCs w:val="18"/>
          <w:lang w:val="en-CA"/>
        </w:rPr>
        <w:t>ourt specified</w:t>
      </w:r>
      <w:r w:rsidR="00843C8A" w:rsidRPr="000D6C42">
        <w:rPr>
          <w:color w:val="auto"/>
          <w:szCs w:val="18"/>
          <w:lang w:val="en-CA"/>
        </w:rPr>
        <w:t xml:space="preserve"> that t</w:t>
      </w:r>
      <w:r w:rsidR="00CD7AC3" w:rsidRPr="000D6C42">
        <w:rPr>
          <w:color w:val="auto"/>
          <w:szCs w:val="18"/>
          <w:lang w:val="en-CA"/>
        </w:rPr>
        <w:t xml:space="preserve">he </w:t>
      </w:r>
      <w:proofErr w:type="spellStart"/>
      <w:r w:rsidR="00843C8A" w:rsidRPr="000D6C42">
        <w:rPr>
          <w:i/>
          <w:iCs/>
          <w:color w:val="auto"/>
          <w:szCs w:val="18"/>
          <w:lang w:val="en-CA"/>
        </w:rPr>
        <w:t>mens</w:t>
      </w:r>
      <w:proofErr w:type="spellEnd"/>
      <w:r w:rsidR="00843C8A" w:rsidRPr="000D6C42">
        <w:rPr>
          <w:i/>
          <w:iCs/>
          <w:color w:val="auto"/>
          <w:szCs w:val="18"/>
          <w:lang w:val="en-CA"/>
        </w:rPr>
        <w:t xml:space="preserve"> rea</w:t>
      </w:r>
      <w:r w:rsidR="00843C8A" w:rsidRPr="000D6C42">
        <w:rPr>
          <w:color w:val="auto"/>
          <w:szCs w:val="18"/>
          <w:lang w:val="en-CA"/>
        </w:rPr>
        <w:t xml:space="preserve"> </w:t>
      </w:r>
      <w:r w:rsidR="00CD7AC3" w:rsidRPr="000D6C42">
        <w:rPr>
          <w:color w:val="auto"/>
          <w:szCs w:val="18"/>
          <w:lang w:val="en-CA"/>
        </w:rPr>
        <w:t xml:space="preserve">of rape as an underlying offence to crimes against humanity "is the intention to effect the prohibited sexual penetration with the knowledge that it occurs without the consent of the victim" </w:t>
      </w:r>
      <w:r w:rsidR="00843C8A" w:rsidRPr="000D6C42">
        <w:rPr>
          <w:color w:val="auto"/>
          <w:szCs w:val="18"/>
          <w:lang w:val="en-CA"/>
        </w:rPr>
        <w:t>and that this k</w:t>
      </w:r>
      <w:r w:rsidR="00CD7AC3" w:rsidRPr="000D6C42">
        <w:rPr>
          <w:color w:val="auto"/>
          <w:szCs w:val="18"/>
          <w:lang w:val="en-CA"/>
        </w:rPr>
        <w:t>nowledge of non</w:t>
      </w:r>
      <w:r w:rsidR="00527275" w:rsidRPr="000D6C42">
        <w:rPr>
          <w:color w:val="auto"/>
          <w:szCs w:val="18"/>
          <w:lang w:val="en-CA"/>
        </w:rPr>
        <w:t>-</w:t>
      </w:r>
      <w:r w:rsidR="00CD7AC3" w:rsidRPr="000D6C42">
        <w:rPr>
          <w:color w:val="auto"/>
          <w:szCs w:val="18"/>
          <w:lang w:val="en-CA"/>
        </w:rPr>
        <w:t xml:space="preserve">consent </w:t>
      </w:r>
      <w:r w:rsidR="00843C8A" w:rsidRPr="000D6C42">
        <w:rPr>
          <w:color w:val="auto"/>
          <w:szCs w:val="18"/>
          <w:lang w:val="en-CA"/>
        </w:rPr>
        <w:t>“</w:t>
      </w:r>
      <w:r w:rsidR="00CD7AC3" w:rsidRPr="000D6C42">
        <w:rPr>
          <w:color w:val="auto"/>
          <w:szCs w:val="18"/>
          <w:lang w:val="en-CA"/>
        </w:rPr>
        <w:t>may be proven, for instance, if the Prosecution establishes beyond reasonable doubt that the accused was aware, or had reason to be aware, of the coercive circumstances that undermined the possibility of genuine consent</w:t>
      </w:r>
      <w:r w:rsidR="00843C8A" w:rsidRPr="000D6C42">
        <w:rPr>
          <w:color w:val="auto"/>
          <w:szCs w:val="18"/>
          <w:lang w:val="en-CA"/>
        </w:rPr>
        <w:t>”</w:t>
      </w:r>
      <w:r w:rsidR="00CD7AC3" w:rsidRPr="000D6C42">
        <w:rPr>
          <w:color w:val="auto"/>
          <w:szCs w:val="18"/>
          <w:lang w:val="en-CA"/>
        </w:rPr>
        <w:t>.</w:t>
      </w:r>
      <w:r w:rsidR="00843C8A" w:rsidRPr="000D6C42">
        <w:rPr>
          <w:vertAlign w:val="superscript"/>
        </w:rPr>
        <w:footnoteReference w:id="234"/>
      </w:r>
      <w:r w:rsidR="00CD7AC3" w:rsidRPr="000D6C42">
        <w:rPr>
          <w:color w:val="auto"/>
          <w:szCs w:val="18"/>
          <w:vertAlign w:val="superscript"/>
          <w:lang w:val="en-CA"/>
        </w:rPr>
        <w:t xml:space="preserve"> </w:t>
      </w:r>
    </w:p>
    <w:p w14:paraId="245FA100" w14:textId="69703FC1" w:rsidR="00E81DA6" w:rsidRPr="00AA6144" w:rsidRDefault="00E81DA6" w:rsidP="000D6C42">
      <w:pPr>
        <w:pStyle w:val="BodyText"/>
        <w:spacing w:after="246"/>
        <w:rPr>
          <w:bCs/>
          <w:color w:val="auto"/>
          <w:szCs w:val="18"/>
          <w:lang w:val="en-CA"/>
        </w:rPr>
      </w:pPr>
      <w:r w:rsidRPr="00AA6144">
        <w:rPr>
          <w:bCs/>
          <w:color w:val="auto"/>
          <w:szCs w:val="18"/>
          <w:lang w:val="en-CA"/>
        </w:rPr>
        <w:t xml:space="preserve"> </w:t>
      </w:r>
      <w:r w:rsidR="00073781" w:rsidRPr="00AA6144">
        <w:rPr>
          <w:bCs/>
          <w:color w:val="auto"/>
          <w:szCs w:val="18"/>
          <w:lang w:val="en-CA"/>
        </w:rPr>
        <w:t xml:space="preserve">Canadian legal scholar Fannie LaFontaine argues that </w:t>
      </w:r>
      <w:r w:rsidR="00E6225D" w:rsidRPr="00AA6144">
        <w:rPr>
          <w:bCs/>
          <w:color w:val="auto"/>
          <w:szCs w:val="18"/>
          <w:lang w:val="en-CA"/>
        </w:rPr>
        <w:t xml:space="preserve">in analyzing jurisprudence, one needs to consider the </w:t>
      </w:r>
      <w:proofErr w:type="gramStart"/>
      <w:r w:rsidR="00E6225D" w:rsidRPr="00AA6144">
        <w:rPr>
          <w:bCs/>
          <w:color w:val="auto"/>
          <w:szCs w:val="18"/>
          <w:lang w:val="en-CA"/>
        </w:rPr>
        <w:t>particular nuances</w:t>
      </w:r>
      <w:proofErr w:type="gramEnd"/>
      <w:r w:rsidR="00E6225D" w:rsidRPr="00AA6144">
        <w:rPr>
          <w:bCs/>
          <w:color w:val="auto"/>
          <w:szCs w:val="18"/>
          <w:lang w:val="en-CA"/>
        </w:rPr>
        <w:t xml:space="preserve"> of </w:t>
      </w:r>
      <w:r w:rsidR="00073781" w:rsidRPr="00AA6144">
        <w:rPr>
          <w:bCs/>
          <w:color w:val="auto"/>
          <w:szCs w:val="18"/>
          <w:lang w:val="en-CA"/>
        </w:rPr>
        <w:t xml:space="preserve">crimes of sexual violence and </w:t>
      </w:r>
      <w:r w:rsidR="0068559A" w:rsidRPr="00AA6144">
        <w:rPr>
          <w:bCs/>
          <w:color w:val="auto"/>
          <w:szCs w:val="18"/>
          <w:lang w:val="en-CA"/>
        </w:rPr>
        <w:t>the</w:t>
      </w:r>
      <w:r w:rsidR="00C42CE2" w:rsidRPr="00AA6144">
        <w:rPr>
          <w:bCs/>
          <w:color w:val="auto"/>
          <w:szCs w:val="18"/>
          <w:lang w:val="en-CA"/>
        </w:rPr>
        <w:t xml:space="preserve"> </w:t>
      </w:r>
      <w:r w:rsidR="00E6225D" w:rsidRPr="00AA6144">
        <w:rPr>
          <w:bCs/>
          <w:color w:val="auto"/>
          <w:szCs w:val="18"/>
          <w:lang w:val="en-CA"/>
        </w:rPr>
        <w:t>particular</w:t>
      </w:r>
      <w:r w:rsidR="00073781" w:rsidRPr="00AA6144">
        <w:rPr>
          <w:bCs/>
          <w:color w:val="auto"/>
          <w:szCs w:val="18"/>
          <w:lang w:val="en-CA"/>
        </w:rPr>
        <w:t xml:space="preserve"> issues</w:t>
      </w:r>
      <w:r w:rsidR="00E6225D" w:rsidRPr="00AA6144">
        <w:rPr>
          <w:bCs/>
          <w:color w:val="auto"/>
          <w:szCs w:val="18"/>
          <w:lang w:val="en-CA"/>
        </w:rPr>
        <w:t xml:space="preserve"> that arise in </w:t>
      </w:r>
      <w:r w:rsidR="00D97DA3" w:rsidRPr="00AA6144">
        <w:rPr>
          <w:bCs/>
          <w:color w:val="auto"/>
          <w:szCs w:val="18"/>
          <w:lang w:val="en-CA"/>
        </w:rPr>
        <w:t>that</w:t>
      </w:r>
      <w:r w:rsidR="00E6225D" w:rsidRPr="00AA6144">
        <w:rPr>
          <w:bCs/>
          <w:color w:val="auto"/>
          <w:szCs w:val="18"/>
          <w:lang w:val="en-CA"/>
        </w:rPr>
        <w:t xml:space="preserve"> context.</w:t>
      </w:r>
      <w:r w:rsidR="00073781" w:rsidRPr="00AA6144">
        <w:rPr>
          <w:bCs/>
          <w:color w:val="auto"/>
          <w:szCs w:val="18"/>
          <w:lang w:val="en-CA"/>
        </w:rPr>
        <w:t xml:space="preserve"> </w:t>
      </w:r>
      <w:r w:rsidRPr="00AA6144">
        <w:rPr>
          <w:bCs/>
          <w:color w:val="auto"/>
          <w:szCs w:val="18"/>
          <w:lang w:val="en-CA"/>
        </w:rPr>
        <w:t xml:space="preserve">Indeed, “the crimes’ definitions in the </w:t>
      </w:r>
      <w:r w:rsidRPr="00AA6144">
        <w:rPr>
          <w:bCs/>
          <w:i/>
          <w:color w:val="auto"/>
          <w:szCs w:val="18"/>
          <w:lang w:val="en-CA"/>
        </w:rPr>
        <w:t xml:space="preserve">Act </w:t>
      </w:r>
      <w:r w:rsidRPr="00AA6144">
        <w:rPr>
          <w:bCs/>
          <w:color w:val="auto"/>
          <w:szCs w:val="18"/>
          <w:lang w:val="en-CA"/>
        </w:rPr>
        <w:t xml:space="preserve">refer to customary international law which, in the case of rape and sexual violence, is likely different […] than the standards as it was elaborated in </w:t>
      </w:r>
      <w:proofErr w:type="spellStart"/>
      <w:r w:rsidRPr="00AA6144">
        <w:rPr>
          <w:bCs/>
          <w:i/>
          <w:color w:val="auto"/>
          <w:szCs w:val="18"/>
          <w:lang w:val="en-CA"/>
        </w:rPr>
        <w:t>Akayesu</w:t>
      </w:r>
      <w:proofErr w:type="spellEnd"/>
      <w:r w:rsidRPr="00AA6144">
        <w:rPr>
          <w:bCs/>
          <w:color w:val="auto"/>
          <w:szCs w:val="18"/>
          <w:lang w:val="en-CA"/>
        </w:rPr>
        <w:t>”</w:t>
      </w:r>
      <w:r w:rsidRPr="00AA6144">
        <w:rPr>
          <w:bCs/>
          <w:color w:val="auto"/>
          <w:szCs w:val="18"/>
          <w:vertAlign w:val="superscript"/>
          <w:lang w:val="en-CA"/>
        </w:rPr>
        <w:footnoteReference w:id="235"/>
      </w:r>
      <w:r w:rsidRPr="00AA6144">
        <w:rPr>
          <w:bCs/>
          <w:color w:val="auto"/>
          <w:szCs w:val="18"/>
          <w:lang w:val="en-CA"/>
        </w:rPr>
        <w:t>, a reference in</w:t>
      </w:r>
      <w:r w:rsidRPr="00AA6144">
        <w:rPr>
          <w:bCs/>
          <w:i/>
          <w:color w:val="auto"/>
          <w:szCs w:val="18"/>
          <w:lang w:val="en-CA"/>
        </w:rPr>
        <w:t xml:space="preserve"> </w:t>
      </w:r>
      <w:proofErr w:type="spellStart"/>
      <w:r w:rsidRPr="00AA6144">
        <w:rPr>
          <w:bCs/>
          <w:i/>
          <w:color w:val="auto"/>
          <w:szCs w:val="18"/>
          <w:lang w:val="en-CA"/>
        </w:rPr>
        <w:t>Munyaneza</w:t>
      </w:r>
      <w:proofErr w:type="spellEnd"/>
      <w:r w:rsidRPr="00AA6144">
        <w:rPr>
          <w:bCs/>
          <w:i/>
          <w:color w:val="auto"/>
          <w:szCs w:val="18"/>
          <w:lang w:val="en-CA"/>
        </w:rPr>
        <w:t xml:space="preserve"> </w:t>
      </w:r>
      <w:r w:rsidRPr="00AA6144">
        <w:rPr>
          <w:bCs/>
          <w:color w:val="auto"/>
          <w:szCs w:val="18"/>
          <w:lang w:val="en-CA"/>
        </w:rPr>
        <w:t xml:space="preserve">in the judge’s analysis. Moreover, “the </w:t>
      </w:r>
      <w:r w:rsidRPr="00AA6144">
        <w:rPr>
          <w:bCs/>
          <w:i/>
          <w:color w:val="auto"/>
          <w:szCs w:val="18"/>
          <w:lang w:val="en-CA"/>
        </w:rPr>
        <w:t xml:space="preserve">actus </w:t>
      </w:r>
      <w:proofErr w:type="spellStart"/>
      <w:r w:rsidRPr="00AA6144">
        <w:rPr>
          <w:bCs/>
          <w:i/>
          <w:color w:val="auto"/>
          <w:szCs w:val="18"/>
          <w:lang w:val="en-CA"/>
        </w:rPr>
        <w:t>reus</w:t>
      </w:r>
      <w:proofErr w:type="spellEnd"/>
      <w:r w:rsidRPr="00AA6144">
        <w:rPr>
          <w:bCs/>
          <w:i/>
          <w:color w:val="auto"/>
          <w:szCs w:val="18"/>
          <w:lang w:val="en-CA"/>
        </w:rPr>
        <w:t xml:space="preserve"> </w:t>
      </w:r>
      <w:r w:rsidRPr="00AA6144">
        <w:rPr>
          <w:bCs/>
          <w:color w:val="auto"/>
          <w:szCs w:val="18"/>
          <w:lang w:val="en-CA"/>
        </w:rPr>
        <w:t>of sexual violence</w:t>
      </w:r>
      <w:r w:rsidRPr="00AA6144">
        <w:rPr>
          <w:bCs/>
          <w:i/>
          <w:color w:val="auto"/>
          <w:szCs w:val="18"/>
          <w:lang w:val="en-CA"/>
        </w:rPr>
        <w:t xml:space="preserve"> </w:t>
      </w:r>
      <w:r w:rsidRPr="00AA6144">
        <w:rPr>
          <w:bCs/>
          <w:color w:val="auto"/>
          <w:szCs w:val="18"/>
          <w:lang w:val="en-CA"/>
        </w:rPr>
        <w:t xml:space="preserve">on consent rather than on force or coercion” is different from “the standard expressed in </w:t>
      </w:r>
      <w:proofErr w:type="spellStart"/>
      <w:r w:rsidRPr="00AA6144">
        <w:rPr>
          <w:bCs/>
          <w:i/>
          <w:color w:val="auto"/>
          <w:szCs w:val="18"/>
          <w:lang w:val="en-CA"/>
        </w:rPr>
        <w:t>Akayesu</w:t>
      </w:r>
      <w:proofErr w:type="spellEnd"/>
      <w:r w:rsidRPr="00AA6144">
        <w:rPr>
          <w:bCs/>
          <w:color w:val="auto"/>
          <w:szCs w:val="18"/>
          <w:lang w:val="en-CA"/>
        </w:rPr>
        <w:t xml:space="preserve"> referred to by [the judge]”.</w:t>
      </w:r>
      <w:r w:rsidRPr="00AA6144">
        <w:rPr>
          <w:bCs/>
          <w:color w:val="auto"/>
          <w:szCs w:val="18"/>
          <w:vertAlign w:val="superscript"/>
          <w:lang w:val="en-CA"/>
        </w:rPr>
        <w:footnoteReference w:id="236"/>
      </w:r>
      <w:r w:rsidRPr="00AA6144">
        <w:rPr>
          <w:bCs/>
          <w:color w:val="auto"/>
          <w:szCs w:val="18"/>
          <w:lang w:val="en-CA"/>
        </w:rPr>
        <w:t xml:space="preserve"> Finally, the author mentions that in this case, the judge has considered “the </w:t>
      </w:r>
      <w:r w:rsidR="005C5FF0" w:rsidRPr="00AA6144">
        <w:rPr>
          <w:bCs/>
          <w:i/>
          <w:color w:val="auto"/>
          <w:szCs w:val="18"/>
          <w:lang w:val="en-CA"/>
        </w:rPr>
        <w:t>Rome Statute</w:t>
      </w:r>
      <w:r w:rsidRPr="00AA6144">
        <w:rPr>
          <w:bCs/>
          <w:color w:val="auto"/>
          <w:szCs w:val="18"/>
          <w:lang w:val="en-CA"/>
        </w:rPr>
        <w:t xml:space="preserve"> as constitutive of customary law”; however, “the ICC </w:t>
      </w:r>
      <w:r w:rsidRPr="00AA6144">
        <w:rPr>
          <w:bCs/>
          <w:i/>
          <w:color w:val="auto"/>
          <w:szCs w:val="18"/>
          <w:lang w:val="en-CA"/>
        </w:rPr>
        <w:t>Elements of Crimes</w:t>
      </w:r>
      <w:r w:rsidRPr="00AA6144">
        <w:rPr>
          <w:bCs/>
          <w:color w:val="auto"/>
          <w:szCs w:val="18"/>
          <w:lang w:val="en-CA"/>
        </w:rPr>
        <w:t xml:space="preserve"> likely differ from customary international law by not including lack of consent as a material element of the crime of rape (and other acts of sexual violence.</w:t>
      </w:r>
      <w:r w:rsidR="00DF5249" w:rsidRPr="00AA6144">
        <w:rPr>
          <w:bCs/>
          <w:color w:val="auto"/>
          <w:szCs w:val="18"/>
          <w:lang w:val="en-CA"/>
        </w:rPr>
        <w:t>)</w:t>
      </w:r>
      <w:r w:rsidR="000C265C" w:rsidRPr="00AA6144">
        <w:rPr>
          <w:bCs/>
          <w:color w:val="auto"/>
          <w:szCs w:val="18"/>
          <w:lang w:val="en-CA"/>
        </w:rPr>
        <w:t>”</w:t>
      </w:r>
      <w:r w:rsidRPr="00AA6144">
        <w:rPr>
          <w:bCs/>
          <w:color w:val="auto"/>
          <w:szCs w:val="18"/>
          <w:vertAlign w:val="superscript"/>
          <w:lang w:val="en-CA"/>
        </w:rPr>
        <w:footnoteReference w:id="237"/>
      </w:r>
    </w:p>
    <w:p w14:paraId="03B03653" w14:textId="6E4533D4" w:rsidR="00800562" w:rsidRPr="00AA6144" w:rsidRDefault="00AA32DD" w:rsidP="00800562">
      <w:pPr>
        <w:pStyle w:val="BodyText"/>
        <w:rPr>
          <w:color w:val="auto"/>
          <w:szCs w:val="18"/>
          <w:lang w:val="en-CA"/>
        </w:rPr>
      </w:pPr>
      <w:r w:rsidRPr="00AA6144">
        <w:rPr>
          <w:bCs/>
          <w:color w:val="auto"/>
          <w:szCs w:val="18"/>
          <w:lang w:val="en-CA"/>
        </w:rPr>
        <w:t xml:space="preserve">At times, the </w:t>
      </w:r>
      <w:r w:rsidRPr="00AA6144">
        <w:rPr>
          <w:bCs/>
          <w:i/>
          <w:iCs/>
          <w:color w:val="auto"/>
          <w:szCs w:val="18"/>
          <w:lang w:val="en-CA"/>
        </w:rPr>
        <w:t>Crimes Against Humanity and War Crimes Act (</w:t>
      </w:r>
      <w:r w:rsidRPr="00AA6144">
        <w:rPr>
          <w:bCs/>
          <w:iCs/>
          <w:color w:val="auto"/>
          <w:szCs w:val="18"/>
          <w:lang w:val="en-CA"/>
        </w:rPr>
        <w:t>CAHWCA)</w:t>
      </w:r>
      <w:r w:rsidRPr="00AA6144">
        <w:rPr>
          <w:bCs/>
          <w:i/>
          <w:iCs/>
          <w:color w:val="auto"/>
          <w:szCs w:val="18"/>
          <w:lang w:val="en-CA"/>
        </w:rPr>
        <w:t xml:space="preserve"> </w:t>
      </w:r>
      <w:r w:rsidRPr="00AA6144">
        <w:rPr>
          <w:bCs/>
          <w:iCs/>
          <w:color w:val="auto"/>
          <w:szCs w:val="18"/>
          <w:lang w:val="en-CA"/>
        </w:rPr>
        <w:t xml:space="preserve">goes beyond the Rome Statute to extend liability more broadly. For example, the CAHWCA expands the circle of victims of genocide to include “an identifiable group of persons” and circle of victims of a crime against humanity to include “any identifiable group”. </w:t>
      </w:r>
      <w:r w:rsidR="00843C8A" w:rsidRPr="00AA6144">
        <w:rPr>
          <w:bCs/>
          <w:iCs/>
          <w:color w:val="auto"/>
          <w:szCs w:val="18"/>
          <w:lang w:val="en-CA"/>
        </w:rPr>
        <w:t>T</w:t>
      </w:r>
      <w:r w:rsidRPr="00AA6144">
        <w:rPr>
          <w:bCs/>
          <w:iCs/>
          <w:color w:val="auto"/>
          <w:szCs w:val="18"/>
          <w:lang w:val="en-CA"/>
        </w:rPr>
        <w:t xml:space="preserve">he CAHWHA goes </w:t>
      </w:r>
      <w:r w:rsidR="00843C8A" w:rsidRPr="00AA6144">
        <w:rPr>
          <w:bCs/>
          <w:iCs/>
          <w:color w:val="auto"/>
          <w:szCs w:val="18"/>
          <w:lang w:val="en-CA"/>
        </w:rPr>
        <w:t xml:space="preserve">further </w:t>
      </w:r>
      <w:r w:rsidRPr="00AA6144">
        <w:rPr>
          <w:bCs/>
          <w:iCs/>
          <w:color w:val="auto"/>
          <w:szCs w:val="18"/>
          <w:lang w:val="en-CA"/>
        </w:rPr>
        <w:t xml:space="preserve">beyond the Rome Statute to extend the definition of war crimes to include those defined in customary international law or conventional international law. The CAHWCA also narrows the scope of some international defences and criminalized forms of extended liability relating to the offences of war crimes, crimes against humanity, and genocide not found in the Rome Statute, such as conspiracy, while making command and superior responsibility a criminal offence instead of a mode of liability. </w:t>
      </w:r>
    </w:p>
    <w:p w14:paraId="1421DC06" w14:textId="77777777" w:rsidR="00843C8A" w:rsidRPr="00AA6144" w:rsidRDefault="00843C8A" w:rsidP="00800562">
      <w:pPr>
        <w:pStyle w:val="BodyText"/>
        <w:rPr>
          <w:color w:val="auto"/>
          <w:szCs w:val="18"/>
          <w:lang w:val="en-CA"/>
        </w:rPr>
      </w:pPr>
    </w:p>
    <w:p w14:paraId="1A20BFE8" w14:textId="77777777" w:rsidR="00E57056" w:rsidRPr="00AA6144" w:rsidRDefault="00E57056" w:rsidP="00800562">
      <w:pPr>
        <w:pStyle w:val="Heading3"/>
        <w:numPr>
          <w:ilvl w:val="0"/>
          <w:numId w:val="0"/>
        </w:numPr>
        <w:rPr>
          <w:color w:val="auto"/>
          <w:lang w:val="en-CA"/>
        </w:rPr>
      </w:pPr>
      <w:bookmarkStart w:id="91" w:name="_Toc193798657"/>
      <w:bookmarkStart w:id="92" w:name="_Toc220954455"/>
      <w:bookmarkStart w:id="93" w:name="_Toc43382737"/>
      <w:r w:rsidRPr="00AA6144">
        <w:rPr>
          <w:color w:val="auto"/>
          <w:lang w:val="en-CA"/>
        </w:rPr>
        <w:t>4.3.3. Genocide</w:t>
      </w:r>
      <w:bookmarkEnd w:id="91"/>
      <w:bookmarkEnd w:id="92"/>
      <w:bookmarkEnd w:id="93"/>
    </w:p>
    <w:p w14:paraId="756EF222" w14:textId="77777777" w:rsidR="00437A3D" w:rsidRPr="00AA6144" w:rsidRDefault="00437A3D" w:rsidP="00437A3D">
      <w:pPr>
        <w:spacing w:after="0"/>
        <w:rPr>
          <w:lang w:val="en-CA"/>
        </w:rPr>
      </w:pPr>
    </w:p>
    <w:p w14:paraId="3C4BEDCD" w14:textId="77777777" w:rsidR="00E57056" w:rsidRPr="00AA6144" w:rsidRDefault="00E81DA6" w:rsidP="00794A85">
      <w:pPr>
        <w:rPr>
          <w:color w:val="auto"/>
          <w:szCs w:val="18"/>
          <w:lang w:val="en-CA"/>
        </w:rPr>
      </w:pPr>
      <w:r w:rsidRPr="00AA6144">
        <w:rPr>
          <w:color w:val="auto"/>
          <w:lang w:val="en-CA"/>
        </w:rPr>
        <w:t xml:space="preserve">Canada </w:t>
      </w:r>
      <w:r w:rsidR="00C63385" w:rsidRPr="00AA6144">
        <w:rPr>
          <w:color w:val="auto"/>
          <w:lang w:val="en-CA"/>
        </w:rPr>
        <w:t xml:space="preserve">has been </w:t>
      </w:r>
      <w:r w:rsidRPr="00AA6144">
        <w:rPr>
          <w:color w:val="auto"/>
          <w:lang w:val="en-CA"/>
        </w:rPr>
        <w:t xml:space="preserve">a party to the 1948 </w:t>
      </w:r>
      <w:r w:rsidRPr="00AA6144">
        <w:rPr>
          <w:i/>
          <w:color w:val="auto"/>
          <w:lang w:val="en-CA"/>
        </w:rPr>
        <w:t>Convention for the Prevention and Punishment of the Crime of Genocide</w:t>
      </w:r>
      <w:r w:rsidRPr="00AA6144">
        <w:rPr>
          <w:color w:val="auto"/>
          <w:lang w:val="en-CA"/>
        </w:rPr>
        <w:t xml:space="preserve"> (‘‘Genocide Convention’’) since September 3, 1952.</w:t>
      </w:r>
      <w:bookmarkStart w:id="94" w:name="_Ref266973019"/>
      <w:r w:rsidRPr="00AA6144">
        <w:rPr>
          <w:color w:val="auto"/>
          <w:vertAlign w:val="superscript"/>
          <w:lang w:val="en-CA"/>
        </w:rPr>
        <w:footnoteReference w:id="238"/>
      </w:r>
      <w:bookmarkEnd w:id="94"/>
      <w:r w:rsidRPr="00AA6144">
        <w:rPr>
          <w:color w:val="auto"/>
          <w:lang w:val="en-CA"/>
        </w:rPr>
        <w:t xml:space="preserve"> </w:t>
      </w:r>
      <w:r w:rsidR="001D0DAC" w:rsidRPr="00AA6144">
        <w:rPr>
          <w:color w:val="auto"/>
          <w:lang w:val="en-CA"/>
        </w:rPr>
        <w:t>The formulation of the crime of genocide in the Genocide Convention has passed into customary international law.</w:t>
      </w:r>
      <w:r w:rsidR="0089173A" w:rsidRPr="00AA6144">
        <w:rPr>
          <w:rStyle w:val="FootnoteReference"/>
          <w:color w:val="auto"/>
          <w:lang w:val="en-CA"/>
        </w:rPr>
        <w:footnoteReference w:id="239"/>
      </w:r>
      <w:r w:rsidR="001D0DAC" w:rsidRPr="00AA6144">
        <w:rPr>
          <w:color w:val="auto"/>
          <w:lang w:val="en-CA"/>
        </w:rPr>
        <w:t xml:space="preserve"> </w:t>
      </w:r>
      <w:r w:rsidR="00E57056" w:rsidRPr="00AA6144">
        <w:rPr>
          <w:color w:val="auto"/>
          <w:szCs w:val="18"/>
          <w:lang w:val="en-CA"/>
        </w:rPr>
        <w:t xml:space="preserve">Article </w:t>
      </w:r>
      <w:r w:rsidR="001D0DAC" w:rsidRPr="00AA6144">
        <w:rPr>
          <w:color w:val="auto"/>
          <w:szCs w:val="18"/>
          <w:lang w:val="en-CA"/>
        </w:rPr>
        <w:t>2</w:t>
      </w:r>
      <w:r w:rsidR="00E57056" w:rsidRPr="00AA6144">
        <w:rPr>
          <w:color w:val="auto"/>
          <w:szCs w:val="18"/>
          <w:lang w:val="en-CA"/>
        </w:rPr>
        <w:t xml:space="preserve"> of the Genocide Convention defines genocide as:</w:t>
      </w:r>
    </w:p>
    <w:p w14:paraId="47EE973B" w14:textId="77777777" w:rsidR="00E57056" w:rsidRPr="00AA6144" w:rsidRDefault="001D0DAC" w:rsidP="00E57056">
      <w:pPr>
        <w:ind w:left="1071"/>
        <w:rPr>
          <w:color w:val="auto"/>
          <w:szCs w:val="18"/>
          <w:lang w:val="en-CA"/>
        </w:rPr>
      </w:pPr>
      <w:r w:rsidRPr="00AA6144">
        <w:rPr>
          <w:color w:val="auto"/>
          <w:szCs w:val="18"/>
          <w:lang w:val="en-CA"/>
        </w:rPr>
        <w:t xml:space="preserve">[…] </w:t>
      </w:r>
      <w:r w:rsidR="00E57056" w:rsidRPr="00AA6144">
        <w:rPr>
          <w:color w:val="auto"/>
          <w:szCs w:val="18"/>
          <w:lang w:val="en-CA"/>
        </w:rPr>
        <w:t xml:space="preserve">any of the following acts committed with intent to destroy, in whole or in part, a national, ethnical, </w:t>
      </w:r>
      <w:proofErr w:type="gramStart"/>
      <w:r w:rsidR="00E57056" w:rsidRPr="00AA6144">
        <w:rPr>
          <w:color w:val="auto"/>
          <w:szCs w:val="18"/>
          <w:lang w:val="en-CA"/>
        </w:rPr>
        <w:t>racial</w:t>
      </w:r>
      <w:proofErr w:type="gramEnd"/>
      <w:r w:rsidR="00E57056" w:rsidRPr="00AA6144">
        <w:rPr>
          <w:color w:val="auto"/>
          <w:szCs w:val="18"/>
          <w:lang w:val="en-CA"/>
        </w:rPr>
        <w:t xml:space="preserve"> or religious group, as such: </w:t>
      </w:r>
    </w:p>
    <w:p w14:paraId="272C9065" w14:textId="77777777" w:rsidR="00E57056" w:rsidRPr="00AA6144" w:rsidRDefault="00E57056" w:rsidP="00E57056">
      <w:pPr>
        <w:ind w:left="1071"/>
        <w:rPr>
          <w:color w:val="auto"/>
          <w:szCs w:val="18"/>
          <w:lang w:val="en-CA"/>
        </w:rPr>
      </w:pPr>
      <w:bookmarkStart w:id="95" w:name="wp1037741"/>
      <w:bookmarkEnd w:id="95"/>
      <w:r w:rsidRPr="00AA6144">
        <w:rPr>
          <w:color w:val="auto"/>
          <w:szCs w:val="18"/>
          <w:lang w:val="en-CA"/>
        </w:rPr>
        <w:t xml:space="preserve">(a) Killing members of the </w:t>
      </w:r>
      <w:proofErr w:type="gramStart"/>
      <w:r w:rsidRPr="00AA6144">
        <w:rPr>
          <w:color w:val="auto"/>
          <w:szCs w:val="18"/>
          <w:lang w:val="en-CA"/>
        </w:rPr>
        <w:t>group;</w:t>
      </w:r>
      <w:proofErr w:type="gramEnd"/>
      <w:r w:rsidRPr="00AA6144">
        <w:rPr>
          <w:color w:val="auto"/>
          <w:szCs w:val="18"/>
          <w:lang w:val="en-CA"/>
        </w:rPr>
        <w:t xml:space="preserve"> </w:t>
      </w:r>
    </w:p>
    <w:p w14:paraId="73AC43FC" w14:textId="77777777" w:rsidR="00E57056" w:rsidRPr="00AA6144" w:rsidRDefault="00E57056" w:rsidP="00E57056">
      <w:pPr>
        <w:ind w:left="1071"/>
        <w:rPr>
          <w:color w:val="auto"/>
          <w:szCs w:val="18"/>
          <w:lang w:val="en-CA"/>
        </w:rPr>
      </w:pPr>
      <w:bookmarkStart w:id="96" w:name="wp1037742"/>
      <w:bookmarkEnd w:id="96"/>
      <w:r w:rsidRPr="00AA6144">
        <w:rPr>
          <w:color w:val="auto"/>
          <w:szCs w:val="18"/>
          <w:lang w:val="en-CA"/>
        </w:rPr>
        <w:t xml:space="preserve">(b) Causing serious bodily or mental harm to members of the </w:t>
      </w:r>
      <w:proofErr w:type="gramStart"/>
      <w:r w:rsidRPr="00AA6144">
        <w:rPr>
          <w:color w:val="auto"/>
          <w:szCs w:val="18"/>
          <w:lang w:val="en-CA"/>
        </w:rPr>
        <w:t>group;</w:t>
      </w:r>
      <w:proofErr w:type="gramEnd"/>
      <w:r w:rsidRPr="00AA6144">
        <w:rPr>
          <w:color w:val="auto"/>
          <w:szCs w:val="18"/>
          <w:lang w:val="en-CA"/>
        </w:rPr>
        <w:t xml:space="preserve"> </w:t>
      </w:r>
    </w:p>
    <w:p w14:paraId="32B91DD3" w14:textId="77777777" w:rsidR="00E57056" w:rsidRPr="00AA6144" w:rsidRDefault="00E57056" w:rsidP="00E57056">
      <w:pPr>
        <w:ind w:left="1071"/>
        <w:rPr>
          <w:color w:val="auto"/>
          <w:szCs w:val="18"/>
          <w:lang w:val="en-CA"/>
        </w:rPr>
      </w:pPr>
      <w:bookmarkStart w:id="97" w:name="wp1037743"/>
      <w:bookmarkEnd w:id="97"/>
      <w:r w:rsidRPr="00AA6144">
        <w:rPr>
          <w:color w:val="auto"/>
          <w:szCs w:val="18"/>
          <w:lang w:val="en-CA"/>
        </w:rPr>
        <w:t xml:space="preserve">(c) Deliberately inflicting on the group conditions of life calculated to bring about its physical destruction in whole or in </w:t>
      </w:r>
      <w:proofErr w:type="gramStart"/>
      <w:r w:rsidRPr="00AA6144">
        <w:rPr>
          <w:color w:val="auto"/>
          <w:szCs w:val="18"/>
          <w:lang w:val="en-CA"/>
        </w:rPr>
        <w:t>part;</w:t>
      </w:r>
      <w:proofErr w:type="gramEnd"/>
      <w:r w:rsidRPr="00AA6144">
        <w:rPr>
          <w:color w:val="auto"/>
          <w:szCs w:val="18"/>
          <w:lang w:val="en-CA"/>
        </w:rPr>
        <w:t xml:space="preserve"> </w:t>
      </w:r>
    </w:p>
    <w:p w14:paraId="02B9E420" w14:textId="77777777" w:rsidR="00E57056" w:rsidRPr="00AA6144" w:rsidRDefault="00E57056" w:rsidP="00E57056">
      <w:pPr>
        <w:ind w:left="1071"/>
        <w:rPr>
          <w:color w:val="auto"/>
          <w:szCs w:val="18"/>
          <w:lang w:val="en-CA"/>
        </w:rPr>
      </w:pPr>
      <w:bookmarkStart w:id="98" w:name="wp1037744"/>
      <w:bookmarkEnd w:id="98"/>
      <w:r w:rsidRPr="00AA6144">
        <w:rPr>
          <w:color w:val="auto"/>
          <w:szCs w:val="18"/>
          <w:lang w:val="en-CA"/>
        </w:rPr>
        <w:t xml:space="preserve">(d) Imposing measures intended to prevent births within the </w:t>
      </w:r>
      <w:proofErr w:type="gramStart"/>
      <w:r w:rsidRPr="00AA6144">
        <w:rPr>
          <w:color w:val="auto"/>
          <w:szCs w:val="18"/>
          <w:lang w:val="en-CA"/>
        </w:rPr>
        <w:t>group;</w:t>
      </w:r>
      <w:proofErr w:type="gramEnd"/>
      <w:r w:rsidRPr="00AA6144">
        <w:rPr>
          <w:color w:val="auto"/>
          <w:szCs w:val="18"/>
          <w:lang w:val="en-CA"/>
        </w:rPr>
        <w:t xml:space="preserve"> </w:t>
      </w:r>
    </w:p>
    <w:p w14:paraId="30714324" w14:textId="77777777" w:rsidR="00E57056" w:rsidRPr="00AA6144" w:rsidRDefault="00E57056" w:rsidP="00E57056">
      <w:pPr>
        <w:ind w:left="1071"/>
        <w:rPr>
          <w:color w:val="auto"/>
          <w:szCs w:val="18"/>
          <w:lang w:val="en-CA"/>
        </w:rPr>
      </w:pPr>
      <w:bookmarkStart w:id="99" w:name="wp1037745"/>
      <w:bookmarkEnd w:id="99"/>
      <w:r w:rsidRPr="00AA6144">
        <w:rPr>
          <w:color w:val="auto"/>
          <w:szCs w:val="18"/>
          <w:lang w:val="en-CA"/>
        </w:rPr>
        <w:t>(e) Forcibly transferring children of the group to another group.</w:t>
      </w:r>
      <w:r w:rsidR="001D0DAC" w:rsidRPr="00AA6144">
        <w:rPr>
          <w:rStyle w:val="FootnoteReference"/>
          <w:color w:val="auto"/>
          <w:szCs w:val="18"/>
          <w:lang w:val="en-CA"/>
        </w:rPr>
        <w:footnoteReference w:id="240"/>
      </w:r>
      <w:r w:rsidRPr="00AA6144">
        <w:rPr>
          <w:color w:val="auto"/>
          <w:szCs w:val="18"/>
          <w:lang w:val="en-CA"/>
        </w:rPr>
        <w:t xml:space="preserve"> </w:t>
      </w:r>
    </w:p>
    <w:p w14:paraId="042999AB" w14:textId="77777777" w:rsidR="00E57056" w:rsidRPr="00AA6144" w:rsidRDefault="00E57056" w:rsidP="00794A85">
      <w:pPr>
        <w:rPr>
          <w:color w:val="auto"/>
          <w:szCs w:val="18"/>
          <w:lang w:val="en-CA"/>
        </w:rPr>
      </w:pPr>
      <w:r w:rsidRPr="00AA6144">
        <w:rPr>
          <w:color w:val="auto"/>
          <w:szCs w:val="18"/>
          <w:lang w:val="en-CA"/>
        </w:rPr>
        <w:t xml:space="preserve">Article 6 of the </w:t>
      </w:r>
      <w:r w:rsidR="005C5FF0" w:rsidRPr="00AA6144">
        <w:rPr>
          <w:color w:val="auto"/>
          <w:szCs w:val="18"/>
          <w:lang w:val="en-CA"/>
        </w:rPr>
        <w:t>Rome Statute</w:t>
      </w:r>
      <w:r w:rsidRPr="00AA6144">
        <w:rPr>
          <w:color w:val="auto"/>
          <w:szCs w:val="18"/>
          <w:lang w:val="en-CA"/>
        </w:rPr>
        <w:t xml:space="preserve"> contains a virtually identical definition of </w:t>
      </w:r>
      <w:r w:rsidR="00C610C4" w:rsidRPr="00AA6144">
        <w:rPr>
          <w:color w:val="auto"/>
          <w:szCs w:val="18"/>
          <w:lang w:val="en-CA"/>
        </w:rPr>
        <w:t xml:space="preserve">the </w:t>
      </w:r>
      <w:r w:rsidRPr="00AA6144">
        <w:rPr>
          <w:color w:val="auto"/>
          <w:szCs w:val="18"/>
          <w:lang w:val="en-CA"/>
        </w:rPr>
        <w:t>crime</w:t>
      </w:r>
      <w:r w:rsidR="00C610C4" w:rsidRPr="00AA6144">
        <w:rPr>
          <w:color w:val="auto"/>
          <w:szCs w:val="18"/>
          <w:lang w:val="en-CA"/>
        </w:rPr>
        <w:t xml:space="preserve"> of genocide</w:t>
      </w:r>
      <w:r w:rsidRPr="00AA6144">
        <w:rPr>
          <w:color w:val="auto"/>
          <w:szCs w:val="18"/>
          <w:lang w:val="en-CA"/>
        </w:rPr>
        <w:t xml:space="preserve">. In addition, Article </w:t>
      </w:r>
      <w:r w:rsidR="00C63385" w:rsidRPr="00AA6144">
        <w:rPr>
          <w:color w:val="auto"/>
          <w:szCs w:val="18"/>
          <w:lang w:val="en-CA"/>
        </w:rPr>
        <w:t xml:space="preserve">3 </w:t>
      </w:r>
      <w:r w:rsidR="000925F9" w:rsidRPr="00AA6144">
        <w:rPr>
          <w:color w:val="auto"/>
          <w:szCs w:val="18"/>
          <w:lang w:val="en-CA"/>
        </w:rPr>
        <w:t xml:space="preserve">of the Genocide Convention </w:t>
      </w:r>
      <w:r w:rsidRPr="00AA6144">
        <w:rPr>
          <w:color w:val="auto"/>
          <w:szCs w:val="18"/>
          <w:lang w:val="en-CA"/>
        </w:rPr>
        <w:t xml:space="preserve">requires </w:t>
      </w:r>
      <w:r w:rsidR="00C63385" w:rsidRPr="00AA6144">
        <w:rPr>
          <w:color w:val="auto"/>
          <w:szCs w:val="18"/>
          <w:lang w:val="en-CA"/>
        </w:rPr>
        <w:t xml:space="preserve">that </w:t>
      </w:r>
      <w:r w:rsidRPr="00AA6144">
        <w:rPr>
          <w:color w:val="auto"/>
          <w:szCs w:val="18"/>
          <w:lang w:val="en-CA"/>
        </w:rPr>
        <w:t>states make genocide</w:t>
      </w:r>
      <w:r w:rsidR="00C63385" w:rsidRPr="00AA6144">
        <w:rPr>
          <w:color w:val="auto"/>
          <w:szCs w:val="18"/>
          <w:lang w:val="en-CA"/>
        </w:rPr>
        <w:t xml:space="preserve">, conspiracy to commit genocide, direct and public incitement to commit genocide, attempt to commit genocide, and complicity in genocide, </w:t>
      </w:r>
      <w:r w:rsidRPr="00AA6144">
        <w:rPr>
          <w:color w:val="auto"/>
          <w:szCs w:val="18"/>
          <w:lang w:val="en-CA"/>
        </w:rPr>
        <w:t>crimes under national law</w:t>
      </w:r>
      <w:r w:rsidR="00C63385" w:rsidRPr="00AA6144">
        <w:rPr>
          <w:color w:val="auto"/>
          <w:szCs w:val="18"/>
          <w:lang w:val="en-CA"/>
        </w:rPr>
        <w:t>.</w:t>
      </w:r>
      <w:r w:rsidR="00C63385" w:rsidRPr="00AA6144">
        <w:rPr>
          <w:rStyle w:val="FootnoteReference"/>
          <w:color w:val="auto"/>
          <w:szCs w:val="18"/>
          <w:lang w:val="en-CA"/>
        </w:rPr>
        <w:footnoteReference w:id="241"/>
      </w:r>
    </w:p>
    <w:p w14:paraId="4AF8FA94" w14:textId="77777777" w:rsidR="00E57056" w:rsidRPr="00AA6144" w:rsidRDefault="0051072C" w:rsidP="00E57056">
      <w:pPr>
        <w:pStyle w:val="AIBodyText"/>
        <w:rPr>
          <w:color w:val="auto"/>
          <w:szCs w:val="18"/>
          <w:lang w:val="en-CA"/>
        </w:rPr>
      </w:pPr>
      <w:bookmarkStart w:id="100" w:name="wp1037748"/>
      <w:bookmarkStart w:id="101" w:name="wp1037749"/>
      <w:bookmarkStart w:id="102" w:name="wp1037750"/>
      <w:bookmarkStart w:id="103" w:name="wp1037751"/>
      <w:bookmarkStart w:id="104" w:name="wp1037752"/>
      <w:bookmarkEnd w:id="100"/>
      <w:bookmarkEnd w:id="101"/>
      <w:bookmarkEnd w:id="102"/>
      <w:bookmarkEnd w:id="103"/>
      <w:bookmarkEnd w:id="104"/>
      <w:r w:rsidRPr="00AA6144">
        <w:rPr>
          <w:color w:val="auto"/>
          <w:szCs w:val="18"/>
          <w:lang w:val="en-CA"/>
        </w:rPr>
        <w:t>Direct and public incitement</w:t>
      </w:r>
      <w:r w:rsidR="00E57056" w:rsidRPr="00AA6144">
        <w:rPr>
          <w:color w:val="auto"/>
          <w:szCs w:val="18"/>
          <w:lang w:val="en-CA"/>
        </w:rPr>
        <w:t xml:space="preserve"> </w:t>
      </w:r>
      <w:r w:rsidRPr="00AA6144">
        <w:rPr>
          <w:color w:val="auto"/>
          <w:szCs w:val="18"/>
          <w:lang w:val="en-CA"/>
        </w:rPr>
        <w:t xml:space="preserve">to </w:t>
      </w:r>
      <w:r w:rsidR="00E57056" w:rsidRPr="00AA6144">
        <w:rPr>
          <w:color w:val="auto"/>
          <w:szCs w:val="18"/>
          <w:lang w:val="en-CA"/>
        </w:rPr>
        <w:t xml:space="preserve">genocide </w:t>
      </w:r>
      <w:r w:rsidRPr="00AA6144">
        <w:rPr>
          <w:color w:val="auto"/>
          <w:szCs w:val="18"/>
          <w:lang w:val="en-CA"/>
        </w:rPr>
        <w:t xml:space="preserve">is </w:t>
      </w:r>
      <w:r w:rsidR="00E57056" w:rsidRPr="00AA6144">
        <w:rPr>
          <w:color w:val="auto"/>
          <w:szCs w:val="18"/>
          <w:lang w:val="en-CA"/>
        </w:rPr>
        <w:t>also incorporated in Article 25 (</w:t>
      </w:r>
      <w:r w:rsidR="003447DB" w:rsidRPr="00AA6144">
        <w:rPr>
          <w:color w:val="auto"/>
          <w:szCs w:val="18"/>
          <w:lang w:val="en-CA"/>
        </w:rPr>
        <w:t>i</w:t>
      </w:r>
      <w:r w:rsidR="00E57056" w:rsidRPr="00AA6144">
        <w:rPr>
          <w:color w:val="auto"/>
          <w:szCs w:val="18"/>
          <w:lang w:val="en-CA"/>
        </w:rPr>
        <w:t xml:space="preserve">ndividual responsibility) of the </w:t>
      </w:r>
      <w:r w:rsidR="005C5FF0" w:rsidRPr="00AA6144">
        <w:rPr>
          <w:color w:val="auto"/>
          <w:szCs w:val="18"/>
          <w:lang w:val="en-CA"/>
        </w:rPr>
        <w:t>Rome Statute</w:t>
      </w:r>
      <w:r w:rsidR="00E57056" w:rsidRPr="00AA6144">
        <w:rPr>
          <w:color w:val="auto"/>
          <w:szCs w:val="18"/>
          <w:lang w:val="en-CA"/>
        </w:rPr>
        <w:t>.</w:t>
      </w:r>
    </w:p>
    <w:p w14:paraId="4CB1E837" w14:textId="5331C487" w:rsidR="00F56201" w:rsidRPr="00AA6144" w:rsidRDefault="00D50090" w:rsidP="00F56201">
      <w:pPr>
        <w:pStyle w:val="AIBodyText"/>
        <w:rPr>
          <w:strike/>
          <w:color w:val="auto"/>
          <w:szCs w:val="18"/>
          <w:lang w:val="en-CA"/>
        </w:rPr>
      </w:pPr>
      <w:r w:rsidRPr="00AA6144">
        <w:rPr>
          <w:color w:val="auto"/>
          <w:szCs w:val="18"/>
          <w:lang w:val="en-CA"/>
        </w:rPr>
        <w:t xml:space="preserve">Canada has defined the inchoate offence of advocating or promoting genocide as a crime in section 318 of the </w:t>
      </w:r>
      <w:r w:rsidRPr="00AA6144">
        <w:rPr>
          <w:i/>
          <w:color w:val="auto"/>
          <w:szCs w:val="18"/>
          <w:lang w:val="en-CA"/>
        </w:rPr>
        <w:t>Criminal Code.</w:t>
      </w:r>
      <w:r w:rsidRPr="00AA6144">
        <w:rPr>
          <w:color w:val="auto"/>
          <w:szCs w:val="18"/>
          <w:vertAlign w:val="superscript"/>
          <w:lang w:val="en-CA"/>
        </w:rPr>
        <w:footnoteReference w:id="242"/>
      </w:r>
      <w:r w:rsidRPr="00AA6144">
        <w:rPr>
          <w:color w:val="auto"/>
          <w:szCs w:val="18"/>
          <w:lang w:val="en-CA"/>
        </w:rPr>
        <w:t xml:space="preserve"> </w:t>
      </w:r>
      <w:r w:rsidR="00C82351" w:rsidRPr="00AA6144">
        <w:rPr>
          <w:color w:val="auto"/>
          <w:szCs w:val="18"/>
          <w:lang w:val="en-CA"/>
        </w:rPr>
        <w:t xml:space="preserve">Genocide </w:t>
      </w:r>
      <w:r w:rsidR="00F56201" w:rsidRPr="00AA6144">
        <w:rPr>
          <w:color w:val="auto"/>
          <w:szCs w:val="18"/>
          <w:lang w:val="en-CA"/>
        </w:rPr>
        <w:t>is</w:t>
      </w:r>
      <w:r w:rsidR="00C82351" w:rsidRPr="00AA6144">
        <w:rPr>
          <w:color w:val="auto"/>
          <w:szCs w:val="18"/>
          <w:lang w:val="en-CA"/>
        </w:rPr>
        <w:t xml:space="preserve"> broadly</w:t>
      </w:r>
      <w:r w:rsidR="00F56201" w:rsidRPr="00AA6144">
        <w:rPr>
          <w:color w:val="auto"/>
          <w:szCs w:val="18"/>
          <w:lang w:val="en-CA"/>
        </w:rPr>
        <w:t xml:space="preserve"> defined </w:t>
      </w:r>
      <w:r w:rsidR="00C82351" w:rsidRPr="00AA6144">
        <w:rPr>
          <w:color w:val="auto"/>
          <w:szCs w:val="18"/>
          <w:lang w:val="en-CA"/>
        </w:rPr>
        <w:t xml:space="preserve">in section </w:t>
      </w:r>
      <w:r w:rsidR="00F56201" w:rsidRPr="00AA6144">
        <w:rPr>
          <w:color w:val="auto"/>
          <w:szCs w:val="18"/>
          <w:lang w:val="en-CA"/>
        </w:rPr>
        <w:t>318(2) as ‘‘[…] acts committed with intent to destroy in whole or in part any identifiable group, namely,</w:t>
      </w:r>
      <w:r w:rsidR="00C82351" w:rsidRPr="00AA6144">
        <w:rPr>
          <w:color w:val="auto"/>
          <w:szCs w:val="18"/>
          <w:lang w:val="en-CA"/>
        </w:rPr>
        <w:t xml:space="preserve"> (a)</w:t>
      </w:r>
      <w:r w:rsidR="00F56201" w:rsidRPr="00AA6144">
        <w:rPr>
          <w:color w:val="auto"/>
          <w:szCs w:val="18"/>
          <w:lang w:val="en-CA"/>
        </w:rPr>
        <w:t xml:space="preserve"> killing members of the group; or </w:t>
      </w:r>
      <w:r w:rsidR="00C82351" w:rsidRPr="00AA6144">
        <w:rPr>
          <w:color w:val="auto"/>
          <w:szCs w:val="18"/>
          <w:lang w:val="en-CA"/>
        </w:rPr>
        <w:t xml:space="preserve">(b) </w:t>
      </w:r>
      <w:r w:rsidR="00F56201" w:rsidRPr="00AA6144">
        <w:rPr>
          <w:color w:val="auto"/>
          <w:szCs w:val="18"/>
          <w:lang w:val="en-CA"/>
        </w:rPr>
        <w:t>deliberately inflicting on the group conditions of life calculated to bring about its physical destruction.</w:t>
      </w:r>
      <w:r w:rsidR="00C82351" w:rsidRPr="00AA6144">
        <w:rPr>
          <w:color w:val="auto"/>
          <w:szCs w:val="18"/>
          <w:lang w:val="en-CA"/>
        </w:rPr>
        <w:t>”</w:t>
      </w:r>
      <w:r w:rsidR="00C82351" w:rsidRPr="00AA6144">
        <w:rPr>
          <w:rStyle w:val="FootnoteReference"/>
          <w:color w:val="auto"/>
          <w:szCs w:val="18"/>
          <w:lang w:val="en-CA"/>
        </w:rPr>
        <w:footnoteReference w:id="243"/>
      </w:r>
      <w:r w:rsidR="00F56201" w:rsidRPr="00AA6144">
        <w:rPr>
          <w:color w:val="auto"/>
          <w:szCs w:val="18"/>
          <w:lang w:val="en-CA"/>
        </w:rPr>
        <w:t xml:space="preserve"> However,</w:t>
      </w:r>
      <w:r w:rsidR="00AB4EF9" w:rsidRPr="00AA6144">
        <w:rPr>
          <w:color w:val="auto"/>
          <w:szCs w:val="18"/>
          <w:lang w:val="en-CA"/>
        </w:rPr>
        <w:t xml:space="preserve"> committing</w:t>
      </w:r>
      <w:r w:rsidR="00F56201" w:rsidRPr="00AA6144">
        <w:rPr>
          <w:color w:val="auto"/>
          <w:szCs w:val="18"/>
          <w:lang w:val="en-CA"/>
        </w:rPr>
        <w:t xml:space="preserve"> genocide in itself is not </w:t>
      </w:r>
      <w:r w:rsidR="00AB4EF9" w:rsidRPr="00AA6144">
        <w:rPr>
          <w:color w:val="auto"/>
          <w:szCs w:val="18"/>
          <w:lang w:val="en-CA"/>
        </w:rPr>
        <w:t xml:space="preserve">a criminal </w:t>
      </w:r>
      <w:r w:rsidR="00F56201" w:rsidRPr="00AA6144">
        <w:rPr>
          <w:color w:val="auto"/>
          <w:szCs w:val="18"/>
          <w:lang w:val="en-CA"/>
        </w:rPr>
        <w:t xml:space="preserve">offence punishable </w:t>
      </w:r>
      <w:r w:rsidR="00AB4EF9" w:rsidRPr="00AA6144">
        <w:rPr>
          <w:color w:val="auto"/>
          <w:szCs w:val="18"/>
          <w:lang w:val="en-CA"/>
        </w:rPr>
        <w:t xml:space="preserve">under </w:t>
      </w:r>
      <w:r w:rsidR="00F56201" w:rsidRPr="00AA6144">
        <w:rPr>
          <w:color w:val="auto"/>
          <w:szCs w:val="18"/>
          <w:lang w:val="en-CA"/>
        </w:rPr>
        <w:t xml:space="preserve">the </w:t>
      </w:r>
      <w:r w:rsidR="00F56201" w:rsidRPr="00AA6144">
        <w:rPr>
          <w:i/>
          <w:color w:val="auto"/>
          <w:szCs w:val="18"/>
          <w:lang w:val="en-CA"/>
        </w:rPr>
        <w:t>Criminal Code</w:t>
      </w:r>
      <w:r w:rsidR="00D43B74" w:rsidRPr="00AA6144">
        <w:rPr>
          <w:color w:val="auto"/>
          <w:szCs w:val="18"/>
          <w:lang w:val="en-CA"/>
        </w:rPr>
        <w:t>. Rather, genocide is a criminal offence punishable</w:t>
      </w:r>
      <w:r w:rsidR="00F56201" w:rsidRPr="00AA6144">
        <w:rPr>
          <w:color w:val="auto"/>
          <w:szCs w:val="18"/>
          <w:lang w:val="en-CA"/>
        </w:rPr>
        <w:t xml:space="preserve"> </w:t>
      </w:r>
      <w:r w:rsidR="00D43B74" w:rsidRPr="00AA6144">
        <w:rPr>
          <w:color w:val="auto"/>
          <w:szCs w:val="18"/>
          <w:lang w:val="en-CA"/>
        </w:rPr>
        <w:t xml:space="preserve">through </w:t>
      </w:r>
      <w:r w:rsidR="00F56201" w:rsidRPr="00AA6144">
        <w:rPr>
          <w:color w:val="auto"/>
          <w:szCs w:val="18"/>
          <w:lang w:val="en-CA"/>
        </w:rPr>
        <w:t xml:space="preserve">the </w:t>
      </w:r>
      <w:r w:rsidR="00F56201" w:rsidRPr="00AA6144">
        <w:rPr>
          <w:i/>
          <w:iCs/>
          <w:color w:val="auto"/>
          <w:szCs w:val="18"/>
          <w:lang w:val="en-CA"/>
        </w:rPr>
        <w:t>Crimes Against Humanity and War Crimes Act</w:t>
      </w:r>
      <w:r w:rsidR="00F56201" w:rsidRPr="00AA6144">
        <w:rPr>
          <w:color w:val="auto"/>
          <w:szCs w:val="18"/>
          <w:lang w:val="en-CA"/>
        </w:rPr>
        <w:t>.</w:t>
      </w:r>
      <w:r w:rsidRPr="00AA6144">
        <w:rPr>
          <w:strike/>
          <w:color w:val="auto"/>
          <w:szCs w:val="18"/>
          <w:lang w:val="en-CA"/>
        </w:rPr>
        <w:t xml:space="preserve"> </w:t>
      </w:r>
    </w:p>
    <w:p w14:paraId="602667C3" w14:textId="5B0CEE08" w:rsidR="00617313" w:rsidRPr="00AA6144" w:rsidRDefault="004B2C57" w:rsidP="00F56201">
      <w:pPr>
        <w:pStyle w:val="AIBodyText"/>
        <w:rPr>
          <w:color w:val="auto"/>
          <w:szCs w:val="18"/>
          <w:lang w:val="en-CA"/>
        </w:rPr>
      </w:pPr>
      <w:r w:rsidRPr="00AA6144">
        <w:rPr>
          <w:color w:val="auto"/>
          <w:szCs w:val="18"/>
          <w:lang w:val="en-CA"/>
        </w:rPr>
        <w:t xml:space="preserve">The modes of criminal liability </w:t>
      </w:r>
      <w:r w:rsidR="00EE055A" w:rsidRPr="00AA6144">
        <w:rPr>
          <w:color w:val="auto"/>
          <w:szCs w:val="18"/>
          <w:lang w:val="en-CA"/>
        </w:rPr>
        <w:t xml:space="preserve">for genocide </w:t>
      </w:r>
      <w:r w:rsidR="00C35373" w:rsidRPr="00AA6144">
        <w:rPr>
          <w:color w:val="auto"/>
          <w:szCs w:val="18"/>
          <w:lang w:val="en-CA"/>
        </w:rPr>
        <w:t xml:space="preserve">in international law </w:t>
      </w:r>
      <w:r w:rsidR="00FC709F" w:rsidRPr="00AA6144">
        <w:rPr>
          <w:color w:val="auto"/>
          <w:szCs w:val="18"/>
          <w:lang w:val="en-CA"/>
        </w:rPr>
        <w:t>overlap with some of the modes of criminal liability in Canadian law</w:t>
      </w:r>
      <w:r w:rsidR="00353AE8" w:rsidRPr="00AA6144">
        <w:rPr>
          <w:color w:val="auto"/>
          <w:szCs w:val="18"/>
          <w:lang w:val="en-CA"/>
        </w:rPr>
        <w:t>, though there are distinct differences</w:t>
      </w:r>
      <w:r w:rsidR="00FC709F" w:rsidRPr="00AA6144">
        <w:rPr>
          <w:color w:val="auto"/>
          <w:szCs w:val="18"/>
          <w:lang w:val="en-CA"/>
        </w:rPr>
        <w:t>.</w:t>
      </w:r>
      <w:r w:rsidR="00FC709F" w:rsidRPr="00AA6144">
        <w:rPr>
          <w:rStyle w:val="FootnoteReference"/>
          <w:color w:val="auto"/>
          <w:szCs w:val="18"/>
          <w:lang w:val="en-CA"/>
        </w:rPr>
        <w:footnoteReference w:id="244"/>
      </w:r>
      <w:r w:rsidRPr="00AA6144">
        <w:rPr>
          <w:color w:val="auto"/>
          <w:szCs w:val="18"/>
          <w:lang w:val="en-CA"/>
        </w:rPr>
        <w:t xml:space="preserve"> </w:t>
      </w:r>
      <w:r w:rsidR="007D42EA" w:rsidRPr="00AA6144">
        <w:rPr>
          <w:color w:val="auto"/>
          <w:lang w:val="en-CA"/>
        </w:rPr>
        <w:t xml:space="preserve">LaFontaine </w:t>
      </w:r>
      <w:r w:rsidR="00353AE8" w:rsidRPr="00AA6144">
        <w:rPr>
          <w:color w:val="auto"/>
          <w:szCs w:val="18"/>
          <w:lang w:val="en-CA"/>
        </w:rPr>
        <w:t xml:space="preserve">argues that the “differences between [modes of liability] could potentially lead to admissibility issues before the ICC, or at least create inconsistency in the scope of responsibility for the same crimes, depending on whether they are prosecuted in Canadian courts, or before the ICC or other international </w:t>
      </w:r>
      <w:r w:rsidR="00EE055A" w:rsidRPr="00AA6144">
        <w:rPr>
          <w:color w:val="auto"/>
          <w:szCs w:val="18"/>
          <w:lang w:val="en-CA"/>
        </w:rPr>
        <w:t>jurisdictions</w:t>
      </w:r>
      <w:r w:rsidR="00353AE8" w:rsidRPr="00AA6144">
        <w:rPr>
          <w:color w:val="auto"/>
          <w:szCs w:val="18"/>
          <w:lang w:val="en-CA"/>
        </w:rPr>
        <w:t>”.</w:t>
      </w:r>
      <w:r w:rsidR="00353AE8" w:rsidRPr="00AA6144">
        <w:rPr>
          <w:rStyle w:val="FootnoteReference"/>
          <w:color w:val="auto"/>
          <w:szCs w:val="18"/>
          <w:lang w:val="en-CA"/>
        </w:rPr>
        <w:footnoteReference w:id="245"/>
      </w:r>
      <w:r w:rsidR="0037791C" w:rsidRPr="00AA6144">
        <w:rPr>
          <w:color w:val="auto"/>
          <w:szCs w:val="18"/>
          <w:lang w:val="en-CA"/>
        </w:rPr>
        <w:t xml:space="preserve"> For example, i</w:t>
      </w:r>
      <w:r w:rsidR="00FC709F" w:rsidRPr="00AA6144">
        <w:rPr>
          <w:color w:val="auto"/>
          <w:szCs w:val="18"/>
          <w:lang w:val="en-CA"/>
        </w:rPr>
        <w:t xml:space="preserve">n Canada, </w:t>
      </w:r>
      <w:r w:rsidR="00F64843" w:rsidRPr="00AA6144">
        <w:rPr>
          <w:color w:val="auto"/>
          <w:szCs w:val="18"/>
          <w:lang w:val="en-CA"/>
        </w:rPr>
        <w:t xml:space="preserve">the crime of genocide can be committed by omission under the </w:t>
      </w:r>
      <w:r w:rsidR="00667B34" w:rsidRPr="00AA6144">
        <w:rPr>
          <w:i/>
          <w:color w:val="auto"/>
          <w:szCs w:val="18"/>
          <w:lang w:val="en-CA"/>
        </w:rPr>
        <w:t>Crimes Against Humanity and War Crimes Act</w:t>
      </w:r>
      <w:r w:rsidR="00F64843" w:rsidRPr="00AA6144">
        <w:rPr>
          <w:color w:val="auto"/>
          <w:szCs w:val="18"/>
          <w:lang w:val="en-CA"/>
        </w:rPr>
        <w:t xml:space="preserve"> and can attract</w:t>
      </w:r>
      <w:r w:rsidR="00FC709F" w:rsidRPr="00AA6144">
        <w:rPr>
          <w:color w:val="auto"/>
          <w:szCs w:val="18"/>
          <w:lang w:val="en-CA"/>
        </w:rPr>
        <w:t xml:space="preserve"> princip</w:t>
      </w:r>
      <w:r w:rsidR="00FD1463">
        <w:rPr>
          <w:color w:val="auto"/>
          <w:szCs w:val="18"/>
          <w:lang w:val="en-CA"/>
        </w:rPr>
        <w:t>al</w:t>
      </w:r>
      <w:r w:rsidR="00FC709F" w:rsidRPr="00AA6144">
        <w:rPr>
          <w:color w:val="auto"/>
          <w:szCs w:val="18"/>
          <w:lang w:val="en-CA"/>
        </w:rPr>
        <w:t xml:space="preserve"> liability</w:t>
      </w:r>
      <w:r w:rsidR="00FD1463">
        <w:rPr>
          <w:color w:val="auto"/>
          <w:szCs w:val="18"/>
          <w:lang w:val="en-CA"/>
        </w:rPr>
        <w:t>.</w:t>
      </w:r>
      <w:r w:rsidR="00F64843" w:rsidRPr="00AA6144">
        <w:rPr>
          <w:rStyle w:val="FootnoteReference"/>
          <w:color w:val="auto"/>
          <w:szCs w:val="18"/>
          <w:lang w:val="en-CA"/>
        </w:rPr>
        <w:footnoteReference w:id="246"/>
      </w:r>
      <w:r w:rsidR="00EB3CAD" w:rsidRPr="00AA6144">
        <w:rPr>
          <w:color w:val="auto"/>
          <w:szCs w:val="18"/>
          <w:lang w:val="en-CA"/>
        </w:rPr>
        <w:t xml:space="preserve"> </w:t>
      </w:r>
    </w:p>
    <w:p w14:paraId="6A9D3147" w14:textId="0685FDF2" w:rsidR="006417B0" w:rsidRPr="00AA6144" w:rsidRDefault="00F56201" w:rsidP="00F56201">
      <w:pPr>
        <w:pStyle w:val="AIBodyText"/>
        <w:rPr>
          <w:color w:val="auto"/>
          <w:szCs w:val="18"/>
          <w:lang w:val="en-CA"/>
        </w:rPr>
      </w:pPr>
      <w:r w:rsidRPr="00AA6144">
        <w:rPr>
          <w:color w:val="auto"/>
          <w:szCs w:val="18"/>
          <w:lang w:val="en-CA"/>
        </w:rPr>
        <w:t xml:space="preserve">In </w:t>
      </w:r>
      <w:proofErr w:type="spellStart"/>
      <w:r w:rsidRPr="00AA6144">
        <w:rPr>
          <w:i/>
          <w:color w:val="auto"/>
          <w:szCs w:val="18"/>
          <w:lang w:val="en-CA"/>
        </w:rPr>
        <w:t>Mugesera</w:t>
      </w:r>
      <w:proofErr w:type="spellEnd"/>
      <w:r w:rsidR="007D42EA" w:rsidRPr="00AA6144">
        <w:rPr>
          <w:color w:val="auto"/>
          <w:szCs w:val="18"/>
          <w:lang w:val="en-CA"/>
        </w:rPr>
        <w:t>,</w:t>
      </w:r>
      <w:r w:rsidRPr="00AA6144">
        <w:rPr>
          <w:color w:val="auto"/>
          <w:szCs w:val="18"/>
          <w:vertAlign w:val="superscript"/>
          <w:lang w:val="en-CA"/>
        </w:rPr>
        <w:footnoteReference w:id="247"/>
      </w:r>
      <w:r w:rsidRPr="00AA6144">
        <w:rPr>
          <w:color w:val="auto"/>
          <w:szCs w:val="18"/>
          <w:lang w:val="en-CA"/>
        </w:rPr>
        <w:t xml:space="preserve"> the Supreme Court of Canada has defined the elements of the crime of incitement to genocide under section 318 of the </w:t>
      </w:r>
      <w:r w:rsidRPr="00AA6144">
        <w:rPr>
          <w:i/>
          <w:color w:val="auto"/>
          <w:szCs w:val="18"/>
          <w:lang w:val="en-CA"/>
        </w:rPr>
        <w:t>Criminal Code</w:t>
      </w:r>
      <w:r w:rsidRPr="00AA6144">
        <w:rPr>
          <w:color w:val="auto"/>
          <w:szCs w:val="18"/>
          <w:lang w:val="en-CA"/>
        </w:rPr>
        <w:t xml:space="preserve">. The proof that genocide </w:t>
      </w:r>
      <w:r w:rsidR="00D43B74" w:rsidRPr="00AA6144">
        <w:rPr>
          <w:color w:val="auto"/>
          <w:szCs w:val="18"/>
          <w:lang w:val="en-CA"/>
        </w:rPr>
        <w:t>occurred</w:t>
      </w:r>
      <w:r w:rsidRPr="00AA6144">
        <w:rPr>
          <w:color w:val="auto"/>
          <w:szCs w:val="18"/>
          <w:lang w:val="en-CA"/>
        </w:rPr>
        <w:t xml:space="preserve"> is not required.  The prosecution does not have to prove a direct causal link between the incitement and actual acts of violence because the offence of direct and public incitement to genocide is of an inchoate nature.  The </w:t>
      </w:r>
      <w:r w:rsidRPr="00AA6144">
        <w:rPr>
          <w:i/>
          <w:iCs/>
          <w:color w:val="auto"/>
          <w:szCs w:val="18"/>
          <w:lang w:val="en-CA"/>
        </w:rPr>
        <w:t xml:space="preserve">actus </w:t>
      </w:r>
      <w:proofErr w:type="spellStart"/>
      <w:r w:rsidRPr="00AA6144">
        <w:rPr>
          <w:i/>
          <w:iCs/>
          <w:color w:val="auto"/>
          <w:szCs w:val="18"/>
          <w:lang w:val="en-CA"/>
        </w:rPr>
        <w:t>reus</w:t>
      </w:r>
      <w:proofErr w:type="spellEnd"/>
      <w:r w:rsidRPr="00AA6144">
        <w:rPr>
          <w:color w:val="auto"/>
          <w:szCs w:val="18"/>
          <w:lang w:val="en-CA"/>
        </w:rPr>
        <w:t xml:space="preserve"> of the crime is therefore defined by incitement to genocide which is direct and public. “Innuendo and obscure language” are not sufficient to establish </w:t>
      </w:r>
      <w:proofErr w:type="gramStart"/>
      <w:r w:rsidRPr="00AA6144">
        <w:rPr>
          <w:color w:val="auto"/>
          <w:szCs w:val="18"/>
          <w:lang w:val="en-CA"/>
        </w:rPr>
        <w:t>a</w:t>
      </w:r>
      <w:proofErr w:type="gramEnd"/>
      <w:r w:rsidRPr="00AA6144">
        <w:rPr>
          <w:color w:val="auto"/>
          <w:szCs w:val="18"/>
          <w:lang w:val="en-CA"/>
        </w:rPr>
        <w:t xml:space="preserve"> incitement</w:t>
      </w:r>
      <w:r w:rsidR="00AC2DD6" w:rsidRPr="00AA6144">
        <w:rPr>
          <w:color w:val="auto"/>
          <w:szCs w:val="18"/>
          <w:lang w:val="en-CA"/>
        </w:rPr>
        <w:t xml:space="preserve"> to genocide.  A</w:t>
      </w:r>
      <w:r w:rsidRPr="00AA6144">
        <w:rPr>
          <w:color w:val="auto"/>
          <w:szCs w:val="18"/>
          <w:lang w:val="en-CA"/>
        </w:rPr>
        <w:t>ccording to the Court, “the words used must be clear enough to be immediately understood by the intended audience”.</w:t>
      </w:r>
      <w:r w:rsidRPr="00AA6144">
        <w:rPr>
          <w:color w:val="auto"/>
          <w:szCs w:val="18"/>
          <w:vertAlign w:val="superscript"/>
          <w:lang w:val="en-CA"/>
        </w:rPr>
        <w:footnoteReference w:id="248"/>
      </w:r>
      <w:r w:rsidRPr="00AA6144">
        <w:rPr>
          <w:color w:val="auto"/>
          <w:szCs w:val="18"/>
          <w:lang w:val="en-CA"/>
        </w:rPr>
        <w:t xml:space="preserve"> The </w:t>
      </w:r>
      <w:proofErr w:type="spellStart"/>
      <w:r w:rsidRPr="00AA6144">
        <w:rPr>
          <w:i/>
          <w:iCs/>
          <w:color w:val="auto"/>
          <w:szCs w:val="18"/>
          <w:lang w:val="en-CA"/>
        </w:rPr>
        <w:t>mens</w:t>
      </w:r>
      <w:proofErr w:type="spellEnd"/>
      <w:r w:rsidRPr="00AA6144">
        <w:rPr>
          <w:i/>
          <w:iCs/>
          <w:color w:val="auto"/>
          <w:szCs w:val="18"/>
          <w:lang w:val="en-CA"/>
        </w:rPr>
        <w:t xml:space="preserve"> rea</w:t>
      </w:r>
      <w:r w:rsidRPr="00AA6144">
        <w:rPr>
          <w:color w:val="auto"/>
          <w:szCs w:val="18"/>
          <w:lang w:val="en-CA"/>
        </w:rPr>
        <w:t xml:space="preserve"> required is an “intent to direct</w:t>
      </w:r>
      <w:r w:rsidR="000C265C" w:rsidRPr="00AA6144">
        <w:rPr>
          <w:color w:val="auto"/>
          <w:szCs w:val="18"/>
          <w:lang w:val="en-CA"/>
        </w:rPr>
        <w:t>,</w:t>
      </w:r>
      <w:r w:rsidRPr="00AA6144">
        <w:rPr>
          <w:color w:val="auto"/>
          <w:szCs w:val="18"/>
          <w:lang w:val="en-CA"/>
        </w:rPr>
        <w:t xml:space="preserve"> prompt or commit genocide”</w:t>
      </w:r>
      <w:r w:rsidRPr="00AA6144">
        <w:rPr>
          <w:color w:val="auto"/>
          <w:szCs w:val="18"/>
          <w:vertAlign w:val="superscript"/>
          <w:lang w:val="en-CA"/>
        </w:rPr>
        <w:footnoteReference w:id="249"/>
      </w:r>
      <w:r w:rsidRPr="00AA6144">
        <w:rPr>
          <w:color w:val="auto"/>
          <w:szCs w:val="18"/>
          <w:lang w:val="en-CA"/>
        </w:rPr>
        <w:t>; the accused also needs to have had the specific intention of commi</w:t>
      </w:r>
      <w:r w:rsidR="000C265C" w:rsidRPr="00AA6144">
        <w:rPr>
          <w:color w:val="auto"/>
          <w:szCs w:val="18"/>
          <w:lang w:val="en-CA"/>
        </w:rPr>
        <w:t>t</w:t>
      </w:r>
      <w:r w:rsidRPr="00AA6144">
        <w:rPr>
          <w:color w:val="auto"/>
          <w:szCs w:val="18"/>
          <w:lang w:val="en-CA"/>
        </w:rPr>
        <w:t xml:space="preserve">ting genocide, </w:t>
      </w:r>
      <w:r w:rsidR="00B023B1" w:rsidRPr="00AA6144">
        <w:rPr>
          <w:color w:val="auto"/>
          <w:szCs w:val="18"/>
          <w:lang w:val="en-CA"/>
        </w:rPr>
        <w:t xml:space="preserve">namely the intent </w:t>
      </w:r>
      <w:r w:rsidRPr="00AA6144">
        <w:rPr>
          <w:color w:val="auto"/>
          <w:szCs w:val="18"/>
          <w:lang w:val="en-CA"/>
        </w:rPr>
        <w:t>to “destroy in whole or in part any identifiable group, namely, any section of the public distinguished by colour, race, religion, or ethnic origin”.</w:t>
      </w:r>
      <w:r w:rsidRPr="00AA6144">
        <w:rPr>
          <w:color w:val="auto"/>
          <w:szCs w:val="18"/>
          <w:vertAlign w:val="superscript"/>
          <w:lang w:val="en-CA"/>
        </w:rPr>
        <w:footnoteReference w:id="250"/>
      </w:r>
      <w:r w:rsidR="00BE18EF" w:rsidRPr="00AA6144">
        <w:rPr>
          <w:color w:val="auto"/>
          <w:szCs w:val="18"/>
          <w:lang w:val="en-CA"/>
        </w:rPr>
        <w:t xml:space="preserve"> </w:t>
      </w:r>
    </w:p>
    <w:p w14:paraId="6989AB2A" w14:textId="77777777" w:rsidR="00D241BF" w:rsidRPr="00AA6144" w:rsidRDefault="00D241BF" w:rsidP="00D241BF">
      <w:pPr>
        <w:pStyle w:val="AIBodyText"/>
        <w:rPr>
          <w:color w:val="auto"/>
          <w:szCs w:val="18"/>
          <w:lang w:val="en-CA"/>
        </w:rPr>
      </w:pPr>
      <w:r w:rsidRPr="00AA6144">
        <w:rPr>
          <w:color w:val="auto"/>
          <w:szCs w:val="18"/>
          <w:lang w:val="en-CA"/>
        </w:rPr>
        <w:t xml:space="preserve">The </w:t>
      </w:r>
      <w:r w:rsidRPr="00AA6144">
        <w:rPr>
          <w:i/>
          <w:color w:val="auto"/>
          <w:szCs w:val="18"/>
          <w:lang w:val="en-CA"/>
        </w:rPr>
        <w:t>Crimes Against Humanity and War Crimes Act</w:t>
      </w:r>
      <w:r w:rsidRPr="00AA6144">
        <w:rPr>
          <w:color w:val="auto"/>
          <w:szCs w:val="18"/>
          <w:lang w:val="en-CA"/>
        </w:rPr>
        <w:t xml:space="preserve"> defines conspiracy, attempt or complicity of genocide as crimes under national law. Section 6(1.1) provides that ‘‘[e]very person who conspires or attempts to commit, is an accessory after the fact in relation to, or counsels in relation to [...] [genocide] is guilty of an indictable offence’’.</w:t>
      </w:r>
    </w:p>
    <w:p w14:paraId="6439FDED" w14:textId="2862F750" w:rsidR="003D7546" w:rsidRPr="00AA6144" w:rsidRDefault="00D241BF" w:rsidP="00A95830">
      <w:pPr>
        <w:pStyle w:val="AIBodyText"/>
        <w:ind w:right="567"/>
        <w:rPr>
          <w:color w:val="auto"/>
          <w:szCs w:val="18"/>
          <w:lang w:val="en-CA"/>
        </w:rPr>
      </w:pPr>
      <w:r w:rsidRPr="00AA6144">
        <w:rPr>
          <w:color w:val="auto"/>
          <w:szCs w:val="18"/>
          <w:lang w:val="en-CA"/>
        </w:rPr>
        <w:t xml:space="preserve">Finally, Canada </w:t>
      </w:r>
      <w:r w:rsidR="008C2D96" w:rsidRPr="00AA6144">
        <w:rPr>
          <w:color w:val="auto"/>
          <w:szCs w:val="18"/>
          <w:lang w:val="en-CA"/>
        </w:rPr>
        <w:t xml:space="preserve">defines </w:t>
      </w:r>
      <w:r w:rsidRPr="00AA6144">
        <w:rPr>
          <w:color w:val="auto"/>
          <w:szCs w:val="18"/>
          <w:lang w:val="en-CA"/>
        </w:rPr>
        <w:t>genocide</w:t>
      </w:r>
      <w:r w:rsidR="008C2D96" w:rsidRPr="00AA6144">
        <w:rPr>
          <w:color w:val="auto"/>
          <w:szCs w:val="18"/>
          <w:lang w:val="en-CA"/>
        </w:rPr>
        <w:t xml:space="preserve"> in</w:t>
      </w:r>
      <w:r w:rsidRPr="00AA6144">
        <w:rPr>
          <w:color w:val="auto"/>
          <w:szCs w:val="18"/>
          <w:lang w:val="en-CA"/>
        </w:rPr>
        <w:t xml:space="preserve"> section 8(b) of the </w:t>
      </w:r>
      <w:r w:rsidRPr="00AA6144">
        <w:rPr>
          <w:i/>
          <w:color w:val="auto"/>
          <w:szCs w:val="18"/>
          <w:lang w:val="en-CA"/>
        </w:rPr>
        <w:t>Crimes Against Humanity and War Crimes Act</w:t>
      </w:r>
      <w:r w:rsidR="008C2D96" w:rsidRPr="00AA6144">
        <w:rPr>
          <w:color w:val="auto"/>
          <w:szCs w:val="18"/>
          <w:lang w:val="en-CA"/>
        </w:rPr>
        <w:t xml:space="preserve"> </w:t>
      </w:r>
      <w:r w:rsidR="00A2731B" w:rsidRPr="00AA6144">
        <w:rPr>
          <w:color w:val="auto"/>
          <w:szCs w:val="18"/>
          <w:lang w:val="en-CA"/>
        </w:rPr>
        <w:t xml:space="preserve"> as:</w:t>
      </w:r>
      <w:r w:rsidR="003D66A6" w:rsidRPr="00AA6144">
        <w:rPr>
          <w:color w:val="auto"/>
          <w:szCs w:val="18"/>
          <w:lang w:val="en-CA"/>
        </w:rPr>
        <w:t xml:space="preserve"> </w:t>
      </w:r>
      <w:r w:rsidRPr="00AA6144">
        <w:rPr>
          <w:color w:val="auto"/>
          <w:szCs w:val="18"/>
          <w:lang w:val="en-CA"/>
        </w:rPr>
        <w:t>an act or omission committed with intent to destroy, in whole or in part, an identifiable group of persons, as such, that at the time and place of its commission, constitutes genocide according to customary international law or conventional international law or by virtue of its being criminal according to the general principles of law recognized by the community of nations, whether or not it constitutes a contravention of the law in force at the time and in the place of its commission.</w:t>
      </w:r>
      <w:r w:rsidR="00671FC3" w:rsidRPr="00AA6144">
        <w:rPr>
          <w:rStyle w:val="FootnoteReference"/>
          <w:color w:val="auto"/>
          <w:szCs w:val="18"/>
          <w:lang w:val="en-CA"/>
        </w:rPr>
        <w:footnoteReference w:id="251"/>
      </w:r>
      <w:r w:rsidR="00D50090" w:rsidRPr="00AA6144">
        <w:rPr>
          <w:color w:val="auto"/>
          <w:szCs w:val="18"/>
          <w:lang w:val="en-CA"/>
        </w:rPr>
        <w:t xml:space="preserve"> </w:t>
      </w:r>
      <w:r w:rsidR="00D50090" w:rsidRPr="00AA6144">
        <w:rPr>
          <w:rFonts w:ascii="-webkit-standard" w:hAnsi="-webkit-standard"/>
          <w:szCs w:val="18"/>
          <w:lang w:val="en-CA"/>
        </w:rPr>
        <w:t>In this way,</w:t>
      </w:r>
      <w:r w:rsidR="003D7546" w:rsidRPr="00AA6144">
        <w:rPr>
          <w:rFonts w:ascii="-webkit-standard" w:hAnsi="-webkit-standard"/>
          <w:szCs w:val="18"/>
          <w:lang w:val="en-CA"/>
        </w:rPr>
        <w:t xml:space="preserve"> Canadian legislation had gone beyond international criminal law when defining ge</w:t>
      </w:r>
      <w:r w:rsidR="003D7546" w:rsidRPr="00AA6144">
        <w:rPr>
          <w:rFonts w:ascii="Times New Roman" w:hAnsi="Times New Roman"/>
          <w:szCs w:val="18"/>
          <w:lang w:val="en-CA"/>
        </w:rPr>
        <w:t>no</w:t>
      </w:r>
      <w:r w:rsidR="003D7546" w:rsidRPr="00AA6144">
        <w:rPr>
          <w:rFonts w:ascii="-webkit-standard" w:hAnsi="-webkit-standard"/>
          <w:szCs w:val="18"/>
          <w:lang w:val="en-CA"/>
        </w:rPr>
        <w:t>cide by expanding the number of victim groups</w:t>
      </w:r>
      <w:r w:rsidR="00D50090" w:rsidRPr="00AA6144">
        <w:rPr>
          <w:rFonts w:ascii="-webkit-standard" w:hAnsi="-webkit-standard"/>
          <w:szCs w:val="18"/>
          <w:lang w:val="en-CA"/>
        </w:rPr>
        <w:t>,</w:t>
      </w:r>
      <w:r w:rsidR="003D7546" w:rsidRPr="00AA6144">
        <w:rPr>
          <w:rFonts w:ascii="-webkit-standard" w:hAnsi="-webkit-standard"/>
          <w:szCs w:val="18"/>
          <w:lang w:val="en-CA"/>
        </w:rPr>
        <w:t xml:space="preserve"> referring to identifiable groups instead of the four traditional groups for ge</w:t>
      </w:r>
      <w:r w:rsidR="003D7546" w:rsidRPr="00AA6144">
        <w:rPr>
          <w:rFonts w:ascii="Times New Roman" w:hAnsi="Times New Roman"/>
          <w:szCs w:val="18"/>
          <w:lang w:val="en-CA"/>
        </w:rPr>
        <w:t>no</w:t>
      </w:r>
      <w:r w:rsidR="003D7546" w:rsidRPr="00AA6144">
        <w:rPr>
          <w:rFonts w:ascii="-webkit-standard" w:hAnsi="-webkit-standard"/>
          <w:szCs w:val="18"/>
          <w:lang w:val="en-CA"/>
        </w:rPr>
        <w:t>cide</w:t>
      </w:r>
      <w:r w:rsidR="00D50090" w:rsidRPr="00AA6144">
        <w:rPr>
          <w:rFonts w:ascii="-webkit-standard" w:hAnsi="-webkit-standard"/>
          <w:szCs w:val="18"/>
          <w:lang w:val="en-CA"/>
        </w:rPr>
        <w:t>.</w:t>
      </w:r>
    </w:p>
    <w:p w14:paraId="620F3441" w14:textId="77777777" w:rsidR="00F56201" w:rsidRPr="00AA6144" w:rsidRDefault="00F56201" w:rsidP="00F56201">
      <w:pPr>
        <w:pStyle w:val="AIBodyText"/>
        <w:rPr>
          <w:color w:val="auto"/>
          <w:szCs w:val="18"/>
          <w:lang w:val="en-CA"/>
        </w:rPr>
      </w:pPr>
      <w:r w:rsidRPr="00AA6144">
        <w:rPr>
          <w:color w:val="auto"/>
          <w:szCs w:val="18"/>
          <w:lang w:val="en-CA"/>
        </w:rPr>
        <w:t xml:space="preserve">Justice Denis, in </w:t>
      </w:r>
      <w:proofErr w:type="spellStart"/>
      <w:r w:rsidRPr="00AA6144">
        <w:rPr>
          <w:i/>
          <w:color w:val="auto"/>
          <w:szCs w:val="18"/>
          <w:lang w:val="en-CA"/>
        </w:rPr>
        <w:t>Munyaneza</w:t>
      </w:r>
      <w:bookmarkStart w:id="105" w:name="_Ref267057917"/>
      <w:proofErr w:type="spellEnd"/>
      <w:r w:rsidRPr="00AA6144">
        <w:rPr>
          <w:color w:val="auto"/>
          <w:szCs w:val="18"/>
          <w:vertAlign w:val="superscript"/>
          <w:lang w:val="en-CA"/>
        </w:rPr>
        <w:footnoteReference w:id="252"/>
      </w:r>
      <w:bookmarkEnd w:id="105"/>
      <w:r w:rsidRPr="00AA6144">
        <w:rPr>
          <w:color w:val="auto"/>
          <w:szCs w:val="18"/>
          <w:lang w:val="en-CA"/>
        </w:rPr>
        <w:t>, specified the intent required in a case where an accused was charged with committing genocide by both killing and causing serious bodily or mental harm.</w:t>
      </w:r>
      <w:r w:rsidRPr="00AA6144">
        <w:rPr>
          <w:color w:val="auto"/>
          <w:szCs w:val="18"/>
          <w:vertAlign w:val="superscript"/>
          <w:lang w:val="en-CA"/>
        </w:rPr>
        <w:footnoteReference w:id="253"/>
      </w:r>
      <w:r w:rsidRPr="00AA6144">
        <w:rPr>
          <w:color w:val="auto"/>
          <w:szCs w:val="18"/>
          <w:lang w:val="en-CA"/>
        </w:rPr>
        <w:t xml:space="preserve"> The intent must have been to physically destroy the targeted group, not only its national, linguistic, religious or cultural identity. More specifically, the intent must have been to destroy the group in substantial part, meaning a high proportion of the group or the most prominent members of the community, the effect of which on the whole group is significant.</w:t>
      </w:r>
    </w:p>
    <w:p w14:paraId="7C549680" w14:textId="77777777" w:rsidR="00E57056" w:rsidRPr="00AA6144" w:rsidRDefault="00E57056" w:rsidP="00B9574E">
      <w:pPr>
        <w:pStyle w:val="Heading3"/>
        <w:jc w:val="both"/>
        <w:rPr>
          <w:lang w:val="en-CA"/>
        </w:rPr>
      </w:pPr>
      <w:bookmarkStart w:id="106" w:name="_Toc193798658"/>
      <w:bookmarkStart w:id="107" w:name="_Toc220954456"/>
      <w:bookmarkStart w:id="108" w:name="_Toc43382738"/>
      <w:r w:rsidRPr="00AA6144">
        <w:rPr>
          <w:lang w:val="en-CA"/>
        </w:rPr>
        <w:t>4.3.4. Torture</w:t>
      </w:r>
      <w:bookmarkEnd w:id="106"/>
      <w:bookmarkEnd w:id="107"/>
      <w:bookmarkEnd w:id="108"/>
      <w:r w:rsidRPr="00AA6144">
        <w:rPr>
          <w:lang w:val="en-CA"/>
        </w:rPr>
        <w:t xml:space="preserve"> </w:t>
      </w:r>
    </w:p>
    <w:p w14:paraId="541E9420" w14:textId="77777777" w:rsidR="00437A3D" w:rsidRPr="00AA6144" w:rsidRDefault="00437A3D" w:rsidP="00437A3D">
      <w:pPr>
        <w:spacing w:after="0"/>
        <w:rPr>
          <w:lang w:val="en-CA"/>
        </w:rPr>
      </w:pPr>
    </w:p>
    <w:p w14:paraId="3425718F" w14:textId="5982D8E0" w:rsidR="00E57056" w:rsidRPr="00AA6144" w:rsidRDefault="00F366BE" w:rsidP="00CD04AC">
      <w:pPr>
        <w:pStyle w:val="AIBodyText"/>
        <w:rPr>
          <w:color w:val="auto"/>
          <w:lang w:val="en-CA"/>
        </w:rPr>
      </w:pPr>
      <w:r w:rsidRPr="00AA6144">
        <w:rPr>
          <w:color w:val="auto"/>
          <w:lang w:val="en-CA"/>
        </w:rPr>
        <w:t xml:space="preserve">Canada has been a party to the 1984 </w:t>
      </w:r>
      <w:r w:rsidRPr="00AA6144">
        <w:rPr>
          <w:i/>
          <w:color w:val="auto"/>
          <w:lang w:val="en-CA"/>
        </w:rPr>
        <w:t>Convention against Torture and Other Cruel, Inhuman or Degrading Treatment or Punishment</w:t>
      </w:r>
      <w:r w:rsidRPr="00AA6144">
        <w:rPr>
          <w:color w:val="auto"/>
          <w:lang w:val="en-CA"/>
        </w:rPr>
        <w:t xml:space="preserve"> (‘‘Convention against Torture’’) since June 26, 1987.</w:t>
      </w:r>
      <w:bookmarkStart w:id="109" w:name="_Ref267056908"/>
      <w:r w:rsidRPr="00AA6144">
        <w:rPr>
          <w:color w:val="auto"/>
          <w:vertAlign w:val="superscript"/>
          <w:lang w:val="en-CA"/>
        </w:rPr>
        <w:footnoteReference w:id="254"/>
      </w:r>
      <w:bookmarkEnd w:id="109"/>
      <w:r w:rsidRPr="00AA6144">
        <w:rPr>
          <w:color w:val="auto"/>
          <w:lang w:val="en-CA"/>
        </w:rPr>
        <w:t xml:space="preserve">  </w:t>
      </w:r>
      <w:r w:rsidR="00E57056" w:rsidRPr="00AA6144">
        <w:rPr>
          <w:color w:val="auto"/>
          <w:lang w:val="en-CA"/>
        </w:rPr>
        <w:t>This treaty requires states parties to define acts of torture as a crime under national law (Art</w:t>
      </w:r>
      <w:r w:rsidR="00843D64" w:rsidRPr="00AA6144">
        <w:rPr>
          <w:color w:val="auto"/>
          <w:lang w:val="en-CA"/>
        </w:rPr>
        <w:t>icle</w:t>
      </w:r>
      <w:r w:rsidR="00E57056" w:rsidRPr="00AA6144">
        <w:rPr>
          <w:color w:val="auto"/>
          <w:lang w:val="en-CA"/>
        </w:rPr>
        <w:t xml:space="preserve"> 4)</w:t>
      </w:r>
      <w:r w:rsidR="00E43ECB" w:rsidRPr="00AA6144">
        <w:rPr>
          <w:color w:val="auto"/>
          <w:lang w:val="en-CA"/>
        </w:rPr>
        <w:t xml:space="preserve">; </w:t>
      </w:r>
      <w:r w:rsidR="00E57056" w:rsidRPr="00AA6144">
        <w:rPr>
          <w:color w:val="auto"/>
          <w:lang w:val="en-CA"/>
        </w:rPr>
        <w:t xml:space="preserve">to establish jurisdiction over persons suspected of committing acts of torture </w:t>
      </w:r>
      <w:r w:rsidR="00A83507" w:rsidRPr="00AA6144">
        <w:rPr>
          <w:color w:val="auto"/>
          <w:lang w:val="en-CA"/>
        </w:rPr>
        <w:t xml:space="preserve">(which </w:t>
      </w:r>
      <w:r w:rsidR="00582D01" w:rsidRPr="00AA6144">
        <w:rPr>
          <w:color w:val="auto"/>
          <w:lang w:val="en-CA"/>
        </w:rPr>
        <w:t xml:space="preserve">may </w:t>
      </w:r>
      <w:r w:rsidR="00A83507" w:rsidRPr="00AA6144">
        <w:rPr>
          <w:color w:val="auto"/>
          <w:lang w:val="en-CA"/>
        </w:rPr>
        <w:t xml:space="preserve">include rape and other crimes of sexual violence) </w:t>
      </w:r>
      <w:r w:rsidR="00E57056" w:rsidRPr="00AA6144">
        <w:rPr>
          <w:color w:val="auto"/>
          <w:lang w:val="en-CA"/>
        </w:rPr>
        <w:t xml:space="preserve">who are present in </w:t>
      </w:r>
      <w:r w:rsidR="00B72351" w:rsidRPr="00AA6144">
        <w:rPr>
          <w:color w:val="auto"/>
          <w:lang w:val="en-CA"/>
        </w:rPr>
        <w:t>any territory subject to Canadian jurisdi</w:t>
      </w:r>
      <w:r w:rsidR="00930E70" w:rsidRPr="00AA6144">
        <w:rPr>
          <w:color w:val="auto"/>
          <w:lang w:val="en-CA"/>
        </w:rPr>
        <w:t>c</w:t>
      </w:r>
      <w:r w:rsidR="00B72351" w:rsidRPr="00AA6144">
        <w:rPr>
          <w:color w:val="auto"/>
          <w:lang w:val="en-CA"/>
        </w:rPr>
        <w:t>tion</w:t>
      </w:r>
      <w:r w:rsidR="00E57056" w:rsidRPr="00AA6144">
        <w:rPr>
          <w:color w:val="auto"/>
          <w:lang w:val="en-CA"/>
        </w:rPr>
        <w:t xml:space="preserve"> if they are not extradited (Art</w:t>
      </w:r>
      <w:r w:rsidR="00843D64" w:rsidRPr="00AA6144">
        <w:rPr>
          <w:color w:val="auto"/>
          <w:lang w:val="en-CA"/>
        </w:rPr>
        <w:t xml:space="preserve">icle </w:t>
      </w:r>
      <w:r w:rsidR="00E57056" w:rsidRPr="00AA6144">
        <w:rPr>
          <w:color w:val="auto"/>
          <w:lang w:val="en-CA"/>
        </w:rPr>
        <w:t>5(2))</w:t>
      </w:r>
      <w:r w:rsidR="00E43ECB" w:rsidRPr="00AA6144">
        <w:rPr>
          <w:color w:val="auto"/>
          <w:lang w:val="en-CA"/>
        </w:rPr>
        <w:t>;</w:t>
      </w:r>
      <w:r w:rsidR="00E57056" w:rsidRPr="00AA6144">
        <w:rPr>
          <w:color w:val="auto"/>
          <w:lang w:val="en-CA"/>
        </w:rPr>
        <w:t xml:space="preserve"> to take measures to ensure presence for prosecution or extradition (Art</w:t>
      </w:r>
      <w:r w:rsidR="00843D64" w:rsidRPr="00AA6144">
        <w:rPr>
          <w:color w:val="auto"/>
          <w:lang w:val="en-CA"/>
        </w:rPr>
        <w:t xml:space="preserve">icles </w:t>
      </w:r>
      <w:r w:rsidR="00E57056" w:rsidRPr="00AA6144">
        <w:rPr>
          <w:color w:val="auto"/>
          <w:lang w:val="en-CA"/>
        </w:rPr>
        <w:t xml:space="preserve">6(1) and </w:t>
      </w:r>
      <w:r w:rsidR="00843D64" w:rsidRPr="00AA6144">
        <w:rPr>
          <w:color w:val="auto"/>
          <w:lang w:val="en-CA"/>
        </w:rPr>
        <w:t>6</w:t>
      </w:r>
      <w:r w:rsidR="00E57056" w:rsidRPr="00AA6144">
        <w:rPr>
          <w:color w:val="auto"/>
          <w:lang w:val="en-CA"/>
        </w:rPr>
        <w:t>(2))</w:t>
      </w:r>
      <w:r w:rsidR="00E43ECB" w:rsidRPr="00AA6144">
        <w:rPr>
          <w:color w:val="auto"/>
          <w:lang w:val="en-CA"/>
        </w:rPr>
        <w:t>;</w:t>
      </w:r>
      <w:r w:rsidR="00E57056" w:rsidRPr="00AA6144">
        <w:rPr>
          <w:color w:val="auto"/>
          <w:lang w:val="en-CA"/>
        </w:rPr>
        <w:t xml:space="preserve"> and to submit the cases to the competent authorities</w:t>
      </w:r>
      <w:r w:rsidR="00B22DE5">
        <w:rPr>
          <w:color w:val="auto"/>
          <w:lang w:val="en-CA"/>
        </w:rPr>
        <w:t>,</w:t>
      </w:r>
      <w:r w:rsidR="00E57056" w:rsidRPr="00AA6144">
        <w:rPr>
          <w:color w:val="auto"/>
          <w:lang w:val="en-CA"/>
        </w:rPr>
        <w:t xml:space="preserve"> </w:t>
      </w:r>
      <w:r w:rsidR="00BB7898">
        <w:rPr>
          <w:color w:val="auto"/>
          <w:lang w:val="en-CA"/>
        </w:rPr>
        <w:t>unless</w:t>
      </w:r>
      <w:r w:rsidR="00B22DE5">
        <w:rPr>
          <w:color w:val="auto"/>
          <w:lang w:val="en-CA"/>
        </w:rPr>
        <w:t xml:space="preserve"> the person concerned</w:t>
      </w:r>
      <w:r w:rsidR="00E57056" w:rsidRPr="00AA6144">
        <w:rPr>
          <w:color w:val="auto"/>
          <w:lang w:val="en-CA"/>
        </w:rPr>
        <w:t xml:space="preserve"> </w:t>
      </w:r>
      <w:r w:rsidR="00B22DE5">
        <w:rPr>
          <w:color w:val="auto"/>
          <w:lang w:val="en-CA"/>
        </w:rPr>
        <w:t>is</w:t>
      </w:r>
      <w:r w:rsidR="00E57056" w:rsidRPr="00AA6144">
        <w:rPr>
          <w:color w:val="auto"/>
          <w:lang w:val="en-CA"/>
        </w:rPr>
        <w:t xml:space="preserve"> extradited (Art</w:t>
      </w:r>
      <w:r w:rsidR="00843D64" w:rsidRPr="00AA6144">
        <w:rPr>
          <w:color w:val="auto"/>
          <w:lang w:val="en-CA"/>
        </w:rPr>
        <w:t>icle</w:t>
      </w:r>
      <w:r w:rsidR="00E57056" w:rsidRPr="00AA6144">
        <w:rPr>
          <w:color w:val="auto"/>
          <w:lang w:val="en-CA"/>
        </w:rPr>
        <w:t xml:space="preserve"> 7(1)).</w:t>
      </w:r>
      <w:r w:rsidR="00FD1463">
        <w:rPr>
          <w:rStyle w:val="FootnoteReference"/>
          <w:color w:val="auto"/>
          <w:lang w:val="en-CA"/>
        </w:rPr>
        <w:footnoteReference w:id="255"/>
      </w:r>
      <w:r w:rsidR="00E57056" w:rsidRPr="00AA6144">
        <w:rPr>
          <w:color w:val="auto"/>
          <w:lang w:val="en-CA"/>
        </w:rPr>
        <w:t xml:space="preserve">  </w:t>
      </w:r>
    </w:p>
    <w:p w14:paraId="1B823DF0" w14:textId="77777777" w:rsidR="00F366BE" w:rsidRPr="00AA6144" w:rsidRDefault="00F366BE" w:rsidP="00F366BE">
      <w:pPr>
        <w:pStyle w:val="AIBodyText"/>
        <w:rPr>
          <w:color w:val="auto"/>
          <w:lang w:val="en-CA"/>
        </w:rPr>
      </w:pPr>
      <w:r w:rsidRPr="00AA6144">
        <w:rPr>
          <w:color w:val="auto"/>
          <w:lang w:val="en-CA"/>
        </w:rPr>
        <w:t xml:space="preserve">Canada has not signed </w:t>
      </w:r>
      <w:r w:rsidRPr="00AA6144">
        <w:rPr>
          <w:bCs/>
          <w:color w:val="auto"/>
          <w:lang w:val="en-CA"/>
        </w:rPr>
        <w:t xml:space="preserve">the </w:t>
      </w:r>
      <w:r w:rsidRPr="00AA6144">
        <w:rPr>
          <w:bCs/>
          <w:i/>
          <w:color w:val="auto"/>
          <w:lang w:val="en-CA"/>
        </w:rPr>
        <w:t>Inter-American Convention to Prevent and Punish Torture</w:t>
      </w:r>
      <w:r w:rsidRPr="00AA6144">
        <w:rPr>
          <w:bCs/>
          <w:color w:val="auto"/>
          <w:lang w:val="en-CA"/>
        </w:rPr>
        <w:t>.</w:t>
      </w:r>
      <w:r w:rsidRPr="00AA6144">
        <w:rPr>
          <w:bCs/>
          <w:color w:val="auto"/>
          <w:vertAlign w:val="superscript"/>
          <w:lang w:val="en-CA"/>
        </w:rPr>
        <w:footnoteReference w:id="256"/>
      </w:r>
      <w:r w:rsidRPr="00AA6144">
        <w:rPr>
          <w:color w:val="auto"/>
          <w:lang w:val="en-CA"/>
        </w:rPr>
        <w:t xml:space="preserve"> This treaty requires states parties to prevent and punish torture (Art</w:t>
      </w:r>
      <w:r w:rsidR="00E43ECB" w:rsidRPr="00AA6144">
        <w:rPr>
          <w:color w:val="auto"/>
          <w:lang w:val="en-CA"/>
        </w:rPr>
        <w:t>icle</w:t>
      </w:r>
      <w:r w:rsidRPr="00AA6144">
        <w:rPr>
          <w:color w:val="auto"/>
          <w:lang w:val="en-CA"/>
        </w:rPr>
        <w:t xml:space="preserve"> 1)</w:t>
      </w:r>
      <w:r w:rsidR="00E43ECB" w:rsidRPr="00AA6144">
        <w:rPr>
          <w:color w:val="auto"/>
          <w:lang w:val="en-CA"/>
        </w:rPr>
        <w:t>;</w:t>
      </w:r>
      <w:r w:rsidRPr="00AA6144">
        <w:rPr>
          <w:color w:val="auto"/>
          <w:lang w:val="en-CA"/>
        </w:rPr>
        <w:t xml:space="preserve"> to ensure that all acts of torture and attempts to commit torture are crimes under </w:t>
      </w:r>
      <w:r w:rsidR="00E43ECB" w:rsidRPr="00AA6144">
        <w:rPr>
          <w:color w:val="auto"/>
          <w:lang w:val="en-CA"/>
        </w:rPr>
        <w:t xml:space="preserve">domestic </w:t>
      </w:r>
      <w:r w:rsidRPr="00AA6144">
        <w:rPr>
          <w:color w:val="auto"/>
          <w:lang w:val="en-CA"/>
        </w:rPr>
        <w:t xml:space="preserve">criminal law which are punishable by severe penalties that take into account </w:t>
      </w:r>
      <w:r w:rsidR="00E43ECB" w:rsidRPr="00AA6144">
        <w:rPr>
          <w:color w:val="auto"/>
          <w:lang w:val="en-CA"/>
        </w:rPr>
        <w:t xml:space="preserve">the </w:t>
      </w:r>
      <w:r w:rsidRPr="00AA6144">
        <w:rPr>
          <w:color w:val="auto"/>
          <w:lang w:val="en-CA"/>
        </w:rPr>
        <w:t>serious nature</w:t>
      </w:r>
      <w:r w:rsidR="00E43ECB" w:rsidRPr="00AA6144">
        <w:rPr>
          <w:color w:val="auto"/>
          <w:lang w:val="en-CA"/>
        </w:rPr>
        <w:t xml:space="preserve"> of the offence</w:t>
      </w:r>
      <w:r w:rsidRPr="00AA6144">
        <w:rPr>
          <w:color w:val="auto"/>
          <w:lang w:val="en-CA"/>
        </w:rPr>
        <w:t xml:space="preserve"> (Art</w:t>
      </w:r>
      <w:r w:rsidR="00E43ECB" w:rsidRPr="00AA6144">
        <w:rPr>
          <w:color w:val="auto"/>
          <w:lang w:val="en-CA"/>
        </w:rPr>
        <w:t xml:space="preserve">icle </w:t>
      </w:r>
      <w:r w:rsidRPr="00AA6144">
        <w:rPr>
          <w:color w:val="auto"/>
          <w:lang w:val="en-CA"/>
        </w:rPr>
        <w:t>6)</w:t>
      </w:r>
      <w:r w:rsidR="00E43ECB" w:rsidRPr="00AA6144">
        <w:rPr>
          <w:color w:val="auto"/>
          <w:lang w:val="en-CA"/>
        </w:rPr>
        <w:t>;</w:t>
      </w:r>
      <w:r w:rsidRPr="00AA6144">
        <w:rPr>
          <w:color w:val="auto"/>
          <w:lang w:val="en-CA"/>
        </w:rPr>
        <w:t xml:space="preserve"> to take the necessary measures to establish jurisdiction over torture when the suspect is within </w:t>
      </w:r>
      <w:r w:rsidR="00E369AD" w:rsidRPr="00AA6144">
        <w:rPr>
          <w:color w:val="auto"/>
          <w:lang w:val="en-CA"/>
        </w:rPr>
        <w:t xml:space="preserve">a state’s </w:t>
      </w:r>
      <w:r w:rsidRPr="00AA6144">
        <w:rPr>
          <w:color w:val="auto"/>
          <w:lang w:val="en-CA"/>
        </w:rPr>
        <w:t>jurisdiction and it is not appropriate to extradite the suspect (Art</w:t>
      </w:r>
      <w:r w:rsidR="00E43ECB" w:rsidRPr="00AA6144">
        <w:rPr>
          <w:color w:val="auto"/>
          <w:lang w:val="en-CA"/>
        </w:rPr>
        <w:t>icle</w:t>
      </w:r>
      <w:r w:rsidRPr="00AA6144">
        <w:rPr>
          <w:color w:val="auto"/>
          <w:lang w:val="en-CA"/>
        </w:rPr>
        <w:t xml:space="preserve"> 12)</w:t>
      </w:r>
      <w:r w:rsidR="00E43ECB" w:rsidRPr="00AA6144">
        <w:rPr>
          <w:color w:val="auto"/>
          <w:lang w:val="en-CA"/>
        </w:rPr>
        <w:t>;</w:t>
      </w:r>
      <w:r w:rsidRPr="00AA6144">
        <w:rPr>
          <w:color w:val="auto"/>
          <w:lang w:val="en-CA"/>
        </w:rPr>
        <w:t xml:space="preserve"> and, when </w:t>
      </w:r>
      <w:r w:rsidR="00E43ECB" w:rsidRPr="00AA6144">
        <w:rPr>
          <w:color w:val="auto"/>
          <w:lang w:val="en-CA"/>
        </w:rPr>
        <w:t xml:space="preserve">the state </w:t>
      </w:r>
      <w:r w:rsidRPr="00AA6144">
        <w:rPr>
          <w:color w:val="auto"/>
          <w:lang w:val="en-CA"/>
        </w:rPr>
        <w:t xml:space="preserve">does not grant extradition, to submit the case to </w:t>
      </w:r>
      <w:r w:rsidR="00E43ECB" w:rsidRPr="00AA6144">
        <w:rPr>
          <w:color w:val="auto"/>
          <w:lang w:val="en-CA"/>
        </w:rPr>
        <w:t xml:space="preserve">the </w:t>
      </w:r>
      <w:r w:rsidRPr="00AA6144">
        <w:rPr>
          <w:color w:val="auto"/>
          <w:lang w:val="en-CA"/>
        </w:rPr>
        <w:t>competent authorities as if the crime had been committed within its jurisdiction, for the purposes of investigation, and when appropriate, for criminal action, in accordance with its national law (Art</w:t>
      </w:r>
      <w:r w:rsidR="00E369AD" w:rsidRPr="00AA6144">
        <w:rPr>
          <w:color w:val="auto"/>
          <w:lang w:val="en-CA"/>
        </w:rPr>
        <w:t>icle</w:t>
      </w:r>
      <w:r w:rsidRPr="00AA6144">
        <w:rPr>
          <w:color w:val="auto"/>
          <w:lang w:val="en-CA"/>
        </w:rPr>
        <w:t xml:space="preserve"> 14).</w:t>
      </w:r>
    </w:p>
    <w:p w14:paraId="6E8EE27F" w14:textId="77777777" w:rsidR="00AD309C" w:rsidRPr="00AA6144" w:rsidRDefault="00860F62" w:rsidP="00AD309C">
      <w:pPr>
        <w:pStyle w:val="AIBodyText"/>
        <w:rPr>
          <w:color w:val="auto"/>
          <w:lang w:val="en-CA"/>
        </w:rPr>
      </w:pPr>
      <w:r w:rsidRPr="00AA6144">
        <w:rPr>
          <w:color w:val="auto"/>
          <w:lang w:val="en-CA"/>
        </w:rPr>
        <w:t xml:space="preserve">However, </w:t>
      </w:r>
      <w:r w:rsidR="00F366BE" w:rsidRPr="00AA6144">
        <w:rPr>
          <w:color w:val="auto"/>
          <w:lang w:val="en-CA"/>
        </w:rPr>
        <w:t xml:space="preserve">Canada </w:t>
      </w:r>
      <w:r w:rsidR="00287F17" w:rsidRPr="00AA6144">
        <w:rPr>
          <w:color w:val="auto"/>
          <w:lang w:val="en-CA"/>
        </w:rPr>
        <w:t>has criminalized</w:t>
      </w:r>
      <w:r w:rsidR="00F366BE" w:rsidRPr="00AA6144">
        <w:rPr>
          <w:color w:val="auto"/>
          <w:lang w:val="en-CA"/>
        </w:rPr>
        <w:t xml:space="preserve"> torture in section 26</w:t>
      </w:r>
      <w:r w:rsidR="00DF246C" w:rsidRPr="00AA6144">
        <w:rPr>
          <w:color w:val="auto"/>
          <w:lang w:val="en-CA"/>
        </w:rPr>
        <w:t>9.1(</w:t>
      </w:r>
      <w:r w:rsidR="00287F17" w:rsidRPr="00AA6144">
        <w:rPr>
          <w:color w:val="auto"/>
          <w:lang w:val="en-CA"/>
        </w:rPr>
        <w:t>1</w:t>
      </w:r>
      <w:r w:rsidR="00DF246C" w:rsidRPr="00AA6144">
        <w:rPr>
          <w:color w:val="auto"/>
          <w:lang w:val="en-CA"/>
        </w:rPr>
        <w:t>)</w:t>
      </w:r>
      <w:r w:rsidR="00F366BE" w:rsidRPr="00AA6144">
        <w:rPr>
          <w:color w:val="auto"/>
          <w:lang w:val="en-CA"/>
        </w:rPr>
        <w:t xml:space="preserve"> of the </w:t>
      </w:r>
      <w:r w:rsidR="00F366BE" w:rsidRPr="00AA6144">
        <w:rPr>
          <w:i/>
          <w:color w:val="auto"/>
          <w:lang w:val="en-CA"/>
        </w:rPr>
        <w:t>Criminal Code</w:t>
      </w:r>
      <w:r w:rsidR="00F366BE" w:rsidRPr="00AA6144">
        <w:rPr>
          <w:color w:val="auto"/>
          <w:lang w:val="en-CA"/>
        </w:rPr>
        <w:t>: “</w:t>
      </w:r>
      <w:r w:rsidR="00DF246C" w:rsidRPr="00AA6144">
        <w:rPr>
          <w:color w:val="auto"/>
          <w:lang w:val="en-CA"/>
        </w:rPr>
        <w:t>e</w:t>
      </w:r>
      <w:r w:rsidR="00F366BE" w:rsidRPr="00AA6144">
        <w:rPr>
          <w:color w:val="auto"/>
          <w:lang w:val="en-CA"/>
        </w:rPr>
        <w:t>very official, or every person acting at the instigation of or with the consent or acquiescence of an official, who inflicts torture on any other person is guilty of an indictable offence and liable to imprisonment for a term not exceeding fourteen years.”</w:t>
      </w:r>
      <w:r w:rsidR="00E166B1" w:rsidRPr="00AA6144">
        <w:rPr>
          <w:rStyle w:val="FootnoteReference"/>
          <w:color w:val="auto"/>
          <w:lang w:val="en-CA"/>
        </w:rPr>
        <w:footnoteReference w:id="257"/>
      </w:r>
      <w:r w:rsidR="00F366BE" w:rsidRPr="00AA6144">
        <w:rPr>
          <w:color w:val="auto"/>
          <w:lang w:val="en-CA"/>
        </w:rPr>
        <w:t xml:space="preserve"> </w:t>
      </w:r>
    </w:p>
    <w:p w14:paraId="7A9418D2" w14:textId="77777777" w:rsidR="00AD309C" w:rsidRPr="00AA6144" w:rsidRDefault="00E61233" w:rsidP="00AD309C">
      <w:pPr>
        <w:pStyle w:val="AIBodyText"/>
        <w:rPr>
          <w:color w:val="auto"/>
          <w:lang w:val="en-CA"/>
        </w:rPr>
      </w:pPr>
      <w:r w:rsidRPr="00AA6144">
        <w:rPr>
          <w:color w:val="auto"/>
          <w:lang w:val="en-CA"/>
        </w:rPr>
        <w:t xml:space="preserve">Torture is defined in the </w:t>
      </w:r>
      <w:r w:rsidRPr="00AA6144">
        <w:rPr>
          <w:i/>
          <w:color w:val="auto"/>
          <w:lang w:val="en-CA"/>
        </w:rPr>
        <w:t xml:space="preserve">Criminal Code </w:t>
      </w:r>
      <w:r w:rsidRPr="00AA6144">
        <w:rPr>
          <w:color w:val="auto"/>
          <w:lang w:val="en-CA"/>
        </w:rPr>
        <w:t xml:space="preserve">as: </w:t>
      </w:r>
    </w:p>
    <w:p w14:paraId="1E8925B4" w14:textId="77777777" w:rsidR="00AD309C" w:rsidRPr="00AA6144" w:rsidRDefault="00AD309C" w:rsidP="0039346B">
      <w:pPr>
        <w:pStyle w:val="AIBodyText"/>
        <w:ind w:left="357" w:right="567"/>
        <w:rPr>
          <w:color w:val="auto"/>
          <w:lang w:val="en-CA"/>
        </w:rPr>
      </w:pPr>
      <w:r w:rsidRPr="00AA6144">
        <w:rPr>
          <w:color w:val="auto"/>
          <w:lang w:val="en-CA"/>
        </w:rPr>
        <w:t>any act or omission by which severe pain or suffering, whether physical or mental, is intentionally inflicted on a person (</w:t>
      </w:r>
      <w:r w:rsidRPr="00AA6144">
        <w:rPr>
          <w:i/>
          <w:iCs/>
          <w:color w:val="auto"/>
          <w:lang w:val="en-CA"/>
        </w:rPr>
        <w:t>a</w:t>
      </w:r>
      <w:r w:rsidRPr="00AA6144">
        <w:rPr>
          <w:color w:val="auto"/>
          <w:lang w:val="en-CA"/>
        </w:rPr>
        <w:t xml:space="preserve">) for a purpose including: </w:t>
      </w:r>
    </w:p>
    <w:p w14:paraId="0E783625" w14:textId="77777777" w:rsidR="00AD309C" w:rsidRPr="00AA6144" w:rsidRDefault="00AD309C" w:rsidP="0039346B">
      <w:pPr>
        <w:pStyle w:val="AIBodyText"/>
        <w:ind w:left="357" w:right="567" w:firstLine="357"/>
        <w:rPr>
          <w:color w:val="auto"/>
          <w:lang w:val="en-CA"/>
        </w:rPr>
      </w:pPr>
      <w:r w:rsidRPr="00AA6144">
        <w:rPr>
          <w:color w:val="auto"/>
          <w:lang w:val="en-CA"/>
        </w:rPr>
        <w:t>(</w:t>
      </w:r>
      <w:proofErr w:type="spellStart"/>
      <w:r w:rsidRPr="00AA6144">
        <w:rPr>
          <w:color w:val="auto"/>
          <w:lang w:val="en-CA"/>
        </w:rPr>
        <w:t>i</w:t>
      </w:r>
      <w:proofErr w:type="spellEnd"/>
      <w:r w:rsidRPr="00AA6144">
        <w:rPr>
          <w:color w:val="auto"/>
          <w:lang w:val="en-CA"/>
        </w:rPr>
        <w:t xml:space="preserve">) obtaining from the person or from a third person information or a statement, </w:t>
      </w:r>
    </w:p>
    <w:p w14:paraId="34C1F56B" w14:textId="77777777" w:rsidR="00AD309C" w:rsidRPr="00AA6144" w:rsidRDefault="00AD309C" w:rsidP="0039346B">
      <w:pPr>
        <w:pStyle w:val="AIBodyText"/>
        <w:ind w:left="714" w:right="567"/>
        <w:rPr>
          <w:color w:val="auto"/>
          <w:lang w:val="en-CA"/>
        </w:rPr>
      </w:pPr>
      <w:r w:rsidRPr="00AA6144">
        <w:rPr>
          <w:color w:val="auto"/>
          <w:lang w:val="en-CA"/>
        </w:rPr>
        <w:t xml:space="preserve">(ii) punishing the person for an act that the person or a third person has committed or is suspected of having committed, and </w:t>
      </w:r>
    </w:p>
    <w:p w14:paraId="0FF0EAC2" w14:textId="77777777" w:rsidR="00AD309C" w:rsidRPr="00AA6144" w:rsidRDefault="00AD309C" w:rsidP="0039346B">
      <w:pPr>
        <w:pStyle w:val="AIBodyText"/>
        <w:ind w:left="714" w:right="567" w:firstLine="357"/>
        <w:rPr>
          <w:color w:val="auto"/>
          <w:lang w:val="en-CA"/>
        </w:rPr>
      </w:pPr>
      <w:r w:rsidRPr="00AA6144">
        <w:rPr>
          <w:color w:val="auto"/>
          <w:lang w:val="en-CA"/>
        </w:rPr>
        <w:t>(iii) intimidating or coercing the person or a third person, or</w:t>
      </w:r>
    </w:p>
    <w:p w14:paraId="286AC2A2" w14:textId="77777777" w:rsidR="00E61233" w:rsidRPr="00AA6144" w:rsidRDefault="00AD309C" w:rsidP="0039346B">
      <w:pPr>
        <w:pStyle w:val="AIBodyText"/>
        <w:ind w:left="714" w:right="567"/>
        <w:rPr>
          <w:color w:val="auto"/>
          <w:lang w:val="en-CA"/>
        </w:rPr>
      </w:pPr>
      <w:r w:rsidRPr="00AA6144">
        <w:rPr>
          <w:color w:val="auto"/>
          <w:lang w:val="en-CA"/>
        </w:rPr>
        <w:t>(</w:t>
      </w:r>
      <w:r w:rsidRPr="00AA6144">
        <w:rPr>
          <w:i/>
          <w:iCs/>
          <w:color w:val="auto"/>
          <w:lang w:val="en-CA"/>
        </w:rPr>
        <w:t>b</w:t>
      </w:r>
      <w:r w:rsidRPr="00AA6144">
        <w:rPr>
          <w:color w:val="auto"/>
          <w:lang w:val="en-CA"/>
        </w:rPr>
        <w:t xml:space="preserve">) for any reason based on discrimination of any </w:t>
      </w:r>
      <w:proofErr w:type="gramStart"/>
      <w:r w:rsidRPr="00AA6144">
        <w:rPr>
          <w:color w:val="auto"/>
          <w:lang w:val="en-CA"/>
        </w:rPr>
        <w:t>kind, but</w:t>
      </w:r>
      <w:proofErr w:type="gramEnd"/>
      <w:r w:rsidRPr="00AA6144">
        <w:rPr>
          <w:color w:val="auto"/>
          <w:lang w:val="en-CA"/>
        </w:rPr>
        <w:t xml:space="preserve"> does not include any act or omission arising only from, inherent in or incidental to lawful sanctions.</w:t>
      </w:r>
      <w:r w:rsidR="007F6B6F" w:rsidRPr="00AA6144">
        <w:rPr>
          <w:rStyle w:val="FootnoteReference"/>
          <w:color w:val="auto"/>
          <w:lang w:val="en-CA"/>
        </w:rPr>
        <w:footnoteReference w:id="258"/>
      </w:r>
    </w:p>
    <w:p w14:paraId="22B9967F" w14:textId="77777777" w:rsidR="00032DB5" w:rsidRPr="00AA6144" w:rsidRDefault="00032DB5" w:rsidP="00F366BE">
      <w:pPr>
        <w:pStyle w:val="AIBodyText"/>
        <w:rPr>
          <w:color w:val="auto"/>
          <w:lang w:val="en-CA"/>
        </w:rPr>
      </w:pPr>
      <w:r w:rsidRPr="00AA6144">
        <w:rPr>
          <w:color w:val="auto"/>
          <w:lang w:val="en-CA"/>
        </w:rPr>
        <w:t xml:space="preserve">According to </w:t>
      </w:r>
      <w:r w:rsidR="00954926" w:rsidRPr="00AA6144">
        <w:rPr>
          <w:color w:val="auto"/>
          <w:lang w:val="en-CA"/>
        </w:rPr>
        <w:t>S</w:t>
      </w:r>
      <w:r w:rsidRPr="00AA6144">
        <w:rPr>
          <w:color w:val="auto"/>
          <w:lang w:val="en-CA"/>
        </w:rPr>
        <w:t xml:space="preserve">ection 7(3.7) of the </w:t>
      </w:r>
      <w:r w:rsidRPr="00AA6144">
        <w:rPr>
          <w:i/>
          <w:color w:val="auto"/>
          <w:lang w:val="en-CA"/>
        </w:rPr>
        <w:t>Criminal Code</w:t>
      </w:r>
      <w:r w:rsidRPr="00AA6144">
        <w:rPr>
          <w:color w:val="auto"/>
          <w:lang w:val="en-CA"/>
        </w:rPr>
        <w:t>, Canada may exercise universal jurisdiction over the crime of torture</w:t>
      </w:r>
      <w:r w:rsidR="00B93CBC" w:rsidRPr="00AA6144">
        <w:rPr>
          <w:color w:val="auto"/>
          <w:lang w:val="en-CA"/>
        </w:rPr>
        <w:t>.</w:t>
      </w:r>
    </w:p>
    <w:p w14:paraId="5024DC85" w14:textId="77777777" w:rsidR="003D7546" w:rsidRPr="00AA6144" w:rsidRDefault="00032DB5" w:rsidP="00F366BE">
      <w:pPr>
        <w:pStyle w:val="AIBodyText"/>
        <w:rPr>
          <w:color w:val="auto"/>
          <w:lang w:val="en-CA"/>
        </w:rPr>
      </w:pPr>
      <w:r w:rsidRPr="00AA6144">
        <w:rPr>
          <w:color w:val="auto"/>
          <w:szCs w:val="18"/>
          <w:lang w:val="en-CA"/>
        </w:rPr>
        <w:t>Canada can also exercise universal jurisdiction</w:t>
      </w:r>
      <w:r w:rsidR="000C265C" w:rsidRPr="00AA6144">
        <w:rPr>
          <w:color w:val="auto"/>
          <w:szCs w:val="18"/>
          <w:lang w:val="en-CA"/>
        </w:rPr>
        <w:t xml:space="preserve"> over</w:t>
      </w:r>
      <w:r w:rsidR="002E2D9E" w:rsidRPr="00AA6144">
        <w:rPr>
          <w:color w:val="auto"/>
          <w:szCs w:val="18"/>
          <w:lang w:val="en-CA"/>
        </w:rPr>
        <w:t xml:space="preserve"> torture as</w:t>
      </w:r>
      <w:r w:rsidR="005D5B15" w:rsidRPr="00AA6144">
        <w:rPr>
          <w:color w:val="auto"/>
          <w:szCs w:val="18"/>
          <w:lang w:val="en-CA"/>
        </w:rPr>
        <w:t xml:space="preserve"> </w:t>
      </w:r>
      <w:r w:rsidR="00F366BE" w:rsidRPr="00AA6144">
        <w:rPr>
          <w:color w:val="auto"/>
          <w:lang w:val="en-CA"/>
        </w:rPr>
        <w:t>both a crime aga</w:t>
      </w:r>
      <w:r w:rsidRPr="00AA6144">
        <w:rPr>
          <w:color w:val="auto"/>
          <w:lang w:val="en-CA"/>
        </w:rPr>
        <w:t>inst humanity and a war crime under</w:t>
      </w:r>
      <w:r w:rsidR="00F366BE" w:rsidRPr="00AA6144">
        <w:rPr>
          <w:color w:val="auto"/>
          <w:lang w:val="en-CA"/>
        </w:rPr>
        <w:t xml:space="preserve"> the </w:t>
      </w:r>
      <w:r w:rsidR="00F366BE" w:rsidRPr="00AA6144">
        <w:rPr>
          <w:i/>
          <w:color w:val="auto"/>
          <w:lang w:val="en-CA"/>
        </w:rPr>
        <w:t>Crimes Against Humanity and War Crimes Act</w:t>
      </w:r>
      <w:r w:rsidR="00F366BE" w:rsidRPr="00AA6144">
        <w:rPr>
          <w:color w:val="auto"/>
          <w:lang w:val="en-CA"/>
        </w:rPr>
        <w:t>.</w:t>
      </w:r>
      <w:r w:rsidR="00B93CBC" w:rsidRPr="00AA6144">
        <w:rPr>
          <w:rStyle w:val="FootnoteReference"/>
          <w:color w:val="auto"/>
          <w:lang w:val="en-CA"/>
        </w:rPr>
        <w:footnoteReference w:id="259"/>
      </w:r>
      <w:r w:rsidR="00F366BE" w:rsidRPr="00AA6144">
        <w:rPr>
          <w:color w:val="auto"/>
          <w:lang w:val="en-CA"/>
        </w:rPr>
        <w:t xml:space="preserve"> </w:t>
      </w:r>
      <w:r w:rsidR="00F429AD" w:rsidRPr="00AA6144">
        <w:rPr>
          <w:color w:val="auto"/>
          <w:lang w:val="en-CA"/>
        </w:rPr>
        <w:t xml:space="preserve"> Since the </w:t>
      </w:r>
      <w:r w:rsidR="000C031F" w:rsidRPr="00AA6144">
        <w:rPr>
          <w:i/>
          <w:color w:val="auto"/>
          <w:lang w:val="en-CA"/>
        </w:rPr>
        <w:t>Crimes Against Humanity and War Crimes Act</w:t>
      </w:r>
      <w:r w:rsidR="000C031F" w:rsidRPr="00AA6144" w:rsidDel="000C031F">
        <w:rPr>
          <w:i/>
          <w:color w:val="auto"/>
          <w:lang w:val="en-CA"/>
        </w:rPr>
        <w:t xml:space="preserve"> </w:t>
      </w:r>
      <w:r w:rsidR="00F429AD" w:rsidRPr="00AA6144">
        <w:rPr>
          <w:color w:val="auto"/>
          <w:lang w:val="en-CA"/>
        </w:rPr>
        <w:t>refer</w:t>
      </w:r>
      <w:r w:rsidR="0095086F" w:rsidRPr="00AA6144">
        <w:rPr>
          <w:color w:val="auto"/>
          <w:lang w:val="en-CA"/>
        </w:rPr>
        <w:t>s</w:t>
      </w:r>
      <w:r w:rsidR="00F429AD" w:rsidRPr="00AA6144">
        <w:rPr>
          <w:color w:val="auto"/>
          <w:lang w:val="en-CA"/>
        </w:rPr>
        <w:t xml:space="preserve"> to the these crimes </w:t>
      </w:r>
      <w:r w:rsidR="0095086F" w:rsidRPr="00AA6144">
        <w:rPr>
          <w:color w:val="auto"/>
          <w:lang w:val="en-CA"/>
        </w:rPr>
        <w:t>as</w:t>
      </w:r>
      <w:r w:rsidR="00ED4C97" w:rsidRPr="00AA6144">
        <w:rPr>
          <w:color w:val="auto"/>
          <w:lang w:val="en-CA"/>
        </w:rPr>
        <w:t xml:space="preserve"> they are</w:t>
      </w:r>
      <w:r w:rsidR="0095086F" w:rsidRPr="00AA6144">
        <w:rPr>
          <w:color w:val="auto"/>
          <w:lang w:val="en-CA"/>
        </w:rPr>
        <w:t xml:space="preserve"> defined </w:t>
      </w:r>
      <w:r w:rsidR="00F429AD" w:rsidRPr="00AA6144">
        <w:rPr>
          <w:color w:val="auto"/>
          <w:lang w:val="en-CA"/>
        </w:rPr>
        <w:t xml:space="preserve">under customary international law and </w:t>
      </w:r>
      <w:r w:rsidR="000C031F" w:rsidRPr="00AA6144">
        <w:rPr>
          <w:color w:val="auto"/>
          <w:lang w:val="en-CA"/>
        </w:rPr>
        <w:t>cites</w:t>
      </w:r>
      <w:r w:rsidR="00F429AD" w:rsidRPr="00AA6144">
        <w:rPr>
          <w:color w:val="auto"/>
          <w:lang w:val="en-CA"/>
        </w:rPr>
        <w:t xml:space="preserve"> the </w:t>
      </w:r>
      <w:r w:rsidR="005C5FF0" w:rsidRPr="00AA6144">
        <w:rPr>
          <w:color w:val="auto"/>
          <w:lang w:val="en-CA"/>
        </w:rPr>
        <w:t>Rome Statute</w:t>
      </w:r>
      <w:r w:rsidR="00F429AD" w:rsidRPr="00AA6144">
        <w:rPr>
          <w:color w:val="auto"/>
          <w:lang w:val="en-CA"/>
        </w:rPr>
        <w:t xml:space="preserve"> as constitutive of custom, </w:t>
      </w:r>
      <w:r w:rsidR="000C031F" w:rsidRPr="00AA6144">
        <w:rPr>
          <w:color w:val="auto"/>
          <w:lang w:val="en-CA"/>
        </w:rPr>
        <w:t xml:space="preserve">its </w:t>
      </w:r>
      <w:r w:rsidR="00F429AD" w:rsidRPr="00AA6144">
        <w:rPr>
          <w:color w:val="auto"/>
          <w:lang w:val="en-CA"/>
        </w:rPr>
        <w:t>definition differ</w:t>
      </w:r>
      <w:r w:rsidR="000C031F" w:rsidRPr="00AA6144">
        <w:rPr>
          <w:color w:val="auto"/>
          <w:lang w:val="en-CA"/>
        </w:rPr>
        <w:t>s</w:t>
      </w:r>
      <w:r w:rsidR="00F429AD" w:rsidRPr="00AA6144">
        <w:rPr>
          <w:color w:val="auto"/>
          <w:lang w:val="en-CA"/>
        </w:rPr>
        <w:t xml:space="preserve"> from </w:t>
      </w:r>
      <w:r w:rsidR="000C031F" w:rsidRPr="00AA6144">
        <w:rPr>
          <w:color w:val="auto"/>
          <w:lang w:val="en-CA"/>
        </w:rPr>
        <w:t>the</w:t>
      </w:r>
      <w:r w:rsidR="00F429AD" w:rsidRPr="00AA6144">
        <w:rPr>
          <w:color w:val="auto"/>
          <w:lang w:val="en-CA"/>
        </w:rPr>
        <w:t xml:space="preserve"> one adopted in the </w:t>
      </w:r>
      <w:r w:rsidR="00F429AD" w:rsidRPr="00AA6144">
        <w:rPr>
          <w:i/>
          <w:color w:val="auto"/>
          <w:lang w:val="en-CA"/>
        </w:rPr>
        <w:t>Criminal Code</w:t>
      </w:r>
      <w:r w:rsidR="00F429AD" w:rsidRPr="00AA6144">
        <w:rPr>
          <w:color w:val="auto"/>
          <w:lang w:val="en-CA"/>
        </w:rPr>
        <w:t>.</w:t>
      </w:r>
      <w:r w:rsidR="00F429AD" w:rsidRPr="00AA6144">
        <w:rPr>
          <w:rStyle w:val="FootnoteReference"/>
          <w:color w:val="auto"/>
          <w:lang w:val="en-CA"/>
        </w:rPr>
        <w:footnoteReference w:id="260"/>
      </w:r>
      <w:r w:rsidR="00F429AD" w:rsidRPr="00AA6144">
        <w:rPr>
          <w:color w:val="auto"/>
          <w:lang w:val="en-CA"/>
        </w:rPr>
        <w:t xml:space="preserve"> </w:t>
      </w:r>
    </w:p>
    <w:p w14:paraId="44CF5137" w14:textId="15AE1AFC" w:rsidR="00E57056" w:rsidRPr="00AA6144" w:rsidRDefault="00EF3CB5" w:rsidP="00F366BE">
      <w:pPr>
        <w:pStyle w:val="AIBodyText"/>
        <w:rPr>
          <w:color w:val="auto"/>
          <w:lang w:val="en-CA"/>
        </w:rPr>
      </w:pPr>
      <w:r w:rsidRPr="00AA6144">
        <w:rPr>
          <w:lang w:val="en-CA"/>
        </w:rPr>
        <w:t>The disadvantage of using</w:t>
      </w:r>
      <w:r w:rsidR="00813569">
        <w:rPr>
          <w:lang w:val="en-CA"/>
        </w:rPr>
        <w:t xml:space="preserve"> </w:t>
      </w:r>
      <w:r w:rsidRPr="00AA6144">
        <w:rPr>
          <w:lang w:val="en-CA"/>
        </w:rPr>
        <w:t xml:space="preserve">crimes against </w:t>
      </w:r>
      <w:r w:rsidR="00356084">
        <w:rPr>
          <w:lang w:val="en-CA"/>
        </w:rPr>
        <w:t xml:space="preserve">humanity </w:t>
      </w:r>
      <w:r w:rsidRPr="00AA6144">
        <w:rPr>
          <w:lang w:val="en-CA"/>
        </w:rPr>
        <w:t>or war crimes compared to th</w:t>
      </w:r>
      <w:r w:rsidR="00813569">
        <w:rPr>
          <w:lang w:val="en-CA"/>
        </w:rPr>
        <w:t>e</w:t>
      </w:r>
      <w:r w:rsidRPr="00AA6144">
        <w:rPr>
          <w:lang w:val="en-CA"/>
        </w:rPr>
        <w:t xml:space="preserve"> specific crime of torture is that for the former </w:t>
      </w:r>
      <w:r w:rsidR="00813569">
        <w:rPr>
          <w:lang w:val="en-CA"/>
        </w:rPr>
        <w:t>have</w:t>
      </w:r>
      <w:r w:rsidRPr="00AA6144">
        <w:rPr>
          <w:lang w:val="en-CA"/>
        </w:rPr>
        <w:t xml:space="preserve"> chapeau elements (systematic or widespread for crimes against humanity and the occurrence of an armed conflict for a war crime)</w:t>
      </w:r>
      <w:r w:rsidR="00813569">
        <w:rPr>
          <w:lang w:val="en-CA"/>
        </w:rPr>
        <w:t>. O</w:t>
      </w:r>
      <w:r w:rsidRPr="00AA6144">
        <w:rPr>
          <w:lang w:val="en-CA"/>
        </w:rPr>
        <w:t xml:space="preserve">n the other hand, </w:t>
      </w:r>
      <w:r w:rsidR="00813569">
        <w:rPr>
          <w:lang w:val="en-CA"/>
        </w:rPr>
        <w:t xml:space="preserve">the crimes under </w:t>
      </w:r>
      <w:r w:rsidRPr="00AA6144">
        <w:rPr>
          <w:lang w:val="en-CA"/>
        </w:rPr>
        <w:t xml:space="preserve">international </w:t>
      </w:r>
      <w:r w:rsidR="00813569">
        <w:rPr>
          <w:lang w:val="en-CA"/>
        </w:rPr>
        <w:t>law</w:t>
      </w:r>
      <w:r w:rsidRPr="00AA6144">
        <w:rPr>
          <w:lang w:val="en-CA"/>
        </w:rPr>
        <w:t xml:space="preserve"> are easier to prove as the purpose elements necessary for the crime of torture have been removed in the international jurisprudence as well as the </w:t>
      </w:r>
      <w:r w:rsidRPr="00813569">
        <w:rPr>
          <w:i/>
          <w:iCs/>
          <w:lang w:val="en-CA"/>
        </w:rPr>
        <w:t>Rome Statute</w:t>
      </w:r>
      <w:r w:rsidRPr="00AA6144">
        <w:rPr>
          <w:lang w:val="en-CA"/>
        </w:rPr>
        <w:t>.</w:t>
      </w:r>
      <w:r w:rsidRPr="00AA6144">
        <w:rPr>
          <w:rStyle w:val="FootnoteReference"/>
          <w:lang w:val="en-CA"/>
        </w:rPr>
        <w:footnoteReference w:id="261"/>
      </w:r>
    </w:p>
    <w:p w14:paraId="606B84F8" w14:textId="77777777" w:rsidR="00E57056" w:rsidRPr="00AA6144" w:rsidRDefault="00E57056" w:rsidP="00E57056">
      <w:pPr>
        <w:pStyle w:val="Heading3"/>
        <w:rPr>
          <w:color w:val="auto"/>
          <w:lang w:val="en-CA"/>
        </w:rPr>
      </w:pPr>
      <w:bookmarkStart w:id="110" w:name="_Toc193798659"/>
      <w:bookmarkStart w:id="111" w:name="_Toc220954457"/>
      <w:bookmarkStart w:id="112" w:name="_Toc43382739"/>
      <w:r w:rsidRPr="00AA6144">
        <w:rPr>
          <w:color w:val="auto"/>
          <w:lang w:val="en-CA"/>
        </w:rPr>
        <w:t>4.3.5. Extrajudicial executions</w:t>
      </w:r>
      <w:bookmarkEnd w:id="110"/>
      <w:bookmarkEnd w:id="111"/>
      <w:bookmarkEnd w:id="112"/>
      <w:r w:rsidRPr="00AA6144">
        <w:rPr>
          <w:color w:val="auto"/>
          <w:lang w:val="en-CA"/>
        </w:rPr>
        <w:t xml:space="preserve"> </w:t>
      </w:r>
      <w:r w:rsidRPr="00AA6144">
        <w:rPr>
          <w:color w:val="auto"/>
          <w:lang w:val="en-CA"/>
        </w:rPr>
        <w:tab/>
      </w:r>
    </w:p>
    <w:p w14:paraId="17D8FDB4" w14:textId="77777777" w:rsidR="00437A3D" w:rsidRPr="00AA6144" w:rsidRDefault="00437A3D" w:rsidP="00437A3D">
      <w:pPr>
        <w:spacing w:after="0"/>
        <w:rPr>
          <w:lang w:val="en-CA"/>
        </w:rPr>
      </w:pPr>
    </w:p>
    <w:p w14:paraId="7A89B389" w14:textId="77777777" w:rsidR="00A34589" w:rsidRPr="00AA6144" w:rsidRDefault="00E57056" w:rsidP="00A34589">
      <w:pPr>
        <w:pStyle w:val="AIBodyText"/>
        <w:rPr>
          <w:rFonts w:eastAsia="SimSun" w:cs="AmnestyTradeGothic"/>
          <w:color w:val="auto"/>
          <w:szCs w:val="18"/>
          <w:lang w:val="en-CA" w:eastAsia="zh-CN"/>
        </w:rPr>
      </w:pPr>
      <w:r w:rsidRPr="00AA6144">
        <w:rPr>
          <w:color w:val="auto"/>
          <w:lang w:val="en-CA"/>
        </w:rPr>
        <w:t xml:space="preserve">Extrajudicial executions, which are </w:t>
      </w:r>
      <w:r w:rsidR="00584277" w:rsidRPr="00AA6144">
        <w:rPr>
          <w:color w:val="auto"/>
          <w:lang w:val="en-CA"/>
        </w:rPr>
        <w:t>“</w:t>
      </w:r>
      <w:r w:rsidRPr="00AA6144">
        <w:rPr>
          <w:color w:val="auto"/>
          <w:lang w:val="en-CA"/>
        </w:rPr>
        <w:t>unlawful and deliberate killings, carried out by order of a government or with its complicity or acquiescence</w:t>
      </w:r>
      <w:r w:rsidR="00584277" w:rsidRPr="00AA6144">
        <w:rPr>
          <w:color w:val="auto"/>
          <w:lang w:val="en-CA"/>
        </w:rPr>
        <w:t>”</w:t>
      </w:r>
      <w:r w:rsidRPr="00AA6144">
        <w:rPr>
          <w:color w:val="auto"/>
          <w:lang w:val="en-CA"/>
        </w:rPr>
        <w:t xml:space="preserve">, constitute </w:t>
      </w:r>
      <w:r w:rsidR="00584277" w:rsidRPr="00AA6144">
        <w:rPr>
          <w:color w:val="auto"/>
          <w:lang w:val="en-CA"/>
        </w:rPr>
        <w:t>“</w:t>
      </w:r>
      <w:r w:rsidRPr="00AA6144">
        <w:rPr>
          <w:color w:val="auto"/>
          <w:lang w:val="en-CA"/>
        </w:rPr>
        <w:t>fundamental violations of human rights and an affront to the conscience of humanity</w:t>
      </w:r>
      <w:r w:rsidR="00584277" w:rsidRPr="00AA6144">
        <w:rPr>
          <w:color w:val="auto"/>
          <w:lang w:val="en-CA"/>
        </w:rPr>
        <w:t>”</w:t>
      </w:r>
      <w:r w:rsidRPr="00AA6144">
        <w:rPr>
          <w:color w:val="auto"/>
          <w:lang w:val="en-CA"/>
        </w:rPr>
        <w:t>.</w:t>
      </w:r>
      <w:r w:rsidRPr="00AA6144">
        <w:rPr>
          <w:rStyle w:val="FootnoteReference"/>
          <w:color w:val="auto"/>
          <w:lang w:val="en-CA"/>
        </w:rPr>
        <w:footnoteReference w:id="262"/>
      </w:r>
      <w:r w:rsidRPr="00AA6144">
        <w:rPr>
          <w:rStyle w:val="FootnoteReference"/>
          <w:color w:val="auto"/>
          <w:lang w:val="en-CA"/>
        </w:rPr>
        <w:t xml:space="preserve"> </w:t>
      </w:r>
      <w:r w:rsidRPr="00AA6144">
        <w:rPr>
          <w:color w:val="auto"/>
          <w:lang w:val="en-CA"/>
        </w:rPr>
        <w:t xml:space="preserve"> The UN Principles on the Effective Prevention and Investigation of Extra-legal, Arbitrary and Summary Executions make clear that </w:t>
      </w:r>
      <w:r w:rsidR="00A34589" w:rsidRPr="00AA6144">
        <w:rPr>
          <w:color w:val="auto"/>
          <w:lang w:val="en-CA"/>
        </w:rPr>
        <w:t xml:space="preserve">all </w:t>
      </w:r>
      <w:r w:rsidRPr="00AA6144">
        <w:rPr>
          <w:color w:val="auto"/>
          <w:lang w:val="en-CA"/>
        </w:rPr>
        <w:t>states</w:t>
      </w:r>
      <w:r w:rsidR="00A34589" w:rsidRPr="00AA6144">
        <w:rPr>
          <w:rFonts w:eastAsia="SimSun" w:cs="AmnestyTradeGothic"/>
          <w:color w:val="auto"/>
          <w:szCs w:val="18"/>
          <w:lang w:val="en-CA" w:eastAsia="zh-CN"/>
        </w:rPr>
        <w:t xml:space="preserve"> must ensure that all persons found in</w:t>
      </w:r>
      <w:r w:rsidR="00E25A6A" w:rsidRPr="00AA6144">
        <w:rPr>
          <w:rFonts w:eastAsia="SimSun" w:cs="AmnestyTradeGothic"/>
          <w:color w:val="auto"/>
          <w:szCs w:val="18"/>
          <w:lang w:val="en-CA" w:eastAsia="zh-CN"/>
        </w:rPr>
        <w:t xml:space="preserve"> their</w:t>
      </w:r>
      <w:r w:rsidR="00A34589" w:rsidRPr="00AA6144">
        <w:rPr>
          <w:rFonts w:eastAsia="SimSun" w:cs="AmnestyTradeGothic"/>
          <w:color w:val="auto"/>
          <w:szCs w:val="18"/>
          <w:lang w:val="en-CA" w:eastAsia="zh-CN"/>
        </w:rPr>
        <w:t xml:space="preserve"> territory</w:t>
      </w:r>
      <w:r w:rsidR="000C031F" w:rsidRPr="00AA6144">
        <w:rPr>
          <w:rFonts w:eastAsia="SimSun" w:cs="AmnestyTradeGothic"/>
          <w:color w:val="auto"/>
          <w:szCs w:val="18"/>
          <w:lang w:val="en-CA" w:eastAsia="zh-CN"/>
        </w:rPr>
        <w:t xml:space="preserve"> or</w:t>
      </w:r>
      <w:r w:rsidR="00A34589" w:rsidRPr="00AA6144">
        <w:rPr>
          <w:rFonts w:eastAsia="SimSun" w:cs="AmnestyTradeGothic"/>
          <w:color w:val="auto"/>
          <w:szCs w:val="18"/>
          <w:lang w:val="en-CA" w:eastAsia="zh-CN"/>
        </w:rPr>
        <w:t xml:space="preserve"> subject to their jurisdiction who are suspected of such crimes are either prosecuted in </w:t>
      </w:r>
      <w:r w:rsidR="005C5A4D" w:rsidRPr="00AA6144">
        <w:rPr>
          <w:rFonts w:eastAsia="SimSun" w:cs="AmnestyTradeGothic"/>
          <w:color w:val="auto"/>
          <w:szCs w:val="18"/>
          <w:lang w:val="en-CA" w:eastAsia="zh-CN"/>
        </w:rPr>
        <w:t xml:space="preserve">domestic </w:t>
      </w:r>
      <w:r w:rsidR="00A34589" w:rsidRPr="00AA6144">
        <w:rPr>
          <w:rFonts w:eastAsia="SimSun" w:cs="AmnestyTradeGothic"/>
          <w:color w:val="auto"/>
          <w:szCs w:val="18"/>
          <w:lang w:val="en-CA" w:eastAsia="zh-CN"/>
        </w:rPr>
        <w:t>courts or extradited to face trial elsewhere.</w:t>
      </w:r>
      <w:r w:rsidR="00A34589" w:rsidRPr="00AA6144">
        <w:rPr>
          <w:rStyle w:val="FootnoteReference"/>
          <w:rFonts w:eastAsia="SimSun" w:cs="AmnestyTradeGothic"/>
          <w:color w:val="auto"/>
          <w:szCs w:val="18"/>
          <w:lang w:val="en-CA" w:eastAsia="zh-CN"/>
        </w:rPr>
        <w:footnoteReference w:id="263"/>
      </w:r>
    </w:p>
    <w:p w14:paraId="0FB9841C" w14:textId="54B0069E" w:rsidR="00032DB5" w:rsidRPr="00AA6144" w:rsidRDefault="00032DB5" w:rsidP="00032DB5">
      <w:pPr>
        <w:pStyle w:val="AIBodyText"/>
        <w:rPr>
          <w:bCs/>
          <w:iCs/>
          <w:color w:val="auto"/>
          <w:lang w:val="en-CA"/>
        </w:rPr>
      </w:pPr>
      <w:r w:rsidRPr="00AA6144">
        <w:rPr>
          <w:bCs/>
          <w:color w:val="auto"/>
          <w:lang w:val="en-CA"/>
        </w:rPr>
        <w:t xml:space="preserve">Extrajudicial executions are not expressly defined as crimes under Canadian law. They could be prosecuted under the ordinary crime of murder according to section 235 of the </w:t>
      </w:r>
      <w:r w:rsidRPr="00AA6144">
        <w:rPr>
          <w:bCs/>
          <w:i/>
          <w:color w:val="auto"/>
          <w:lang w:val="en-CA"/>
        </w:rPr>
        <w:t>Criminal</w:t>
      </w:r>
      <w:r w:rsidRPr="00AA6144">
        <w:rPr>
          <w:bCs/>
          <w:color w:val="auto"/>
          <w:lang w:val="en-CA"/>
        </w:rPr>
        <w:t xml:space="preserve"> </w:t>
      </w:r>
      <w:r w:rsidRPr="00AA6144">
        <w:rPr>
          <w:bCs/>
          <w:i/>
          <w:color w:val="auto"/>
          <w:lang w:val="en-CA"/>
        </w:rPr>
        <w:t>Code</w:t>
      </w:r>
      <w:r w:rsidRPr="00AA6144">
        <w:rPr>
          <w:bCs/>
          <w:color w:val="auto"/>
          <w:lang w:val="en-CA"/>
        </w:rPr>
        <w:t xml:space="preserve"> (</w:t>
      </w:r>
      <w:r w:rsidR="005A2871" w:rsidRPr="00AA6144">
        <w:rPr>
          <w:bCs/>
          <w:color w:val="auto"/>
          <w:lang w:val="en-CA"/>
        </w:rPr>
        <w:t>though</w:t>
      </w:r>
      <w:r w:rsidRPr="00AA6144">
        <w:rPr>
          <w:bCs/>
          <w:color w:val="auto"/>
          <w:lang w:val="en-CA"/>
        </w:rPr>
        <w:t xml:space="preserve"> Canadian courts cannot exercise universal jurisdiction over the ordinary crime of murder)</w:t>
      </w:r>
      <w:r w:rsidR="006B0CEA" w:rsidRPr="00AA6144">
        <w:rPr>
          <w:bCs/>
          <w:color w:val="auto"/>
          <w:lang w:val="en-CA"/>
        </w:rPr>
        <w:t>. Extrajudicial executions can also be prosecuted</w:t>
      </w:r>
      <w:r w:rsidR="00DC7AFD" w:rsidRPr="00AA6144">
        <w:rPr>
          <w:bCs/>
          <w:color w:val="auto"/>
          <w:lang w:val="en-CA"/>
        </w:rPr>
        <w:t>,</w:t>
      </w:r>
      <w:r w:rsidRPr="00AA6144">
        <w:rPr>
          <w:bCs/>
          <w:color w:val="auto"/>
          <w:lang w:val="en-CA"/>
        </w:rPr>
        <w:t xml:space="preserve"> if committed during an international armed conflict, as a grave breach of the Geneva Conventions, either under the </w:t>
      </w:r>
      <w:r w:rsidRPr="00AA6144">
        <w:rPr>
          <w:bCs/>
          <w:i/>
          <w:iCs/>
          <w:color w:val="auto"/>
          <w:lang w:val="en-CA"/>
        </w:rPr>
        <w:t>Crimes Against Humanity and War Crimes Act</w:t>
      </w:r>
      <w:r w:rsidRPr="00AA6144">
        <w:rPr>
          <w:bCs/>
          <w:color w:val="auto"/>
          <w:lang w:val="en-CA"/>
        </w:rPr>
        <w:t xml:space="preserve"> or under the </w:t>
      </w:r>
      <w:r w:rsidRPr="00AA6144">
        <w:rPr>
          <w:bCs/>
          <w:i/>
          <w:iCs/>
          <w:color w:val="auto"/>
          <w:lang w:val="en-CA"/>
        </w:rPr>
        <w:t>Geneva Conventions Act</w:t>
      </w:r>
      <w:r w:rsidRPr="00AA6144">
        <w:rPr>
          <w:bCs/>
          <w:color w:val="auto"/>
          <w:lang w:val="en-CA"/>
        </w:rPr>
        <w:t>. Extrajudicial executions could also be prosecuted as crimes against humanity</w:t>
      </w:r>
      <w:r w:rsidR="000C031F" w:rsidRPr="00AA6144">
        <w:rPr>
          <w:bCs/>
          <w:color w:val="auto"/>
          <w:lang w:val="en-CA"/>
        </w:rPr>
        <w:t xml:space="preserve"> (with </w:t>
      </w:r>
      <w:r w:rsidRPr="00AA6144">
        <w:rPr>
          <w:bCs/>
          <w:color w:val="auto"/>
          <w:lang w:val="en-CA"/>
        </w:rPr>
        <w:t xml:space="preserve">the underlying act </w:t>
      </w:r>
      <w:r w:rsidR="000C031F" w:rsidRPr="00AA6144">
        <w:rPr>
          <w:bCs/>
          <w:color w:val="auto"/>
          <w:lang w:val="en-CA"/>
        </w:rPr>
        <w:t>being</w:t>
      </w:r>
      <w:r w:rsidRPr="00AA6144">
        <w:rPr>
          <w:bCs/>
          <w:color w:val="auto"/>
          <w:lang w:val="en-CA"/>
        </w:rPr>
        <w:t xml:space="preserve"> murder</w:t>
      </w:r>
      <w:r w:rsidR="000C031F" w:rsidRPr="00AA6144">
        <w:rPr>
          <w:bCs/>
          <w:color w:val="auto"/>
          <w:lang w:val="en-CA"/>
        </w:rPr>
        <w:t>)</w:t>
      </w:r>
      <w:r w:rsidRPr="00AA6144">
        <w:rPr>
          <w:bCs/>
          <w:color w:val="auto"/>
          <w:lang w:val="en-CA"/>
        </w:rPr>
        <w:t xml:space="preserve">, or as genocide according to the </w:t>
      </w:r>
      <w:r w:rsidRPr="00AA6144">
        <w:rPr>
          <w:bCs/>
          <w:i/>
          <w:iCs/>
          <w:color w:val="auto"/>
          <w:lang w:val="en-CA"/>
        </w:rPr>
        <w:t>Crimes Against Humanity and War Crimes Act</w:t>
      </w:r>
      <w:r w:rsidRPr="00AA6144">
        <w:rPr>
          <w:bCs/>
          <w:iCs/>
          <w:color w:val="auto"/>
          <w:lang w:val="en-CA"/>
        </w:rPr>
        <w:t>.</w:t>
      </w:r>
      <w:r w:rsidRPr="00AA6144">
        <w:rPr>
          <w:bCs/>
          <w:iCs/>
          <w:color w:val="auto"/>
          <w:vertAlign w:val="superscript"/>
          <w:lang w:val="en-CA"/>
        </w:rPr>
        <w:footnoteReference w:id="264"/>
      </w:r>
      <w:r w:rsidR="00E811F8" w:rsidRPr="00AA6144">
        <w:rPr>
          <w:lang w:val="en-CA"/>
        </w:rPr>
        <w:t xml:space="preserve">As in the case of torture, the disadvantage of using crimes against </w:t>
      </w:r>
      <w:r w:rsidR="00613612">
        <w:rPr>
          <w:lang w:val="en-CA"/>
        </w:rPr>
        <w:t xml:space="preserve">humanity </w:t>
      </w:r>
      <w:r w:rsidR="00E811F8" w:rsidRPr="00AA6144">
        <w:rPr>
          <w:lang w:val="en-CA"/>
        </w:rPr>
        <w:t xml:space="preserve">or war crimes framework </w:t>
      </w:r>
      <w:r w:rsidR="00366317" w:rsidRPr="00AA6144">
        <w:rPr>
          <w:lang w:val="en-CA"/>
        </w:rPr>
        <w:t xml:space="preserve">in the case of extrajudicial executions </w:t>
      </w:r>
      <w:r w:rsidR="00E32C17" w:rsidRPr="00AA6144">
        <w:rPr>
          <w:lang w:val="en-CA"/>
        </w:rPr>
        <w:t xml:space="preserve">is </w:t>
      </w:r>
      <w:r w:rsidR="00366317" w:rsidRPr="00AA6144">
        <w:rPr>
          <w:lang w:val="en-CA"/>
        </w:rPr>
        <w:t>requirement of</w:t>
      </w:r>
      <w:r w:rsidR="00E811F8" w:rsidRPr="00AA6144">
        <w:rPr>
          <w:lang w:val="en-CA"/>
        </w:rPr>
        <w:t xml:space="preserve"> the chapeau elements</w:t>
      </w:r>
      <w:r w:rsidR="00E6166A" w:rsidRPr="00AA6144">
        <w:rPr>
          <w:lang w:val="en-CA"/>
        </w:rPr>
        <w:t xml:space="preserve">, </w:t>
      </w:r>
      <w:r w:rsidR="003766F6" w:rsidRPr="00AA6144">
        <w:rPr>
          <w:lang w:val="en-CA"/>
        </w:rPr>
        <w:t>whereas</w:t>
      </w:r>
      <w:r w:rsidR="00E811F8" w:rsidRPr="00AA6144">
        <w:rPr>
          <w:lang w:val="en-CA"/>
        </w:rPr>
        <w:t xml:space="preserve"> </w:t>
      </w:r>
      <w:r w:rsidR="00E6166A" w:rsidRPr="00AA6144">
        <w:rPr>
          <w:lang w:val="en-CA"/>
        </w:rPr>
        <w:t xml:space="preserve">for </w:t>
      </w:r>
      <w:r w:rsidR="00813569">
        <w:rPr>
          <w:lang w:val="en-CA"/>
        </w:rPr>
        <w:t>crimes under international law</w:t>
      </w:r>
      <w:r w:rsidR="00E811F8" w:rsidRPr="00AA6144">
        <w:rPr>
          <w:lang w:val="en-CA"/>
        </w:rPr>
        <w:t xml:space="preserve"> the purpose elements necessary for the crime have been removed.</w:t>
      </w:r>
      <w:r w:rsidR="00E811F8" w:rsidRPr="00AA6144">
        <w:rPr>
          <w:rStyle w:val="FootnoteReference"/>
          <w:lang w:val="en-CA"/>
        </w:rPr>
        <w:footnoteReference w:id="265"/>
      </w:r>
    </w:p>
    <w:p w14:paraId="5B0DEB08" w14:textId="77777777" w:rsidR="00E57056" w:rsidRPr="00AA6144" w:rsidRDefault="00E57056" w:rsidP="00E57056">
      <w:pPr>
        <w:pStyle w:val="Heading3"/>
        <w:rPr>
          <w:color w:val="auto"/>
          <w:lang w:val="en-CA"/>
        </w:rPr>
      </w:pPr>
      <w:bookmarkStart w:id="113" w:name="_Toc193798660"/>
      <w:bookmarkStart w:id="114" w:name="_Toc220954458"/>
      <w:bookmarkStart w:id="115" w:name="_Toc43382740"/>
      <w:r w:rsidRPr="00AA6144">
        <w:rPr>
          <w:color w:val="auto"/>
          <w:lang w:val="en-CA"/>
        </w:rPr>
        <w:t>4.3.6. Enforced disappearance</w:t>
      </w:r>
      <w:bookmarkEnd w:id="113"/>
      <w:bookmarkEnd w:id="114"/>
      <w:bookmarkEnd w:id="115"/>
      <w:r w:rsidRPr="00AA6144">
        <w:rPr>
          <w:color w:val="auto"/>
          <w:lang w:val="en-CA"/>
        </w:rPr>
        <w:t xml:space="preserve"> </w:t>
      </w:r>
    </w:p>
    <w:p w14:paraId="3FFE68F9" w14:textId="77777777" w:rsidR="00437A3D" w:rsidRPr="00AA6144" w:rsidRDefault="00437A3D" w:rsidP="00437A3D">
      <w:pPr>
        <w:spacing w:after="0"/>
        <w:rPr>
          <w:lang w:val="en-CA"/>
        </w:rPr>
      </w:pPr>
    </w:p>
    <w:p w14:paraId="1E0DF4D9" w14:textId="0CEC3150" w:rsidR="00032DB5" w:rsidRPr="00AA6144" w:rsidRDefault="00032DB5" w:rsidP="00032DB5">
      <w:pPr>
        <w:rPr>
          <w:color w:val="auto"/>
          <w:lang w:val="en-CA"/>
        </w:rPr>
      </w:pPr>
      <w:r w:rsidRPr="00AA6144">
        <w:rPr>
          <w:color w:val="auto"/>
          <w:lang w:val="en-CA"/>
        </w:rPr>
        <w:t xml:space="preserve">Canada has </w:t>
      </w:r>
      <w:r w:rsidR="004570B5" w:rsidRPr="00AA6144">
        <w:rPr>
          <w:color w:val="auto"/>
          <w:lang w:val="en-CA"/>
        </w:rPr>
        <w:t xml:space="preserve">neither signed nor ratified </w:t>
      </w:r>
      <w:r w:rsidRPr="00AA6144">
        <w:rPr>
          <w:color w:val="auto"/>
          <w:lang w:val="en-CA"/>
        </w:rPr>
        <w:t xml:space="preserve">the 2006 </w:t>
      </w:r>
      <w:r w:rsidRPr="00AA6144">
        <w:rPr>
          <w:i/>
          <w:color w:val="auto"/>
          <w:lang w:val="en-CA"/>
        </w:rPr>
        <w:t>International Convention for the Protection of All Persons from Enforced Disappearance</w:t>
      </w:r>
      <w:r w:rsidRPr="00AA6144">
        <w:rPr>
          <w:color w:val="auto"/>
          <w:lang w:val="en-CA"/>
        </w:rPr>
        <w:t xml:space="preserve"> (‘‘Disappearance Convention’’).</w:t>
      </w:r>
      <w:r w:rsidRPr="00AA6144">
        <w:rPr>
          <w:color w:val="auto"/>
          <w:vertAlign w:val="superscript"/>
          <w:lang w:val="en-CA"/>
        </w:rPr>
        <w:footnoteReference w:id="266"/>
      </w:r>
      <w:r w:rsidRPr="00AA6144">
        <w:rPr>
          <w:color w:val="auto"/>
          <w:lang w:val="en-CA"/>
        </w:rPr>
        <w:t xml:space="preserve"> This treaty requires states parties to define enforced disappearance as a crime under national law (Art</w:t>
      </w:r>
      <w:r w:rsidR="00A724FF" w:rsidRPr="00AA6144">
        <w:rPr>
          <w:color w:val="auto"/>
          <w:lang w:val="en-CA"/>
        </w:rPr>
        <w:t>icles</w:t>
      </w:r>
      <w:r w:rsidR="00CB6672">
        <w:rPr>
          <w:color w:val="auto"/>
          <w:lang w:val="en-CA"/>
        </w:rPr>
        <w:t xml:space="preserve"> 2 and </w:t>
      </w:r>
      <w:r w:rsidRPr="00AA6144">
        <w:rPr>
          <w:color w:val="auto"/>
          <w:lang w:val="en-CA"/>
        </w:rPr>
        <w:t>3</w:t>
      </w:r>
      <w:r w:rsidR="00CB6672">
        <w:rPr>
          <w:color w:val="auto"/>
          <w:lang w:val="en-CA"/>
        </w:rPr>
        <w:t>)</w:t>
      </w:r>
      <w:r w:rsidR="00A724FF" w:rsidRPr="00AA6144">
        <w:rPr>
          <w:color w:val="auto"/>
          <w:lang w:val="en-CA"/>
        </w:rPr>
        <w:t>;</w:t>
      </w:r>
      <w:r w:rsidRPr="00AA6144">
        <w:rPr>
          <w:color w:val="auto"/>
          <w:vertAlign w:val="superscript"/>
          <w:lang w:val="en-CA"/>
        </w:rPr>
        <w:footnoteReference w:id="267"/>
      </w:r>
      <w:r w:rsidRPr="00AA6144">
        <w:rPr>
          <w:color w:val="auto"/>
          <w:lang w:val="en-CA"/>
        </w:rPr>
        <w:t xml:space="preserve"> to establish jurisdiction over persons suspected of enforced disappearance </w:t>
      </w:r>
      <w:r w:rsidR="00C756AE" w:rsidRPr="00AA6144">
        <w:rPr>
          <w:color w:val="auto"/>
          <w:lang w:val="en-CA"/>
        </w:rPr>
        <w:t xml:space="preserve">present in any territory under its jurisdiction, unless it extradites or surrenders him or her to another State in accordance with its international obligations or surrenders him or her to an international criminal tribunal whose jurisdiction it has recognized. </w:t>
      </w:r>
      <w:r w:rsidRPr="00AA6144">
        <w:rPr>
          <w:color w:val="auto"/>
          <w:lang w:val="en-CA"/>
        </w:rPr>
        <w:t>(Art</w:t>
      </w:r>
      <w:r w:rsidR="00A724FF" w:rsidRPr="00AA6144">
        <w:rPr>
          <w:color w:val="auto"/>
          <w:lang w:val="en-CA"/>
        </w:rPr>
        <w:t xml:space="preserve">icle </w:t>
      </w:r>
      <w:r w:rsidRPr="00AA6144">
        <w:rPr>
          <w:color w:val="auto"/>
          <w:lang w:val="en-CA"/>
        </w:rPr>
        <w:t>9(2))</w:t>
      </w:r>
      <w:r w:rsidR="00A724FF" w:rsidRPr="00AA6144">
        <w:rPr>
          <w:color w:val="auto"/>
          <w:lang w:val="en-CA"/>
        </w:rPr>
        <w:t>;</w:t>
      </w:r>
      <w:r w:rsidRPr="00AA6144">
        <w:rPr>
          <w:color w:val="auto"/>
          <w:lang w:val="en-CA"/>
        </w:rPr>
        <w:t xml:space="preserve"> to take measures to ensure presence for prosecution or extradition (Art</w:t>
      </w:r>
      <w:r w:rsidR="00A724FF" w:rsidRPr="00AA6144">
        <w:rPr>
          <w:color w:val="auto"/>
          <w:lang w:val="en-CA"/>
        </w:rPr>
        <w:t>icles</w:t>
      </w:r>
      <w:r w:rsidRPr="00AA6144">
        <w:rPr>
          <w:color w:val="auto"/>
          <w:lang w:val="en-CA"/>
        </w:rPr>
        <w:t xml:space="preserve">10(1) and </w:t>
      </w:r>
      <w:r w:rsidR="00A724FF" w:rsidRPr="00AA6144">
        <w:rPr>
          <w:color w:val="auto"/>
          <w:lang w:val="en-CA"/>
        </w:rPr>
        <w:t>10</w:t>
      </w:r>
      <w:r w:rsidRPr="00AA6144">
        <w:rPr>
          <w:color w:val="auto"/>
          <w:lang w:val="en-CA"/>
        </w:rPr>
        <w:t>(2))</w:t>
      </w:r>
      <w:r w:rsidR="00A724FF" w:rsidRPr="00AA6144">
        <w:rPr>
          <w:color w:val="auto"/>
          <w:lang w:val="en-CA"/>
        </w:rPr>
        <w:t>;</w:t>
      </w:r>
      <w:r w:rsidRPr="00AA6144">
        <w:rPr>
          <w:color w:val="auto"/>
          <w:lang w:val="en-CA"/>
        </w:rPr>
        <w:t xml:space="preserve"> and to submit the case to the competent authorities if </w:t>
      </w:r>
      <w:r w:rsidR="00A724FF" w:rsidRPr="00AA6144">
        <w:rPr>
          <w:color w:val="auto"/>
          <w:lang w:val="en-CA"/>
        </w:rPr>
        <w:t>the person is</w:t>
      </w:r>
      <w:r w:rsidRPr="00AA6144">
        <w:rPr>
          <w:color w:val="auto"/>
          <w:lang w:val="en-CA"/>
        </w:rPr>
        <w:t xml:space="preserve"> not extradited (Art</w:t>
      </w:r>
      <w:r w:rsidR="00A724FF" w:rsidRPr="00AA6144">
        <w:rPr>
          <w:color w:val="auto"/>
          <w:lang w:val="en-CA"/>
        </w:rPr>
        <w:t>icle</w:t>
      </w:r>
      <w:r w:rsidRPr="00AA6144">
        <w:rPr>
          <w:color w:val="auto"/>
          <w:lang w:val="en-CA"/>
        </w:rPr>
        <w:t xml:space="preserve"> 11(1)). </w:t>
      </w:r>
    </w:p>
    <w:p w14:paraId="1876DAE3" w14:textId="77777777" w:rsidR="0061583F" w:rsidRPr="00AA6144" w:rsidRDefault="00947987" w:rsidP="0061583F">
      <w:pPr>
        <w:rPr>
          <w:color w:val="auto"/>
          <w:szCs w:val="18"/>
          <w:lang w:val="en-CA"/>
        </w:rPr>
      </w:pPr>
      <w:r w:rsidRPr="00AA6144">
        <w:rPr>
          <w:color w:val="auto"/>
          <w:szCs w:val="18"/>
          <w:lang w:val="en-CA"/>
        </w:rPr>
        <w:t>In addition</w:t>
      </w:r>
      <w:r w:rsidR="0061583F" w:rsidRPr="00AA6144">
        <w:rPr>
          <w:color w:val="auto"/>
          <w:szCs w:val="18"/>
          <w:lang w:val="en-CA"/>
        </w:rPr>
        <w:t>, Article 7(1)(</w:t>
      </w:r>
      <w:proofErr w:type="spellStart"/>
      <w:r w:rsidR="0061583F" w:rsidRPr="00AA6144">
        <w:rPr>
          <w:color w:val="auto"/>
          <w:szCs w:val="18"/>
          <w:lang w:val="en-CA"/>
        </w:rPr>
        <w:t>i</w:t>
      </w:r>
      <w:proofErr w:type="spellEnd"/>
      <w:r w:rsidR="0061583F" w:rsidRPr="00AA6144">
        <w:rPr>
          <w:color w:val="auto"/>
          <w:szCs w:val="18"/>
          <w:lang w:val="en-CA"/>
        </w:rPr>
        <w:t xml:space="preserve">) of the </w:t>
      </w:r>
      <w:r w:rsidR="005C5FF0" w:rsidRPr="00AA6144">
        <w:rPr>
          <w:color w:val="auto"/>
          <w:szCs w:val="18"/>
          <w:lang w:val="en-CA"/>
        </w:rPr>
        <w:t>Rome Statute</w:t>
      </w:r>
      <w:r w:rsidR="0061583F" w:rsidRPr="00AA6144">
        <w:rPr>
          <w:color w:val="auto"/>
          <w:szCs w:val="18"/>
          <w:lang w:val="en-CA"/>
        </w:rPr>
        <w:t xml:space="preserve"> lists enforced disappearance of persons as a crime against humanity, while Article 7(2)(</w:t>
      </w:r>
      <w:proofErr w:type="spellStart"/>
      <w:r w:rsidR="0061583F" w:rsidRPr="00AA6144">
        <w:rPr>
          <w:color w:val="auto"/>
          <w:szCs w:val="18"/>
          <w:lang w:val="en-CA"/>
        </w:rPr>
        <w:t>i</w:t>
      </w:r>
      <w:proofErr w:type="spellEnd"/>
      <w:r w:rsidR="0061583F" w:rsidRPr="00AA6144">
        <w:rPr>
          <w:color w:val="auto"/>
          <w:szCs w:val="18"/>
          <w:lang w:val="en-CA"/>
        </w:rPr>
        <w:t>) defines enforced disappearances as</w:t>
      </w:r>
      <w:r w:rsidR="00A62CE2" w:rsidRPr="00AA6144">
        <w:rPr>
          <w:color w:val="auto"/>
          <w:szCs w:val="18"/>
          <w:lang w:val="en-CA"/>
        </w:rPr>
        <w:t>:</w:t>
      </w:r>
      <w:r w:rsidR="0061583F" w:rsidRPr="00AA6144">
        <w:rPr>
          <w:color w:val="auto"/>
          <w:szCs w:val="18"/>
          <w:lang w:val="en-CA"/>
        </w:rPr>
        <w:t xml:space="preserve"> </w:t>
      </w:r>
    </w:p>
    <w:p w14:paraId="22B7F6D5" w14:textId="77777777" w:rsidR="0061583F" w:rsidRPr="00AA6144" w:rsidRDefault="0061583F" w:rsidP="0061583F">
      <w:pPr>
        <w:ind w:left="425" w:right="134"/>
        <w:rPr>
          <w:color w:val="auto"/>
          <w:szCs w:val="18"/>
          <w:lang w:val="en-CA"/>
        </w:rPr>
      </w:pPr>
      <w:r w:rsidRPr="00AA6144">
        <w:rPr>
          <w:color w:val="auto"/>
          <w:lang w:val="en-CA"/>
        </w:rPr>
        <w:t>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w:t>
      </w:r>
      <w:r w:rsidR="00B426A5" w:rsidRPr="00AA6144">
        <w:rPr>
          <w:rStyle w:val="FootnoteReference"/>
          <w:color w:val="auto"/>
          <w:lang w:val="en-CA"/>
        </w:rPr>
        <w:footnoteReference w:id="268"/>
      </w:r>
    </w:p>
    <w:p w14:paraId="0684FDFB" w14:textId="2E935152" w:rsidR="00032DB5" w:rsidRPr="00AA6144" w:rsidRDefault="00032DB5" w:rsidP="00032DB5">
      <w:pPr>
        <w:pStyle w:val="AIBodyText"/>
        <w:rPr>
          <w:color w:val="auto"/>
          <w:lang w:val="en-CA"/>
        </w:rPr>
      </w:pPr>
      <w:r w:rsidRPr="00AA6144">
        <w:rPr>
          <w:color w:val="auto"/>
          <w:lang w:val="en-CA"/>
        </w:rPr>
        <w:t xml:space="preserve">Canada has not explicitly defined enforced disappearances as a crime under national law. However, some acts and conduct amounting to this crime can be prosecuted under the Canadian </w:t>
      </w:r>
      <w:r w:rsidRPr="00AA6144">
        <w:rPr>
          <w:i/>
          <w:color w:val="auto"/>
          <w:lang w:val="en-CA"/>
        </w:rPr>
        <w:t>Criminal Code</w:t>
      </w:r>
      <w:r w:rsidRPr="00AA6144">
        <w:rPr>
          <w:color w:val="auto"/>
          <w:lang w:val="en-CA"/>
        </w:rPr>
        <w:t xml:space="preserve"> as </w:t>
      </w:r>
      <w:r w:rsidR="006712FC" w:rsidRPr="00AA6144">
        <w:rPr>
          <w:color w:val="auto"/>
          <w:lang w:val="en-CA"/>
        </w:rPr>
        <w:t xml:space="preserve">an ordinary crime of </w:t>
      </w:r>
      <w:r w:rsidRPr="00AA6144">
        <w:rPr>
          <w:color w:val="auto"/>
          <w:lang w:val="en-CA"/>
        </w:rPr>
        <w:t>kidnapping</w:t>
      </w:r>
      <w:r w:rsidR="006712FC" w:rsidRPr="00AA6144">
        <w:rPr>
          <w:color w:val="auto"/>
          <w:lang w:val="en-CA"/>
        </w:rPr>
        <w:t>.</w:t>
      </w:r>
      <w:r w:rsidR="00214B4D" w:rsidRPr="00AA6144">
        <w:rPr>
          <w:color w:val="auto"/>
          <w:lang w:val="en-CA"/>
        </w:rPr>
        <w:t xml:space="preserve"> </w:t>
      </w:r>
      <w:r w:rsidR="006712FC" w:rsidRPr="00AA6144">
        <w:rPr>
          <w:color w:val="auto"/>
          <w:lang w:val="en-CA"/>
        </w:rPr>
        <w:t xml:space="preserve">That said, the offence of </w:t>
      </w:r>
      <w:r w:rsidR="00214B4D" w:rsidRPr="00AA6144">
        <w:rPr>
          <w:color w:val="auto"/>
          <w:lang w:val="en-CA"/>
        </w:rPr>
        <w:t>kidnapping</w:t>
      </w:r>
      <w:r w:rsidR="006712FC" w:rsidRPr="00AA6144">
        <w:rPr>
          <w:color w:val="auto"/>
          <w:lang w:val="en-CA"/>
        </w:rPr>
        <w:t xml:space="preserve"> under the </w:t>
      </w:r>
      <w:r w:rsidR="006712FC" w:rsidRPr="00AA6144">
        <w:rPr>
          <w:i/>
          <w:color w:val="auto"/>
          <w:lang w:val="en-CA"/>
        </w:rPr>
        <w:t>Criminal Code</w:t>
      </w:r>
      <w:r w:rsidR="006712FC" w:rsidRPr="00AA6144">
        <w:rPr>
          <w:color w:val="auto"/>
          <w:lang w:val="en-CA"/>
        </w:rPr>
        <w:t xml:space="preserve"> does not capture the distinct nature of enforced disappearances as a</w:t>
      </w:r>
      <w:r w:rsidR="00813569">
        <w:rPr>
          <w:color w:val="auto"/>
          <w:lang w:val="en-CA"/>
        </w:rPr>
        <w:t xml:space="preserve"> crime under</w:t>
      </w:r>
      <w:r w:rsidR="006712FC" w:rsidRPr="00AA6144">
        <w:rPr>
          <w:color w:val="auto"/>
          <w:lang w:val="en-CA"/>
        </w:rPr>
        <w:t xml:space="preserve"> international </w:t>
      </w:r>
      <w:r w:rsidR="00813569">
        <w:rPr>
          <w:color w:val="auto"/>
          <w:lang w:val="en-CA"/>
        </w:rPr>
        <w:t>law</w:t>
      </w:r>
      <w:r w:rsidR="006712FC" w:rsidRPr="00AA6144">
        <w:rPr>
          <w:color w:val="auto"/>
          <w:lang w:val="en-CA"/>
        </w:rPr>
        <w:t xml:space="preserve">, most notably because it </w:t>
      </w:r>
      <w:r w:rsidR="00214B4D" w:rsidRPr="00AA6144">
        <w:rPr>
          <w:color w:val="auto"/>
          <w:lang w:val="en-CA"/>
        </w:rPr>
        <w:t>does not require state involvement</w:t>
      </w:r>
      <w:r w:rsidR="00B43DE9" w:rsidRPr="00AA6144">
        <w:rPr>
          <w:color w:val="auto"/>
          <w:lang w:val="en-CA"/>
        </w:rPr>
        <w:t>.</w:t>
      </w:r>
      <w:r w:rsidRPr="00AA6144">
        <w:rPr>
          <w:color w:val="auto"/>
          <w:vertAlign w:val="superscript"/>
          <w:lang w:val="en-CA"/>
        </w:rPr>
        <w:footnoteReference w:id="269"/>
      </w:r>
      <w:r w:rsidRPr="00AA6144">
        <w:rPr>
          <w:color w:val="auto"/>
          <w:lang w:val="en-CA"/>
        </w:rPr>
        <w:t xml:space="preserve"> Canada has not</w:t>
      </w:r>
      <w:r w:rsidR="006712FC" w:rsidRPr="00AA6144">
        <w:rPr>
          <w:color w:val="auto"/>
          <w:lang w:val="en-CA"/>
        </w:rPr>
        <w:t xml:space="preserve"> moreover</w:t>
      </w:r>
      <w:r w:rsidRPr="00AA6144">
        <w:rPr>
          <w:color w:val="auto"/>
          <w:lang w:val="en-CA"/>
        </w:rPr>
        <w:t xml:space="preserve"> expressly provided its courts with universal jurisdiction over enforced disappearances. </w:t>
      </w:r>
      <w:r w:rsidR="006712FC" w:rsidRPr="00AA6144">
        <w:rPr>
          <w:color w:val="auto"/>
          <w:lang w:val="en-CA"/>
        </w:rPr>
        <w:t xml:space="preserve">However, </w:t>
      </w:r>
      <w:r w:rsidRPr="00AA6144">
        <w:rPr>
          <w:color w:val="auto"/>
          <w:lang w:val="en-CA"/>
        </w:rPr>
        <w:t xml:space="preserve">the crime of enforced disappearances could arguably be prosecuted under the </w:t>
      </w:r>
      <w:r w:rsidRPr="00AA6144">
        <w:rPr>
          <w:i/>
          <w:iCs/>
          <w:color w:val="auto"/>
          <w:lang w:val="en-CA"/>
        </w:rPr>
        <w:t>Crimes Against Humanity and War Crimes Act</w:t>
      </w:r>
      <w:r w:rsidRPr="00AA6144">
        <w:rPr>
          <w:color w:val="auto"/>
          <w:lang w:val="en-CA"/>
        </w:rPr>
        <w:t xml:space="preserve"> as an “other inhumane act” given the non-exhaustive nature of</w:t>
      </w:r>
      <w:r w:rsidR="00214B4D" w:rsidRPr="00AA6144">
        <w:rPr>
          <w:color w:val="auto"/>
          <w:lang w:val="en-CA"/>
        </w:rPr>
        <w:t xml:space="preserve"> the</w:t>
      </w:r>
      <w:r w:rsidRPr="00AA6144">
        <w:rPr>
          <w:color w:val="auto"/>
          <w:lang w:val="en-CA"/>
        </w:rPr>
        <w:t xml:space="preserve"> list of crimes against humanity in </w:t>
      </w:r>
      <w:r w:rsidR="00BB4887" w:rsidRPr="00AA6144">
        <w:rPr>
          <w:color w:val="auto"/>
          <w:lang w:val="en-CA"/>
        </w:rPr>
        <w:t xml:space="preserve">section </w:t>
      </w:r>
      <w:r w:rsidRPr="00AA6144">
        <w:rPr>
          <w:color w:val="auto"/>
          <w:lang w:val="en-CA"/>
        </w:rPr>
        <w:t>8(3).</w:t>
      </w:r>
      <w:r w:rsidRPr="00AA6144">
        <w:rPr>
          <w:color w:val="auto"/>
          <w:vertAlign w:val="superscript"/>
          <w:lang w:val="en-CA"/>
        </w:rPr>
        <w:footnoteReference w:id="270"/>
      </w:r>
      <w:r w:rsidR="006B2862" w:rsidRPr="00AA6144">
        <w:rPr>
          <w:color w:val="auto"/>
          <w:lang w:val="en-CA"/>
        </w:rPr>
        <w:t xml:space="preserve"> As with torture and extrajudicial executions, </w:t>
      </w:r>
      <w:r w:rsidR="00366317" w:rsidRPr="00AA6144">
        <w:rPr>
          <w:color w:val="auto"/>
          <w:lang w:val="en-CA"/>
        </w:rPr>
        <w:t xml:space="preserve">the </w:t>
      </w:r>
      <w:r w:rsidR="00F65548" w:rsidRPr="00AA6144">
        <w:rPr>
          <w:color w:val="auto"/>
          <w:lang w:val="en-CA"/>
        </w:rPr>
        <w:t>trade-off</w:t>
      </w:r>
      <w:r w:rsidR="00366317" w:rsidRPr="00AA6144">
        <w:rPr>
          <w:color w:val="auto"/>
          <w:lang w:val="en-CA"/>
        </w:rPr>
        <w:t xml:space="preserve"> of being required to prove the chapeau elements in a </w:t>
      </w:r>
      <w:r w:rsidR="006B2862" w:rsidRPr="00AA6144">
        <w:rPr>
          <w:lang w:val="en-CA"/>
        </w:rPr>
        <w:t xml:space="preserve">crime against </w:t>
      </w:r>
      <w:r w:rsidR="00366317" w:rsidRPr="00AA6144">
        <w:rPr>
          <w:lang w:val="en-CA"/>
        </w:rPr>
        <w:t xml:space="preserve">humanity </w:t>
      </w:r>
      <w:r w:rsidR="006B2862" w:rsidRPr="00AA6144">
        <w:rPr>
          <w:lang w:val="en-CA"/>
        </w:rPr>
        <w:t>or war crime</w:t>
      </w:r>
      <w:r w:rsidR="00366317" w:rsidRPr="00AA6144">
        <w:rPr>
          <w:lang w:val="en-CA"/>
        </w:rPr>
        <w:t>, versus the utility of not needing to prove the purpose elements applies</w:t>
      </w:r>
      <w:r w:rsidR="006B2862" w:rsidRPr="00AA6144">
        <w:rPr>
          <w:lang w:val="en-CA"/>
        </w:rPr>
        <w:t>.</w:t>
      </w:r>
      <w:r w:rsidR="006B2862" w:rsidRPr="00AA6144">
        <w:rPr>
          <w:rStyle w:val="FootnoteReference"/>
          <w:lang w:val="en-CA"/>
        </w:rPr>
        <w:footnoteReference w:id="271"/>
      </w:r>
    </w:p>
    <w:p w14:paraId="37104D4B" w14:textId="77777777" w:rsidR="00E57056" w:rsidRPr="00AA6144" w:rsidRDefault="00E57056" w:rsidP="00E57056">
      <w:pPr>
        <w:pStyle w:val="Heading3"/>
        <w:rPr>
          <w:color w:val="auto"/>
          <w:lang w:val="en-CA"/>
        </w:rPr>
      </w:pPr>
      <w:bookmarkStart w:id="116" w:name="_Toc220954459"/>
      <w:bookmarkStart w:id="117" w:name="_Toc43382741"/>
      <w:r w:rsidRPr="00AA6144">
        <w:rPr>
          <w:color w:val="auto"/>
          <w:lang w:val="en-CA"/>
        </w:rPr>
        <w:t>4.3.7. Aggression</w:t>
      </w:r>
      <w:bookmarkEnd w:id="116"/>
      <w:bookmarkEnd w:id="117"/>
    </w:p>
    <w:p w14:paraId="0771F830" w14:textId="77777777" w:rsidR="00437A3D" w:rsidRPr="00AA6144" w:rsidRDefault="00437A3D" w:rsidP="00437A3D">
      <w:pPr>
        <w:spacing w:after="0"/>
        <w:rPr>
          <w:lang w:val="en-CA"/>
        </w:rPr>
      </w:pPr>
    </w:p>
    <w:p w14:paraId="3A4AF6EB" w14:textId="07935630" w:rsidR="00E57056" w:rsidRPr="00AA6144" w:rsidRDefault="00E57056" w:rsidP="00E57056">
      <w:pPr>
        <w:pStyle w:val="AIBodyText"/>
        <w:rPr>
          <w:color w:val="auto"/>
          <w:lang w:val="en-CA"/>
        </w:rPr>
      </w:pPr>
      <w:r w:rsidRPr="00AA6144">
        <w:rPr>
          <w:color w:val="auto"/>
          <w:szCs w:val="18"/>
          <w:lang w:val="en-CA"/>
        </w:rPr>
        <w:t>The crime of planning, preparing, initiating or waging aggressive war has been recognized as a crime under international law since it was incorporated in the Nuremb</w:t>
      </w:r>
      <w:r w:rsidR="004328EA">
        <w:rPr>
          <w:color w:val="auto"/>
          <w:szCs w:val="18"/>
          <w:lang w:val="en-CA"/>
        </w:rPr>
        <w:t>e</w:t>
      </w:r>
      <w:r w:rsidRPr="00AA6144">
        <w:rPr>
          <w:color w:val="auto"/>
          <w:szCs w:val="18"/>
          <w:lang w:val="en-CA"/>
        </w:rPr>
        <w:t>rg Charter in 1945.</w:t>
      </w:r>
      <w:bookmarkStart w:id="118" w:name="_Ref267051001"/>
      <w:r w:rsidRPr="00AA6144">
        <w:rPr>
          <w:rStyle w:val="FootnoteReference"/>
          <w:color w:val="auto"/>
          <w:szCs w:val="18"/>
          <w:lang w:val="en-CA"/>
        </w:rPr>
        <w:footnoteReference w:id="272"/>
      </w:r>
      <w:bookmarkEnd w:id="118"/>
      <w:r w:rsidRPr="00AA6144">
        <w:rPr>
          <w:color w:val="auto"/>
          <w:szCs w:val="18"/>
          <w:lang w:val="en-CA"/>
        </w:rPr>
        <w:t xml:space="preserve">  It is expressly listed as a crime in Article 5 of the </w:t>
      </w:r>
      <w:r w:rsidR="005C5FF0" w:rsidRPr="00AA6144">
        <w:rPr>
          <w:color w:val="auto"/>
          <w:szCs w:val="18"/>
          <w:lang w:val="en-CA"/>
        </w:rPr>
        <w:t>Rome Statute</w:t>
      </w:r>
      <w:r w:rsidRPr="00AA6144">
        <w:rPr>
          <w:color w:val="auto"/>
          <w:szCs w:val="18"/>
          <w:lang w:val="en-CA"/>
        </w:rPr>
        <w:t xml:space="preserve"> over which the </w:t>
      </w:r>
      <w:r w:rsidR="00E636E8" w:rsidRPr="00AA6144">
        <w:rPr>
          <w:color w:val="auto"/>
          <w:szCs w:val="18"/>
          <w:lang w:val="en-CA"/>
        </w:rPr>
        <w:t>ICC</w:t>
      </w:r>
      <w:r w:rsidRPr="00AA6144">
        <w:rPr>
          <w:color w:val="auto"/>
          <w:szCs w:val="18"/>
          <w:lang w:val="en-CA"/>
        </w:rPr>
        <w:t xml:space="preserve"> </w:t>
      </w:r>
      <w:r w:rsidR="00881772" w:rsidRPr="00AA6144">
        <w:rPr>
          <w:color w:val="auto"/>
          <w:szCs w:val="18"/>
          <w:lang w:val="en-CA"/>
        </w:rPr>
        <w:t xml:space="preserve">will </w:t>
      </w:r>
      <w:r w:rsidRPr="00AA6144">
        <w:rPr>
          <w:color w:val="auto"/>
          <w:szCs w:val="18"/>
          <w:lang w:val="en-CA"/>
        </w:rPr>
        <w:t>exercise jurisdiction once a provision is adopted defining the crime and setting out the conditions under which the Court shall exercise jurisdiction with respect to this crime.</w:t>
      </w:r>
      <w:r w:rsidRPr="00AA6144">
        <w:rPr>
          <w:rStyle w:val="FootnoteReference"/>
          <w:color w:val="auto"/>
          <w:szCs w:val="18"/>
          <w:lang w:val="en-CA"/>
        </w:rPr>
        <w:footnoteReference w:id="273"/>
      </w:r>
      <w:r w:rsidRPr="00AA6144">
        <w:rPr>
          <w:color w:val="auto"/>
          <w:lang w:val="en-CA"/>
        </w:rPr>
        <w:t xml:space="preserve">  </w:t>
      </w:r>
      <w:r w:rsidR="004E584A" w:rsidRPr="00AA6144">
        <w:rPr>
          <w:color w:val="auto"/>
          <w:szCs w:val="18"/>
          <w:lang w:val="en-CA"/>
        </w:rPr>
        <w:t xml:space="preserve">The Review Conference on the </w:t>
      </w:r>
      <w:r w:rsidR="005C5FF0" w:rsidRPr="00AA6144">
        <w:rPr>
          <w:color w:val="auto"/>
          <w:szCs w:val="18"/>
          <w:lang w:val="en-CA"/>
        </w:rPr>
        <w:t>Rome Statute</w:t>
      </w:r>
      <w:r w:rsidR="004E584A" w:rsidRPr="00AA6144">
        <w:rPr>
          <w:color w:val="auto"/>
          <w:szCs w:val="18"/>
          <w:lang w:val="en-CA"/>
        </w:rPr>
        <w:t xml:space="preserve"> </w:t>
      </w:r>
      <w:r w:rsidR="002C0997">
        <w:rPr>
          <w:color w:val="auto"/>
          <w:szCs w:val="18"/>
          <w:lang w:val="en-CA"/>
        </w:rPr>
        <w:t xml:space="preserve">in 2010 </w:t>
      </w:r>
      <w:r w:rsidR="004E584A" w:rsidRPr="00AA6144">
        <w:rPr>
          <w:color w:val="auto"/>
          <w:szCs w:val="18"/>
          <w:lang w:val="en-CA"/>
        </w:rPr>
        <w:t xml:space="preserve">adopted an amendment to </w:t>
      </w:r>
      <w:r w:rsidR="004F5734">
        <w:rPr>
          <w:color w:val="auto"/>
          <w:szCs w:val="18"/>
          <w:lang w:val="en-CA"/>
        </w:rPr>
        <w:t xml:space="preserve">the </w:t>
      </w:r>
      <w:r w:rsidR="005C5FF0" w:rsidRPr="00AA6144">
        <w:rPr>
          <w:color w:val="auto"/>
          <w:szCs w:val="18"/>
          <w:lang w:val="en-CA"/>
        </w:rPr>
        <w:t>Statute</w:t>
      </w:r>
      <w:r w:rsidR="004E584A" w:rsidRPr="00AA6144">
        <w:rPr>
          <w:color w:val="auto"/>
          <w:szCs w:val="18"/>
          <w:lang w:val="en-CA"/>
        </w:rPr>
        <w:t xml:space="preserve"> defining the crime and setting out the conditions under which the Court will exercise its jurisdiction over the crime.</w:t>
      </w:r>
      <w:r w:rsidR="004E584A" w:rsidRPr="00AA6144">
        <w:rPr>
          <w:rStyle w:val="FootnoteReference"/>
          <w:color w:val="auto"/>
          <w:szCs w:val="18"/>
          <w:lang w:val="en-CA"/>
        </w:rPr>
        <w:footnoteReference w:id="274"/>
      </w:r>
      <w:r w:rsidR="004E584A" w:rsidRPr="00AA6144">
        <w:rPr>
          <w:color w:val="auto"/>
          <w:lang w:val="en-CA"/>
        </w:rPr>
        <w:t> </w:t>
      </w:r>
    </w:p>
    <w:p w14:paraId="68EF7906" w14:textId="7ACA6A14" w:rsidR="00032DB5" w:rsidRPr="00AA6144" w:rsidRDefault="00032DB5" w:rsidP="00E57056">
      <w:pPr>
        <w:pStyle w:val="AIBodyText"/>
        <w:rPr>
          <w:color w:val="auto"/>
          <w:lang w:val="en-CA"/>
        </w:rPr>
      </w:pPr>
      <w:r w:rsidRPr="00AA6144">
        <w:rPr>
          <w:color w:val="auto"/>
          <w:lang w:val="en-CA"/>
        </w:rPr>
        <w:t xml:space="preserve">Canada has not </w:t>
      </w:r>
      <w:r w:rsidR="004F5734">
        <w:rPr>
          <w:color w:val="auto"/>
          <w:lang w:val="en-CA"/>
        </w:rPr>
        <w:t xml:space="preserve">yet </w:t>
      </w:r>
      <w:r w:rsidRPr="00AA6144">
        <w:rPr>
          <w:color w:val="auto"/>
          <w:lang w:val="en-CA"/>
        </w:rPr>
        <w:t xml:space="preserve">defined the planning, preparation, </w:t>
      </w:r>
      <w:proofErr w:type="gramStart"/>
      <w:r w:rsidRPr="00AA6144">
        <w:rPr>
          <w:color w:val="auto"/>
          <w:lang w:val="en-CA"/>
        </w:rPr>
        <w:t>initiation</w:t>
      </w:r>
      <w:proofErr w:type="gramEnd"/>
      <w:r w:rsidRPr="00AA6144">
        <w:rPr>
          <w:color w:val="auto"/>
          <w:lang w:val="en-CA"/>
        </w:rPr>
        <w:t xml:space="preserve"> or waging of an aggressive war as a crime under national law and it has not provided its courts with universal jurisdiction over this crime.</w:t>
      </w:r>
    </w:p>
    <w:p w14:paraId="4602CB59" w14:textId="77777777" w:rsidR="00B67B17" w:rsidRPr="00AA6144" w:rsidRDefault="00B67B17" w:rsidP="00B67B17">
      <w:pPr>
        <w:pStyle w:val="Heading1"/>
        <w:rPr>
          <w:color w:val="auto"/>
          <w:lang w:val="en-CA"/>
        </w:rPr>
      </w:pPr>
      <w:r w:rsidRPr="00AA6144">
        <w:rPr>
          <w:color w:val="auto"/>
          <w:lang w:val="en-CA"/>
        </w:rPr>
        <w:br w:type="page"/>
      </w:r>
      <w:bookmarkStart w:id="119" w:name="_Toc220954460"/>
      <w:bookmarkStart w:id="120" w:name="_Toc43382742"/>
      <w:r w:rsidR="00F61661" w:rsidRPr="00AA6144">
        <w:rPr>
          <w:color w:val="auto"/>
          <w:lang w:val="en-CA"/>
        </w:rPr>
        <w:t xml:space="preserve">5. </w:t>
      </w:r>
      <w:bookmarkEnd w:id="119"/>
      <w:r w:rsidR="00F61661" w:rsidRPr="00AA6144">
        <w:rPr>
          <w:color w:val="auto"/>
          <w:lang w:val="en-CA"/>
        </w:rPr>
        <w:t>JURISDICTION OVER CIVIL CLAIMS FOR REPARATIONS</w:t>
      </w:r>
      <w:bookmarkEnd w:id="120"/>
    </w:p>
    <w:p w14:paraId="743FEBF2" w14:textId="77777777" w:rsidR="00B67B17" w:rsidRPr="00AA6144" w:rsidRDefault="0009380E" w:rsidP="00C318FD">
      <w:pPr>
        <w:pStyle w:val="AIBodyText"/>
        <w:rPr>
          <w:iCs/>
          <w:color w:val="auto"/>
          <w:szCs w:val="22"/>
          <w:lang w:val="en-CA"/>
        </w:rPr>
      </w:pPr>
      <w:r w:rsidRPr="00AA6144">
        <w:rPr>
          <w:color w:val="auto"/>
          <w:lang w:val="en-CA"/>
        </w:rPr>
        <w:t>Under international law and</w:t>
      </w:r>
      <w:r w:rsidR="00FA01D4" w:rsidRPr="00AA6144">
        <w:rPr>
          <w:color w:val="auto"/>
          <w:lang w:val="en-CA"/>
        </w:rPr>
        <w:t xml:space="preserve"> </w:t>
      </w:r>
      <w:r w:rsidRPr="00AA6144">
        <w:rPr>
          <w:color w:val="auto"/>
          <w:lang w:val="en-CA"/>
        </w:rPr>
        <w:t>standards, victims of crimes under international law and other human rights violations and abuses are entitled to full reparation, including restitution, rehabilitation, compensation</w:t>
      </w:r>
      <w:r w:rsidR="005D7631" w:rsidRPr="00AA6144">
        <w:rPr>
          <w:color w:val="auto"/>
          <w:lang w:val="en-CA"/>
        </w:rPr>
        <w:t>, satisfaction</w:t>
      </w:r>
      <w:r w:rsidRPr="00AA6144">
        <w:rPr>
          <w:color w:val="auto"/>
          <w:lang w:val="en-CA"/>
        </w:rPr>
        <w:t xml:space="preserve"> and guarantees of non-repetition.</w:t>
      </w:r>
      <w:r w:rsidRPr="00AA6144">
        <w:rPr>
          <w:rStyle w:val="FootnoteReference"/>
          <w:color w:val="auto"/>
          <w:lang w:val="en-CA"/>
        </w:rPr>
        <w:footnoteReference w:id="275"/>
      </w:r>
      <w:r w:rsidRPr="00AA6144">
        <w:rPr>
          <w:color w:val="auto"/>
          <w:lang w:val="en-CA"/>
        </w:rPr>
        <w:t xml:space="preserve"> </w:t>
      </w:r>
      <w:r w:rsidR="00B67B17" w:rsidRPr="00AA6144">
        <w:rPr>
          <w:color w:val="auto"/>
          <w:lang w:val="en-CA"/>
        </w:rPr>
        <w:t xml:space="preserve">  </w:t>
      </w:r>
    </w:p>
    <w:p w14:paraId="534BA237" w14:textId="77777777" w:rsidR="00B67B17" w:rsidRPr="00AA6144" w:rsidRDefault="00B67B17" w:rsidP="001C4498">
      <w:pPr>
        <w:pStyle w:val="Heading2"/>
        <w:rPr>
          <w:color w:val="auto"/>
          <w:lang w:val="en-CA"/>
        </w:rPr>
      </w:pPr>
      <w:bookmarkStart w:id="121" w:name="_Toc193798662"/>
      <w:bookmarkStart w:id="122" w:name="_Toc220954461"/>
      <w:bookmarkStart w:id="123" w:name="_Toc43382743"/>
      <w:r w:rsidRPr="00AA6144">
        <w:rPr>
          <w:color w:val="auto"/>
          <w:lang w:val="en-CA"/>
        </w:rPr>
        <w:t>5.</w:t>
      </w:r>
      <w:r w:rsidR="00D97B53" w:rsidRPr="00AA6144">
        <w:rPr>
          <w:color w:val="auto"/>
          <w:lang w:val="en-CA"/>
        </w:rPr>
        <w:t>1</w:t>
      </w:r>
      <w:r w:rsidR="00F61661" w:rsidRPr="00AA6144">
        <w:rPr>
          <w:color w:val="auto"/>
          <w:lang w:val="en-CA"/>
        </w:rPr>
        <w:t>. U</w:t>
      </w:r>
      <w:r w:rsidRPr="00AA6144">
        <w:rPr>
          <w:color w:val="auto"/>
          <w:lang w:val="en-CA"/>
        </w:rPr>
        <w:t xml:space="preserve">niversal jurisdiction over </w:t>
      </w:r>
      <w:r w:rsidR="00D175B8" w:rsidRPr="00AA6144">
        <w:rPr>
          <w:color w:val="auto"/>
          <w:lang w:val="en-CA"/>
        </w:rPr>
        <w:t>civil claims</w:t>
      </w:r>
      <w:r w:rsidRPr="00AA6144">
        <w:rPr>
          <w:color w:val="auto"/>
          <w:lang w:val="en-CA"/>
        </w:rPr>
        <w:t xml:space="preserve"> in civil cases</w:t>
      </w:r>
      <w:bookmarkEnd w:id="121"/>
      <w:bookmarkEnd w:id="122"/>
      <w:bookmarkEnd w:id="123"/>
    </w:p>
    <w:p w14:paraId="179B0933" w14:textId="77777777" w:rsidR="00437A3D" w:rsidRPr="00AA6144" w:rsidRDefault="00437A3D" w:rsidP="00437A3D">
      <w:pPr>
        <w:spacing w:after="0"/>
        <w:rPr>
          <w:lang w:val="en-CA"/>
        </w:rPr>
      </w:pPr>
    </w:p>
    <w:p w14:paraId="31BCAE9D" w14:textId="6E77A1D1" w:rsidR="00B67B17" w:rsidRPr="00AA6144" w:rsidRDefault="00B67B17" w:rsidP="001D2AF6">
      <w:pPr>
        <w:pStyle w:val="AIBodyText"/>
        <w:rPr>
          <w:color w:val="auto"/>
          <w:lang w:val="en-CA"/>
        </w:rPr>
      </w:pPr>
      <w:r w:rsidRPr="00AA6144">
        <w:rPr>
          <w:color w:val="auto"/>
          <w:lang w:val="en-CA"/>
        </w:rPr>
        <w:t xml:space="preserve">In contrast to </w:t>
      </w:r>
      <w:proofErr w:type="gramStart"/>
      <w:r w:rsidRPr="00AA6144">
        <w:rPr>
          <w:color w:val="auto"/>
          <w:lang w:val="en-CA"/>
        </w:rPr>
        <w:t>a number of</w:t>
      </w:r>
      <w:proofErr w:type="gramEnd"/>
      <w:r w:rsidRPr="00AA6144">
        <w:rPr>
          <w:color w:val="auto"/>
          <w:lang w:val="en-CA"/>
        </w:rPr>
        <w:t xml:space="preserve"> civil law countries and the United States,</w:t>
      </w:r>
      <w:r w:rsidRPr="00AA6144">
        <w:rPr>
          <w:rStyle w:val="FootnoteReference"/>
          <w:color w:val="auto"/>
          <w:lang w:val="en-CA"/>
        </w:rPr>
        <w:footnoteReference w:id="276"/>
      </w:r>
      <w:r w:rsidRPr="00AA6144">
        <w:rPr>
          <w:color w:val="auto"/>
          <w:lang w:val="en-CA"/>
        </w:rPr>
        <w:t xml:space="preserve"> there is no specific legislation</w:t>
      </w:r>
      <w:r w:rsidR="008B0B2D" w:rsidRPr="00AA6144">
        <w:rPr>
          <w:color w:val="auto"/>
          <w:lang w:val="en-CA"/>
        </w:rPr>
        <w:t xml:space="preserve"> in Canada </w:t>
      </w:r>
      <w:r w:rsidRPr="00AA6144">
        <w:rPr>
          <w:color w:val="auto"/>
          <w:lang w:val="en-CA"/>
        </w:rPr>
        <w:t>permitting victims to obtain reparation in civil proceedings based on universal jurisdiction</w:t>
      </w:r>
      <w:r w:rsidR="008B0B2D" w:rsidRPr="00AA6144">
        <w:rPr>
          <w:color w:val="auto"/>
          <w:lang w:val="en-CA"/>
        </w:rPr>
        <w:t>.</w:t>
      </w:r>
      <w:r w:rsidRPr="00AA6144" w:rsidDel="003961C3">
        <w:rPr>
          <w:color w:val="auto"/>
          <w:lang w:val="en-CA"/>
        </w:rPr>
        <w:t xml:space="preserve"> </w:t>
      </w:r>
      <w:r w:rsidR="00D05848" w:rsidRPr="00AA6144">
        <w:rPr>
          <w:color w:val="auto"/>
          <w:lang w:val="en-CA"/>
        </w:rPr>
        <w:t>However,</w:t>
      </w:r>
      <w:r w:rsidR="00AD31BF" w:rsidRPr="00AA6144">
        <w:rPr>
          <w:color w:val="auto"/>
          <w:lang w:val="en-CA"/>
        </w:rPr>
        <w:t xml:space="preserve"> t</w:t>
      </w:r>
      <w:r w:rsidR="00205723" w:rsidRPr="00AA6144">
        <w:rPr>
          <w:color w:val="auto"/>
          <w:lang w:val="en-CA"/>
        </w:rPr>
        <w:t xml:space="preserve">here </w:t>
      </w:r>
      <w:r w:rsidR="0057721C" w:rsidRPr="00AA6144">
        <w:rPr>
          <w:color w:val="auto"/>
          <w:lang w:val="en-CA"/>
        </w:rPr>
        <w:t>are</w:t>
      </w:r>
      <w:r w:rsidR="00205723" w:rsidRPr="00AA6144">
        <w:rPr>
          <w:color w:val="auto"/>
          <w:lang w:val="en-CA"/>
        </w:rPr>
        <w:t xml:space="preserve"> private international law rules</w:t>
      </w:r>
      <w:r w:rsidR="004C2748" w:rsidRPr="00AA6144">
        <w:rPr>
          <w:color w:val="auto"/>
          <w:lang w:val="en-CA"/>
        </w:rPr>
        <w:t xml:space="preserve">, such as </w:t>
      </w:r>
      <w:proofErr w:type="spellStart"/>
      <w:r w:rsidR="004C2748" w:rsidRPr="00AA6144">
        <w:rPr>
          <w:i/>
          <w:color w:val="auto"/>
          <w:lang w:val="en-CA"/>
        </w:rPr>
        <w:t>M</w:t>
      </w:r>
      <w:r w:rsidR="00B26867" w:rsidRPr="00AA6144">
        <w:rPr>
          <w:i/>
          <w:color w:val="auto"/>
          <w:lang w:val="en-CA"/>
        </w:rPr>
        <w:t>areva</w:t>
      </w:r>
      <w:proofErr w:type="spellEnd"/>
      <w:r w:rsidR="00B26867" w:rsidRPr="00AA6144">
        <w:rPr>
          <w:color w:val="auto"/>
          <w:lang w:val="en-CA"/>
        </w:rPr>
        <w:t xml:space="preserve"> injunctions</w:t>
      </w:r>
      <w:r w:rsidR="009D0558" w:rsidRPr="00AA6144">
        <w:rPr>
          <w:color w:val="auto"/>
          <w:lang w:val="en-CA"/>
        </w:rPr>
        <w:t>,</w:t>
      </w:r>
      <w:r w:rsidR="00B26867" w:rsidRPr="00AA6144">
        <w:rPr>
          <w:color w:val="auto"/>
          <w:lang w:val="en-CA"/>
        </w:rPr>
        <w:t xml:space="preserve"> which allow Canadian courts to exercise universal jurisdiction over civil claims.</w:t>
      </w:r>
      <w:r w:rsidR="001F408F" w:rsidRPr="00AA6144">
        <w:rPr>
          <w:rStyle w:val="FootnoteReference"/>
          <w:color w:val="auto"/>
          <w:lang w:val="en-CA"/>
        </w:rPr>
        <w:footnoteReference w:id="277"/>
      </w:r>
      <w:r w:rsidR="00D05848" w:rsidRPr="00AA6144">
        <w:rPr>
          <w:color w:val="auto"/>
          <w:lang w:val="en-CA"/>
        </w:rPr>
        <w:t xml:space="preserve"> </w:t>
      </w:r>
      <w:r w:rsidR="00B00923" w:rsidRPr="00AA6144">
        <w:rPr>
          <w:color w:val="auto"/>
          <w:lang w:val="en-CA"/>
        </w:rPr>
        <w:t xml:space="preserve">Scholars Amir </w:t>
      </w:r>
      <w:r w:rsidR="00D05848" w:rsidRPr="00AA6144">
        <w:rPr>
          <w:color w:val="auto"/>
          <w:lang w:val="en-CA"/>
        </w:rPr>
        <w:t xml:space="preserve">Attaran and </w:t>
      </w:r>
      <w:r w:rsidR="00B00923" w:rsidRPr="00AA6144">
        <w:rPr>
          <w:color w:val="auto"/>
          <w:lang w:val="en-CA"/>
        </w:rPr>
        <w:t xml:space="preserve">Jennifer </w:t>
      </w:r>
      <w:proofErr w:type="spellStart"/>
      <w:r w:rsidR="00D05848" w:rsidRPr="00AA6144">
        <w:rPr>
          <w:color w:val="auto"/>
          <w:lang w:val="en-CA"/>
        </w:rPr>
        <w:t>Besner</w:t>
      </w:r>
      <w:proofErr w:type="spellEnd"/>
      <w:r w:rsidR="00D05848" w:rsidRPr="00AA6144">
        <w:rPr>
          <w:color w:val="auto"/>
          <w:lang w:val="en-CA"/>
        </w:rPr>
        <w:t xml:space="preserve"> argue “extraterritorial assertions of civil jurisdiction already exist in the common law without any treaty to authorize the practice”.</w:t>
      </w:r>
      <w:r w:rsidR="00D05848" w:rsidRPr="00AA6144">
        <w:rPr>
          <w:rStyle w:val="FootnoteReference"/>
          <w:color w:val="auto"/>
          <w:lang w:val="en-CA"/>
        </w:rPr>
        <w:footnoteReference w:id="278"/>
      </w:r>
    </w:p>
    <w:p w14:paraId="59DB3FA9" w14:textId="7AB9330B" w:rsidR="009840B8" w:rsidRPr="00AA6144" w:rsidRDefault="00A30842" w:rsidP="009840B8">
      <w:pPr>
        <w:widowControl/>
        <w:suppressAutoHyphens w:val="0"/>
        <w:spacing w:after="0" w:line="240" w:lineRule="auto"/>
        <w:rPr>
          <w:rFonts w:ascii="Times" w:hAnsi="Times"/>
          <w:szCs w:val="18"/>
          <w:lang w:val="en-CA" w:eastAsia="en-US"/>
        </w:rPr>
      </w:pPr>
      <w:r w:rsidRPr="00AA6144">
        <w:rPr>
          <w:color w:val="auto"/>
          <w:szCs w:val="18"/>
          <w:lang w:val="en-CA"/>
        </w:rPr>
        <w:t xml:space="preserve">There has been at least one attempt to try </w:t>
      </w:r>
      <w:r w:rsidR="006424CF" w:rsidRPr="00AA6144">
        <w:rPr>
          <w:color w:val="auto"/>
          <w:szCs w:val="18"/>
          <w:lang w:val="en-CA"/>
        </w:rPr>
        <w:t xml:space="preserve">this claim. </w:t>
      </w:r>
      <w:r w:rsidR="00F65548" w:rsidRPr="00AA6144">
        <w:rPr>
          <w:color w:val="auto"/>
          <w:szCs w:val="18"/>
          <w:lang w:val="en-CA"/>
        </w:rPr>
        <w:t xml:space="preserve">In the recent </w:t>
      </w:r>
      <w:r w:rsidR="001B3575" w:rsidRPr="00AA6144">
        <w:rPr>
          <w:i/>
          <w:color w:val="auto"/>
          <w:szCs w:val="18"/>
          <w:lang w:val="en-CA"/>
        </w:rPr>
        <w:t xml:space="preserve">Araya v. </w:t>
      </w:r>
      <w:proofErr w:type="spellStart"/>
      <w:r w:rsidR="001B3575" w:rsidRPr="00AA6144">
        <w:rPr>
          <w:i/>
          <w:color w:val="auto"/>
          <w:szCs w:val="18"/>
          <w:lang w:val="en-CA"/>
        </w:rPr>
        <w:t>N</w:t>
      </w:r>
      <w:r w:rsidR="00F65548" w:rsidRPr="00AA6144">
        <w:rPr>
          <w:i/>
          <w:color w:val="auto"/>
          <w:szCs w:val="18"/>
          <w:lang w:val="en-CA"/>
        </w:rPr>
        <w:t>evsun</w:t>
      </w:r>
      <w:proofErr w:type="spellEnd"/>
      <w:r w:rsidR="00F65548" w:rsidRPr="00AA6144">
        <w:rPr>
          <w:i/>
          <w:color w:val="auto"/>
          <w:szCs w:val="18"/>
          <w:lang w:val="en-CA"/>
        </w:rPr>
        <w:t xml:space="preserve"> Resources Ltd..,</w:t>
      </w:r>
      <w:r w:rsidR="00F65548" w:rsidRPr="00AA6144">
        <w:rPr>
          <w:color w:val="auto"/>
          <w:szCs w:val="18"/>
          <w:lang w:val="en-CA"/>
        </w:rPr>
        <w:t xml:space="preserve"> the plaintiffs argued</w:t>
      </w:r>
      <w:r w:rsidR="000B5C8E" w:rsidRPr="00AA6144">
        <w:rPr>
          <w:color w:val="auto"/>
          <w:szCs w:val="18"/>
          <w:lang w:val="en-CA"/>
        </w:rPr>
        <w:t xml:space="preserve"> </w:t>
      </w:r>
      <w:r w:rsidR="009840B8" w:rsidRPr="00AA6144">
        <w:rPr>
          <w:color w:val="auto"/>
          <w:szCs w:val="18"/>
          <w:lang w:val="en-CA"/>
        </w:rPr>
        <w:t xml:space="preserve">that </w:t>
      </w:r>
      <w:proofErr w:type="spellStart"/>
      <w:r w:rsidR="009840B8" w:rsidRPr="00AA6144">
        <w:rPr>
          <w:color w:val="auto"/>
          <w:szCs w:val="18"/>
          <w:lang w:val="en-CA"/>
        </w:rPr>
        <w:t>Nevsun</w:t>
      </w:r>
      <w:proofErr w:type="spellEnd"/>
      <w:r w:rsidR="009840B8" w:rsidRPr="00AA6144">
        <w:rPr>
          <w:color w:val="auto"/>
          <w:szCs w:val="18"/>
          <w:lang w:val="en-CA"/>
        </w:rPr>
        <w:t xml:space="preserve"> is liable for actions contrary to </w:t>
      </w:r>
      <w:r w:rsidR="000B5C8E" w:rsidRPr="00AA6144">
        <w:rPr>
          <w:color w:val="auto"/>
          <w:szCs w:val="18"/>
          <w:lang w:val="en-CA"/>
        </w:rPr>
        <w:t>customary international law</w:t>
      </w:r>
      <w:r w:rsidR="009840B8" w:rsidRPr="00AA6144">
        <w:rPr>
          <w:color w:val="auto"/>
          <w:szCs w:val="18"/>
          <w:lang w:val="en-CA"/>
        </w:rPr>
        <w:t xml:space="preserve"> occurring at a mining project in Eritrea.</w:t>
      </w:r>
      <w:r w:rsidR="001B3575" w:rsidRPr="00AA6144">
        <w:rPr>
          <w:rStyle w:val="FootnoteReference"/>
          <w:color w:val="auto"/>
          <w:szCs w:val="18"/>
          <w:lang w:val="en-CA"/>
        </w:rPr>
        <w:footnoteReference w:id="279"/>
      </w:r>
      <w:r w:rsidR="009840B8" w:rsidRPr="00AA6144">
        <w:rPr>
          <w:color w:val="auto"/>
          <w:szCs w:val="18"/>
          <w:lang w:val="en-CA"/>
        </w:rPr>
        <w:t xml:space="preserve"> </w:t>
      </w:r>
      <w:r w:rsidR="006A222A" w:rsidRPr="00AA6144">
        <w:rPr>
          <w:color w:val="auto"/>
          <w:szCs w:val="18"/>
          <w:lang w:val="en-CA"/>
        </w:rPr>
        <w:t>T</w:t>
      </w:r>
      <w:r w:rsidR="000B5C8E" w:rsidRPr="00AA6144">
        <w:rPr>
          <w:color w:val="auto"/>
          <w:szCs w:val="18"/>
          <w:lang w:val="en-CA"/>
        </w:rPr>
        <w:t xml:space="preserve">he argument was </w:t>
      </w:r>
      <w:r w:rsidR="00E6166A" w:rsidRPr="00AA6144">
        <w:rPr>
          <w:color w:val="auto"/>
          <w:szCs w:val="18"/>
          <w:lang w:val="en-CA"/>
        </w:rPr>
        <w:t>f</w:t>
      </w:r>
      <w:r w:rsidR="000B5C8E" w:rsidRPr="00AA6144">
        <w:rPr>
          <w:color w:val="auto"/>
          <w:szCs w:val="18"/>
          <w:lang w:val="en-CA"/>
        </w:rPr>
        <w:t>ounded on the common law doctrine of adoption, which</w:t>
      </w:r>
      <w:r w:rsidR="009840B8" w:rsidRPr="00AA6144">
        <w:rPr>
          <w:color w:val="auto"/>
          <w:szCs w:val="18"/>
          <w:lang w:val="en-CA"/>
        </w:rPr>
        <w:t xml:space="preserve"> was accepted in Canada </w:t>
      </w:r>
      <w:r w:rsidR="00E6166A" w:rsidRPr="00AA6144">
        <w:rPr>
          <w:color w:val="auto"/>
          <w:szCs w:val="18"/>
          <w:lang w:val="en-CA"/>
        </w:rPr>
        <w:t xml:space="preserve">in </w:t>
      </w:r>
      <w:r w:rsidR="00E6166A" w:rsidRPr="00AA6144">
        <w:rPr>
          <w:i/>
          <w:color w:val="auto"/>
          <w:szCs w:val="18"/>
          <w:lang w:val="en-CA"/>
        </w:rPr>
        <w:t xml:space="preserve">R v </w:t>
      </w:r>
      <w:proofErr w:type="spellStart"/>
      <w:r w:rsidR="00E6166A" w:rsidRPr="00AA6144">
        <w:rPr>
          <w:i/>
          <w:color w:val="auto"/>
          <w:szCs w:val="18"/>
          <w:lang w:val="en-CA"/>
        </w:rPr>
        <w:t>Hape</w:t>
      </w:r>
      <w:proofErr w:type="spellEnd"/>
      <w:r w:rsidR="00E6166A" w:rsidRPr="00AA6144">
        <w:rPr>
          <w:color w:val="auto"/>
          <w:szCs w:val="18"/>
          <w:lang w:val="en-CA"/>
        </w:rPr>
        <w:t xml:space="preserve"> </w:t>
      </w:r>
      <w:r w:rsidR="009840B8" w:rsidRPr="00AA6144">
        <w:rPr>
          <w:color w:val="auto"/>
          <w:szCs w:val="18"/>
          <w:lang w:val="en-CA"/>
        </w:rPr>
        <w:t>as “</w:t>
      </w:r>
      <w:r w:rsidR="009840B8" w:rsidRPr="00AA6144">
        <w:rPr>
          <w:rFonts w:ascii="Times" w:hAnsi="Times"/>
          <w:szCs w:val="18"/>
          <w:lang w:val="en-CA" w:eastAsia="en-US"/>
        </w:rPr>
        <w:t>the courts may adopt rules of customary international law as common law rules in order to base their decisions upon them, provided there is no valid legislation that clearly conflicts with the customary rule”.</w:t>
      </w:r>
      <w:r w:rsidR="009840B8" w:rsidRPr="00AA6144">
        <w:rPr>
          <w:rStyle w:val="FootnoteReference"/>
          <w:rFonts w:ascii="Times" w:hAnsi="Times"/>
          <w:szCs w:val="18"/>
          <w:lang w:val="en-CA" w:eastAsia="en-US"/>
        </w:rPr>
        <w:footnoteReference w:id="280"/>
      </w:r>
    </w:p>
    <w:p w14:paraId="020E24DB" w14:textId="77777777" w:rsidR="009840B8" w:rsidRPr="00AA6144" w:rsidRDefault="009840B8" w:rsidP="009840B8">
      <w:pPr>
        <w:widowControl/>
        <w:suppressAutoHyphens w:val="0"/>
        <w:spacing w:after="0" w:line="240" w:lineRule="auto"/>
        <w:rPr>
          <w:rFonts w:ascii="Times New Roman" w:hAnsi="Times New Roman"/>
          <w:color w:val="auto"/>
          <w:szCs w:val="18"/>
          <w:lang w:val="en-CA" w:eastAsia="en-US"/>
        </w:rPr>
      </w:pPr>
    </w:p>
    <w:p w14:paraId="696B7346" w14:textId="4DFE76C3" w:rsidR="00B304CF" w:rsidRPr="00AA6144" w:rsidRDefault="006A222A" w:rsidP="006424CF">
      <w:pPr>
        <w:pStyle w:val="AIBodyText"/>
        <w:rPr>
          <w:color w:val="auto"/>
          <w:szCs w:val="18"/>
          <w:lang w:val="en-CA"/>
        </w:rPr>
      </w:pPr>
      <w:r w:rsidRPr="00AA6144">
        <w:rPr>
          <w:color w:val="auto"/>
          <w:szCs w:val="18"/>
          <w:lang w:val="en-CA"/>
        </w:rPr>
        <w:t>The</w:t>
      </w:r>
      <w:r w:rsidR="00CD7AC3" w:rsidRPr="00AA6144">
        <w:rPr>
          <w:color w:val="auto"/>
          <w:szCs w:val="18"/>
          <w:lang w:val="en-CA"/>
        </w:rPr>
        <w:t xml:space="preserve"> </w:t>
      </w:r>
      <w:r w:rsidR="009840B8" w:rsidRPr="00AA6144">
        <w:rPr>
          <w:color w:val="auto"/>
          <w:szCs w:val="18"/>
          <w:lang w:val="en-CA"/>
        </w:rPr>
        <w:t xml:space="preserve">British Colombia </w:t>
      </w:r>
      <w:r w:rsidR="00CD7AC3" w:rsidRPr="00AA6144">
        <w:rPr>
          <w:color w:val="auto"/>
          <w:szCs w:val="18"/>
          <w:lang w:val="en-CA"/>
        </w:rPr>
        <w:t>Supreme Court</w:t>
      </w:r>
      <w:r w:rsidRPr="00AA6144">
        <w:rPr>
          <w:color w:val="auto"/>
          <w:szCs w:val="18"/>
          <w:lang w:val="en-CA"/>
        </w:rPr>
        <w:t xml:space="preserve"> </w:t>
      </w:r>
      <w:r w:rsidR="00CD7AC3" w:rsidRPr="00AA6144">
        <w:rPr>
          <w:color w:val="auto"/>
          <w:szCs w:val="18"/>
          <w:lang w:val="en-CA"/>
        </w:rPr>
        <w:t xml:space="preserve">permitted </w:t>
      </w:r>
      <w:r w:rsidRPr="00AA6144">
        <w:rPr>
          <w:color w:val="auto"/>
          <w:szCs w:val="18"/>
          <w:lang w:val="en-CA"/>
        </w:rPr>
        <w:t xml:space="preserve">this </w:t>
      </w:r>
      <w:r w:rsidR="00CD7AC3" w:rsidRPr="00AA6144">
        <w:rPr>
          <w:color w:val="auto"/>
          <w:szCs w:val="18"/>
          <w:lang w:val="en-CA"/>
        </w:rPr>
        <w:t xml:space="preserve">novel </w:t>
      </w:r>
      <w:r w:rsidR="000B5C8E" w:rsidRPr="00AA6144">
        <w:rPr>
          <w:color w:val="auto"/>
          <w:szCs w:val="18"/>
          <w:lang w:val="en-CA"/>
        </w:rPr>
        <w:t xml:space="preserve">claim, which </w:t>
      </w:r>
      <w:r w:rsidR="00481173" w:rsidRPr="00AA6144">
        <w:rPr>
          <w:color w:val="auto"/>
          <w:szCs w:val="18"/>
          <w:lang w:val="en-CA"/>
        </w:rPr>
        <w:t>implies</w:t>
      </w:r>
      <w:r w:rsidR="000B5C8E" w:rsidRPr="00AA6144">
        <w:rPr>
          <w:color w:val="auto"/>
          <w:szCs w:val="18"/>
          <w:lang w:val="en-CA"/>
        </w:rPr>
        <w:t xml:space="preserve"> that violations of customary international law should be civilly actionable as standalone torts under domestic common law. </w:t>
      </w:r>
      <w:proofErr w:type="spellStart"/>
      <w:r w:rsidR="000B5C8E" w:rsidRPr="00AA6144">
        <w:rPr>
          <w:color w:val="auto"/>
          <w:szCs w:val="18"/>
          <w:lang w:val="en-CA"/>
        </w:rPr>
        <w:t>Nevsun</w:t>
      </w:r>
      <w:proofErr w:type="spellEnd"/>
      <w:r w:rsidR="000B5C8E" w:rsidRPr="00AA6144">
        <w:rPr>
          <w:color w:val="auto"/>
          <w:szCs w:val="18"/>
          <w:lang w:val="en-CA"/>
        </w:rPr>
        <w:t xml:space="preserve"> argued that they cannot be hel</w:t>
      </w:r>
      <w:r w:rsidR="009840B8" w:rsidRPr="00AA6144">
        <w:rPr>
          <w:color w:val="auto"/>
          <w:szCs w:val="18"/>
          <w:lang w:val="en-CA"/>
        </w:rPr>
        <w:t>d</w:t>
      </w:r>
      <w:r w:rsidR="000B5C8E" w:rsidRPr="00AA6144">
        <w:rPr>
          <w:color w:val="auto"/>
          <w:szCs w:val="18"/>
          <w:lang w:val="en-CA"/>
        </w:rPr>
        <w:t xml:space="preserve"> liable, and that domestic law should be limited to domestic common law torts. </w:t>
      </w:r>
      <w:r w:rsidR="00CD7AC3" w:rsidRPr="00AA6144">
        <w:rPr>
          <w:color w:val="auto"/>
          <w:szCs w:val="18"/>
          <w:lang w:val="en-CA"/>
        </w:rPr>
        <w:t xml:space="preserve">The </w:t>
      </w:r>
      <w:r w:rsidR="00731B2B" w:rsidRPr="00AA6144">
        <w:rPr>
          <w:color w:val="auto"/>
          <w:szCs w:val="18"/>
          <w:lang w:val="en-CA"/>
        </w:rPr>
        <w:t>C</w:t>
      </w:r>
      <w:r w:rsidR="00CD7AC3" w:rsidRPr="00AA6144">
        <w:rPr>
          <w:color w:val="auto"/>
          <w:szCs w:val="18"/>
          <w:lang w:val="en-CA"/>
        </w:rPr>
        <w:t xml:space="preserve">ourt denied </w:t>
      </w:r>
      <w:proofErr w:type="spellStart"/>
      <w:r w:rsidR="00CD7AC3" w:rsidRPr="00AA6144">
        <w:rPr>
          <w:color w:val="auto"/>
          <w:szCs w:val="18"/>
          <w:lang w:val="en-CA"/>
        </w:rPr>
        <w:t>Nevsun’s</w:t>
      </w:r>
      <w:proofErr w:type="spellEnd"/>
      <w:r w:rsidR="00CD7AC3" w:rsidRPr="00AA6144">
        <w:rPr>
          <w:color w:val="auto"/>
          <w:szCs w:val="18"/>
          <w:lang w:val="en-CA"/>
        </w:rPr>
        <w:t xml:space="preserve"> application to strike those claims.</w:t>
      </w:r>
      <w:r w:rsidR="001B3575" w:rsidRPr="00AA6144">
        <w:rPr>
          <w:rStyle w:val="FootnoteReference"/>
          <w:color w:val="auto"/>
          <w:szCs w:val="18"/>
          <w:lang w:val="en-CA"/>
        </w:rPr>
        <w:footnoteReference w:id="281"/>
      </w:r>
      <w:r w:rsidR="00CD7AC3" w:rsidRPr="00AA6144">
        <w:rPr>
          <w:color w:val="auto"/>
          <w:szCs w:val="18"/>
          <w:lang w:val="en-CA"/>
        </w:rPr>
        <w:t xml:space="preserve"> </w:t>
      </w:r>
    </w:p>
    <w:p w14:paraId="6205E6DF" w14:textId="0766F6E6" w:rsidR="00DE57AC" w:rsidRPr="000C2340" w:rsidRDefault="006424CF" w:rsidP="000C2340">
      <w:pPr>
        <w:pStyle w:val="AIBodyText"/>
        <w:rPr>
          <w:color w:val="auto"/>
          <w:szCs w:val="18"/>
          <w:lang w:val="en-CA"/>
        </w:rPr>
      </w:pPr>
      <w:r w:rsidRPr="00AA6144">
        <w:rPr>
          <w:color w:val="auto"/>
          <w:szCs w:val="18"/>
          <w:lang w:val="en-CA"/>
        </w:rPr>
        <w:t>The a</w:t>
      </w:r>
      <w:r w:rsidR="00DE57AC" w:rsidRPr="00AA6144">
        <w:rPr>
          <w:color w:val="auto"/>
          <w:szCs w:val="18"/>
          <w:lang w:val="en-CA"/>
        </w:rPr>
        <w:t>ppeal was dismissed at B</w:t>
      </w:r>
      <w:r w:rsidRPr="00AA6144">
        <w:rPr>
          <w:color w:val="auto"/>
          <w:szCs w:val="18"/>
          <w:lang w:val="en-CA"/>
        </w:rPr>
        <w:t>ritish Colombia Court of Appeal</w:t>
      </w:r>
      <w:r w:rsidR="00DE57AC" w:rsidRPr="00AA6144">
        <w:rPr>
          <w:color w:val="auto"/>
          <w:szCs w:val="18"/>
          <w:lang w:val="en-CA"/>
        </w:rPr>
        <w:t>.</w:t>
      </w:r>
      <w:r w:rsidRPr="00AA6144">
        <w:rPr>
          <w:color w:val="auto"/>
          <w:szCs w:val="18"/>
          <w:lang w:val="en-CA"/>
        </w:rPr>
        <w:t xml:space="preserve"> On appeal, </w:t>
      </w:r>
      <w:proofErr w:type="spellStart"/>
      <w:r w:rsidRPr="00AA6144">
        <w:rPr>
          <w:color w:val="auto"/>
          <w:szCs w:val="18"/>
          <w:lang w:val="en-CA"/>
        </w:rPr>
        <w:t>Nevsun</w:t>
      </w:r>
      <w:proofErr w:type="spellEnd"/>
      <w:r w:rsidRPr="00AA6144">
        <w:rPr>
          <w:color w:val="auto"/>
          <w:szCs w:val="18"/>
          <w:lang w:val="en-CA"/>
        </w:rPr>
        <w:t xml:space="preserve"> contended that the </w:t>
      </w:r>
      <w:r w:rsidR="00731B2B" w:rsidRPr="00AA6144">
        <w:rPr>
          <w:color w:val="auto"/>
          <w:szCs w:val="18"/>
          <w:lang w:val="en-CA"/>
        </w:rPr>
        <w:t>C</w:t>
      </w:r>
      <w:r w:rsidRPr="00AA6144">
        <w:rPr>
          <w:color w:val="auto"/>
          <w:szCs w:val="18"/>
          <w:lang w:val="en-CA"/>
        </w:rPr>
        <w:t>ourt had err</w:t>
      </w:r>
      <w:r w:rsidR="00731B2B" w:rsidRPr="00AA6144">
        <w:rPr>
          <w:color w:val="auto"/>
          <w:szCs w:val="18"/>
          <w:lang w:val="en-CA"/>
        </w:rPr>
        <w:t>e</w:t>
      </w:r>
      <w:r w:rsidRPr="00AA6144">
        <w:rPr>
          <w:color w:val="auto"/>
          <w:szCs w:val="18"/>
          <w:lang w:val="en-CA"/>
        </w:rPr>
        <w:t xml:space="preserve">d in not striking out the actions that were based on customary international law, as no such cause of action had ever been recognized </w:t>
      </w:r>
      <w:r w:rsidR="0063122D" w:rsidRPr="00AA6144">
        <w:rPr>
          <w:color w:val="auto"/>
          <w:szCs w:val="18"/>
          <w:lang w:val="en-CA"/>
        </w:rPr>
        <w:t>by a</w:t>
      </w:r>
      <w:r w:rsidRPr="00AA6144">
        <w:rPr>
          <w:color w:val="auto"/>
          <w:szCs w:val="18"/>
          <w:lang w:val="en-CA"/>
        </w:rPr>
        <w:t xml:space="preserve"> Canad</w:t>
      </w:r>
      <w:r w:rsidR="0063122D" w:rsidRPr="00AA6144">
        <w:rPr>
          <w:color w:val="auto"/>
          <w:szCs w:val="18"/>
          <w:lang w:val="en-CA"/>
        </w:rPr>
        <w:t>i</w:t>
      </w:r>
      <w:r w:rsidRPr="00AA6144">
        <w:rPr>
          <w:color w:val="auto"/>
          <w:szCs w:val="18"/>
          <w:lang w:val="en-CA"/>
        </w:rPr>
        <w:t>a</w:t>
      </w:r>
      <w:r w:rsidR="0063122D" w:rsidRPr="00AA6144">
        <w:rPr>
          <w:color w:val="auto"/>
          <w:szCs w:val="18"/>
          <w:lang w:val="en-CA"/>
        </w:rPr>
        <w:t>n court</w:t>
      </w:r>
      <w:r w:rsidRPr="00AA6144">
        <w:rPr>
          <w:color w:val="auto"/>
          <w:szCs w:val="18"/>
          <w:lang w:val="en-CA"/>
        </w:rPr>
        <w:t>.</w:t>
      </w:r>
      <w:r w:rsidR="0063122D" w:rsidRPr="00AA6144">
        <w:rPr>
          <w:color w:val="auto"/>
          <w:szCs w:val="18"/>
          <w:lang w:val="en-CA"/>
        </w:rPr>
        <w:t xml:space="preserve"> </w:t>
      </w:r>
      <w:r w:rsidR="000B5C8E" w:rsidRPr="00AA6144">
        <w:rPr>
          <w:color w:val="auto"/>
          <w:szCs w:val="18"/>
          <w:lang w:val="en-CA"/>
        </w:rPr>
        <w:t xml:space="preserve">The judge notes that recent developments in “transnational law” opened the possibility that a step </w:t>
      </w:r>
      <w:r w:rsidR="000B5C8E" w:rsidRPr="000C2340">
        <w:rPr>
          <w:color w:val="auto"/>
          <w:szCs w:val="18"/>
          <w:lang w:val="en-CA"/>
        </w:rPr>
        <w:t>“</w:t>
      </w:r>
      <w:r w:rsidR="00DE57AC" w:rsidRPr="000C2340">
        <w:rPr>
          <w:color w:val="auto"/>
          <w:szCs w:val="18"/>
          <w:lang w:val="en-CA"/>
        </w:rPr>
        <w:t>an incremental step towards reflecting CIL norms in private law remedies might be appropriate in this instanc</w:t>
      </w:r>
      <w:r w:rsidR="000B5C8E" w:rsidRPr="000C2340">
        <w:rPr>
          <w:color w:val="auto"/>
          <w:szCs w:val="18"/>
          <w:lang w:val="en-CA"/>
        </w:rPr>
        <w:t>e”</w:t>
      </w:r>
      <w:r w:rsidR="00DE57AC" w:rsidRPr="000C2340">
        <w:rPr>
          <w:color w:val="auto"/>
          <w:szCs w:val="18"/>
          <w:lang w:val="en-CA"/>
        </w:rPr>
        <w:t xml:space="preserve">. </w:t>
      </w:r>
      <w:proofErr w:type="gramStart"/>
      <w:r w:rsidR="0063122D" w:rsidRPr="000C2340">
        <w:rPr>
          <w:color w:val="auto"/>
          <w:szCs w:val="18"/>
          <w:lang w:val="en-CA"/>
        </w:rPr>
        <w:t>Th</w:t>
      </w:r>
      <w:r w:rsidR="000B5C8E" w:rsidRPr="000C2340">
        <w:rPr>
          <w:color w:val="auto"/>
          <w:szCs w:val="18"/>
          <w:lang w:val="en-CA"/>
        </w:rPr>
        <w:t>us</w:t>
      </w:r>
      <w:proofErr w:type="gramEnd"/>
      <w:r w:rsidR="0063122D" w:rsidRPr="000C2340">
        <w:rPr>
          <w:color w:val="auto"/>
          <w:szCs w:val="18"/>
          <w:lang w:val="en-CA"/>
        </w:rPr>
        <w:t xml:space="preserve"> Court of Appeal found that the c</w:t>
      </w:r>
      <w:r w:rsidR="00DE57AC" w:rsidRPr="000C2340">
        <w:rPr>
          <w:color w:val="auto"/>
          <w:szCs w:val="18"/>
          <w:lang w:val="en-CA"/>
        </w:rPr>
        <w:t>hambers judge had not erred in</w:t>
      </w:r>
      <w:r w:rsidR="0063122D" w:rsidRPr="000C2340">
        <w:rPr>
          <w:color w:val="auto"/>
          <w:szCs w:val="18"/>
          <w:lang w:val="en-CA"/>
        </w:rPr>
        <w:t xml:space="preserve"> accepting the claims based in customary international law</w:t>
      </w:r>
      <w:r w:rsidR="00DE57AC" w:rsidRPr="000C2340">
        <w:rPr>
          <w:color w:val="auto"/>
          <w:szCs w:val="18"/>
          <w:lang w:val="en-CA"/>
        </w:rPr>
        <w:t>.</w:t>
      </w:r>
      <w:r w:rsidR="00DE57AC" w:rsidRPr="000C2340">
        <w:rPr>
          <w:color w:val="auto"/>
        </w:rPr>
        <w:footnoteReference w:id="282"/>
      </w:r>
    </w:p>
    <w:p w14:paraId="33B31EF9" w14:textId="08A321B4" w:rsidR="00001716" w:rsidRPr="00AA6144" w:rsidRDefault="00DE57AC" w:rsidP="001D2AF6">
      <w:pPr>
        <w:pStyle w:val="AIBodyText"/>
        <w:rPr>
          <w:color w:val="auto"/>
          <w:szCs w:val="18"/>
          <w:lang w:val="en-CA"/>
        </w:rPr>
      </w:pPr>
      <w:r w:rsidRPr="00AA6144">
        <w:rPr>
          <w:color w:val="auto"/>
          <w:szCs w:val="18"/>
          <w:lang w:val="en-CA"/>
        </w:rPr>
        <w:t xml:space="preserve"> </w:t>
      </w:r>
      <w:r w:rsidR="00230834" w:rsidRPr="00AA6144">
        <w:rPr>
          <w:color w:val="auto"/>
          <w:szCs w:val="18"/>
          <w:lang w:val="en-CA"/>
        </w:rPr>
        <w:t xml:space="preserve">The case was </w:t>
      </w:r>
      <w:r w:rsidR="00943B3B" w:rsidRPr="00AA6144">
        <w:rPr>
          <w:color w:val="auto"/>
          <w:szCs w:val="18"/>
          <w:lang w:val="en-CA"/>
        </w:rPr>
        <w:t xml:space="preserve">granted leave to appeal to the Supreme Court of </w:t>
      </w:r>
      <w:proofErr w:type="gramStart"/>
      <w:r w:rsidR="00943B3B" w:rsidRPr="00AA6144">
        <w:rPr>
          <w:color w:val="auto"/>
          <w:szCs w:val="18"/>
          <w:lang w:val="en-CA"/>
        </w:rPr>
        <w:t>Canada, and</w:t>
      </w:r>
      <w:proofErr w:type="gramEnd"/>
      <w:r w:rsidR="00943B3B" w:rsidRPr="00AA6144">
        <w:rPr>
          <w:color w:val="auto"/>
          <w:szCs w:val="18"/>
          <w:lang w:val="en-CA"/>
        </w:rPr>
        <w:t xml:space="preserve"> was heard in January 2019.</w:t>
      </w:r>
      <w:r w:rsidR="00FF597A">
        <w:rPr>
          <w:color w:val="auto"/>
          <w:szCs w:val="18"/>
          <w:lang w:val="en-CA"/>
        </w:rPr>
        <w:t xml:space="preserve"> As of October 2019, the Court has yet to render its decision.</w:t>
      </w:r>
    </w:p>
    <w:p w14:paraId="2E8382A5" w14:textId="77777777" w:rsidR="00B67B17" w:rsidRPr="00AA6144" w:rsidRDefault="00B67B17" w:rsidP="001C4498">
      <w:pPr>
        <w:pStyle w:val="Heading2"/>
        <w:rPr>
          <w:color w:val="auto"/>
          <w:lang w:val="en-CA"/>
        </w:rPr>
      </w:pPr>
      <w:bookmarkStart w:id="124" w:name="_Toc43382744"/>
      <w:bookmarkStart w:id="125" w:name="_Toc193798663"/>
      <w:bookmarkStart w:id="126" w:name="_Toc220954462"/>
      <w:r w:rsidRPr="00AA6144">
        <w:rPr>
          <w:color w:val="auto"/>
          <w:lang w:val="en-CA"/>
        </w:rPr>
        <w:t>5.</w:t>
      </w:r>
      <w:r w:rsidR="00D97B53" w:rsidRPr="00AA6144">
        <w:rPr>
          <w:color w:val="auto"/>
          <w:lang w:val="en-CA"/>
        </w:rPr>
        <w:t>2</w:t>
      </w:r>
      <w:r w:rsidR="00F61661" w:rsidRPr="00AA6144">
        <w:rPr>
          <w:color w:val="auto"/>
          <w:lang w:val="en-CA"/>
        </w:rPr>
        <w:t>. C</w:t>
      </w:r>
      <w:r w:rsidRPr="00AA6144">
        <w:rPr>
          <w:color w:val="auto"/>
          <w:lang w:val="en-CA"/>
        </w:rPr>
        <w:t xml:space="preserve">ivil claims in criminal </w:t>
      </w:r>
      <w:r w:rsidR="00E11545" w:rsidRPr="00AA6144">
        <w:rPr>
          <w:color w:val="auto"/>
          <w:lang w:val="en-CA"/>
        </w:rPr>
        <w:t>proceedings</w:t>
      </w:r>
      <w:bookmarkEnd w:id="124"/>
      <w:r w:rsidRPr="00AA6144">
        <w:rPr>
          <w:color w:val="auto"/>
          <w:lang w:val="en-CA"/>
        </w:rPr>
        <w:t xml:space="preserve"> </w:t>
      </w:r>
      <w:bookmarkEnd w:id="125"/>
      <w:bookmarkEnd w:id="126"/>
    </w:p>
    <w:p w14:paraId="0637C3F8" w14:textId="77777777" w:rsidR="00437A3D" w:rsidRPr="00AA6144" w:rsidRDefault="00437A3D" w:rsidP="00437A3D">
      <w:pPr>
        <w:spacing w:after="0"/>
        <w:rPr>
          <w:lang w:val="en-CA"/>
        </w:rPr>
      </w:pPr>
    </w:p>
    <w:p w14:paraId="2465B446" w14:textId="77777777" w:rsidR="00AF47AE" w:rsidRPr="00AA6144" w:rsidRDefault="00AF47AE" w:rsidP="00FA0E27">
      <w:pPr>
        <w:pStyle w:val="AIBodyText"/>
        <w:rPr>
          <w:color w:val="auto"/>
          <w:lang w:val="en-CA" w:bidi="he-IL"/>
        </w:rPr>
      </w:pPr>
      <w:r w:rsidRPr="00AA6144">
        <w:rPr>
          <w:color w:val="auto"/>
          <w:lang w:val="en-CA" w:bidi="he-IL"/>
        </w:rPr>
        <w:t>Victims and their famil</w:t>
      </w:r>
      <w:r w:rsidR="008B0B2D" w:rsidRPr="00AA6144">
        <w:rPr>
          <w:color w:val="auto"/>
          <w:lang w:val="en-CA" w:bidi="he-IL"/>
        </w:rPr>
        <w:t xml:space="preserve">ies or heirs of the victims </w:t>
      </w:r>
      <w:r w:rsidRPr="00AA6144">
        <w:rPr>
          <w:color w:val="auto"/>
          <w:lang w:val="en-CA" w:bidi="he-IL"/>
        </w:rPr>
        <w:t>cannot bring civil claims in criminal proceedings</w:t>
      </w:r>
      <w:r w:rsidR="00172D4F" w:rsidRPr="00AA6144">
        <w:rPr>
          <w:color w:val="auto"/>
          <w:lang w:val="en-CA" w:bidi="he-IL"/>
        </w:rPr>
        <w:t xml:space="preserve"> (for a description of how the rights of victims in such criminal proceedings generally are implemented, see Section 2.5 above)</w:t>
      </w:r>
      <w:r w:rsidRPr="00AA6144">
        <w:rPr>
          <w:color w:val="auto"/>
          <w:lang w:val="en-CA" w:bidi="he-IL"/>
        </w:rPr>
        <w:t>.</w:t>
      </w:r>
    </w:p>
    <w:p w14:paraId="6CC1973A" w14:textId="77777777" w:rsidR="00EB75D4" w:rsidRPr="00AA6144" w:rsidRDefault="00EB75D4" w:rsidP="00FA0E27">
      <w:pPr>
        <w:pStyle w:val="AIBodyText"/>
        <w:rPr>
          <w:color w:val="auto"/>
          <w:lang w:val="en-CA"/>
        </w:rPr>
      </w:pPr>
      <w:r w:rsidRPr="00AA6144">
        <w:rPr>
          <w:color w:val="auto"/>
          <w:lang w:val="en-CA"/>
        </w:rPr>
        <w:t>However, judges may provide compensation or restitution for victims, on their own initiative or at the r</w:t>
      </w:r>
      <w:r w:rsidR="00E848F5" w:rsidRPr="00AA6144">
        <w:rPr>
          <w:color w:val="auto"/>
          <w:lang w:val="en-CA"/>
        </w:rPr>
        <w:t>equest of the Attorney</w:t>
      </w:r>
      <w:r w:rsidR="00DA3E72" w:rsidRPr="00AA6144">
        <w:rPr>
          <w:color w:val="auto"/>
          <w:lang w:val="en-CA"/>
        </w:rPr>
        <w:t xml:space="preserve"> </w:t>
      </w:r>
      <w:r w:rsidR="00E848F5" w:rsidRPr="00AA6144">
        <w:rPr>
          <w:color w:val="auto"/>
          <w:lang w:val="en-CA"/>
        </w:rPr>
        <w:t>General</w:t>
      </w:r>
      <w:r w:rsidR="00EF3150" w:rsidRPr="00AA6144">
        <w:rPr>
          <w:color w:val="auto"/>
          <w:lang w:val="en-CA"/>
        </w:rPr>
        <w:t xml:space="preserve"> of the province in which those proceedings are taken</w:t>
      </w:r>
      <w:r w:rsidR="00E848F5" w:rsidRPr="00AA6144">
        <w:rPr>
          <w:color w:val="auto"/>
          <w:lang w:val="en-CA"/>
        </w:rPr>
        <w:t>.</w:t>
      </w:r>
      <w:r w:rsidR="00325674" w:rsidRPr="00AA6144">
        <w:rPr>
          <w:rStyle w:val="FootnoteReference"/>
          <w:color w:val="auto"/>
          <w:lang w:val="en-CA"/>
        </w:rPr>
        <w:footnoteReference w:id="283"/>
      </w:r>
      <w:r w:rsidR="00E848F5" w:rsidRPr="00AA6144">
        <w:rPr>
          <w:color w:val="auto"/>
          <w:lang w:val="en-CA"/>
        </w:rPr>
        <w:t xml:space="preserve"> For example, section 738(1)</w:t>
      </w:r>
      <w:r w:rsidR="00447B00" w:rsidRPr="00AA6144">
        <w:rPr>
          <w:color w:val="auto"/>
          <w:lang w:val="en-CA"/>
        </w:rPr>
        <w:t>(</w:t>
      </w:r>
      <w:r w:rsidR="00E848F5" w:rsidRPr="00AA6144">
        <w:rPr>
          <w:color w:val="auto"/>
          <w:lang w:val="en-CA"/>
        </w:rPr>
        <w:t xml:space="preserve">a) of the </w:t>
      </w:r>
      <w:r w:rsidR="00E848F5" w:rsidRPr="00AA6144">
        <w:rPr>
          <w:i/>
          <w:color w:val="auto"/>
          <w:lang w:val="en-CA"/>
        </w:rPr>
        <w:t>Criminal Code</w:t>
      </w:r>
      <w:r w:rsidR="00E848F5" w:rsidRPr="00AA6144">
        <w:rPr>
          <w:color w:val="auto"/>
          <w:lang w:val="en-CA"/>
        </w:rPr>
        <w:t xml:space="preserve"> permits judges to order the</w:t>
      </w:r>
      <w:r w:rsidRPr="00AA6144">
        <w:rPr>
          <w:color w:val="auto"/>
          <w:lang w:val="en-CA"/>
        </w:rPr>
        <w:t xml:space="preserve"> payment of ‘‘an amount not exceeding the replacement value of the property as of the date the order is imposed’’</w:t>
      </w:r>
      <w:r w:rsidRPr="00AA6144">
        <w:rPr>
          <w:color w:val="auto"/>
          <w:vertAlign w:val="superscript"/>
          <w:lang w:val="en-CA"/>
        </w:rPr>
        <w:footnoteReference w:id="284"/>
      </w:r>
      <w:r w:rsidRPr="00AA6144">
        <w:rPr>
          <w:color w:val="auto"/>
          <w:lang w:val="en-CA"/>
        </w:rPr>
        <w:t xml:space="preserve"> if the damage, loss or destruction of this property is ‘‘the result of the commission of the offence or the arrest or attempted arrest of the offender’’.</w:t>
      </w:r>
      <w:r w:rsidRPr="00AA6144">
        <w:rPr>
          <w:color w:val="auto"/>
          <w:vertAlign w:val="superscript"/>
          <w:lang w:val="en-CA"/>
        </w:rPr>
        <w:footnoteReference w:id="285"/>
      </w:r>
      <w:r w:rsidRPr="00AA6144">
        <w:rPr>
          <w:color w:val="auto"/>
          <w:lang w:val="en-CA"/>
        </w:rPr>
        <w:t xml:space="preserve"> The imposition of an amount is also provided ‘‘in the case of bodily or psychological harm to any person as a result of the commission of the offence or the arrest or attempted arrest of the offender’’.</w:t>
      </w:r>
      <w:r w:rsidRPr="00AA6144">
        <w:rPr>
          <w:color w:val="auto"/>
          <w:vertAlign w:val="superscript"/>
          <w:lang w:val="en-CA"/>
        </w:rPr>
        <w:footnoteReference w:id="286"/>
      </w:r>
    </w:p>
    <w:p w14:paraId="59D375F1" w14:textId="77777777" w:rsidR="00172D4F" w:rsidRPr="00AA6144" w:rsidRDefault="00172D4F" w:rsidP="00B23564">
      <w:pPr>
        <w:pStyle w:val="Heading2"/>
        <w:numPr>
          <w:ilvl w:val="0"/>
          <w:numId w:val="0"/>
        </w:numPr>
        <w:rPr>
          <w:color w:val="auto"/>
          <w:lang w:val="en-CA"/>
        </w:rPr>
      </w:pPr>
      <w:bookmarkStart w:id="127" w:name="_Toc43382745"/>
      <w:r w:rsidRPr="00AA6144">
        <w:rPr>
          <w:color w:val="auto"/>
          <w:lang w:val="en-CA"/>
        </w:rPr>
        <w:t>5.</w:t>
      </w:r>
      <w:r w:rsidR="00B23564" w:rsidRPr="00AA6144">
        <w:rPr>
          <w:color w:val="auto"/>
          <w:lang w:val="en-CA"/>
        </w:rPr>
        <w:t>3</w:t>
      </w:r>
      <w:r w:rsidR="00D93AD5" w:rsidRPr="00AA6144">
        <w:rPr>
          <w:color w:val="auto"/>
          <w:lang w:val="en-CA"/>
        </w:rPr>
        <w:t>.</w:t>
      </w:r>
      <w:r w:rsidRPr="00AA6144">
        <w:rPr>
          <w:color w:val="auto"/>
          <w:lang w:val="en-CA"/>
        </w:rPr>
        <w:t xml:space="preserve"> </w:t>
      </w:r>
      <w:r w:rsidR="00D93AD5" w:rsidRPr="00AA6144">
        <w:rPr>
          <w:color w:val="auto"/>
          <w:lang w:val="en-CA"/>
        </w:rPr>
        <w:t xml:space="preserve">The right to </w:t>
      </w:r>
      <w:r w:rsidR="00F61661" w:rsidRPr="00AA6144">
        <w:rPr>
          <w:color w:val="auto"/>
          <w:lang w:val="en-CA"/>
        </w:rPr>
        <w:t>r</w:t>
      </w:r>
      <w:r w:rsidRPr="00AA6144">
        <w:rPr>
          <w:color w:val="auto"/>
          <w:lang w:val="en-CA"/>
        </w:rPr>
        <w:t xml:space="preserve">eparation of victims </w:t>
      </w:r>
      <w:r w:rsidR="00D93AD5" w:rsidRPr="00AA6144">
        <w:rPr>
          <w:color w:val="auto"/>
          <w:lang w:val="en-CA"/>
        </w:rPr>
        <w:t>in civil proceedings</w:t>
      </w:r>
      <w:bookmarkEnd w:id="127"/>
    </w:p>
    <w:p w14:paraId="206091B8" w14:textId="77777777" w:rsidR="00437A3D" w:rsidRPr="00AA6144" w:rsidRDefault="00437A3D" w:rsidP="00437A3D">
      <w:pPr>
        <w:spacing w:after="0"/>
        <w:rPr>
          <w:lang w:val="en-CA"/>
        </w:rPr>
      </w:pPr>
    </w:p>
    <w:p w14:paraId="33C2FA4A" w14:textId="77777777" w:rsidR="001C3E73" w:rsidRPr="00AA6144" w:rsidRDefault="00044D86" w:rsidP="00DF338C">
      <w:pPr>
        <w:pStyle w:val="AIBodyText"/>
        <w:rPr>
          <w:lang w:val="en-CA"/>
        </w:rPr>
      </w:pPr>
      <w:proofErr w:type="gramStart"/>
      <w:r w:rsidRPr="00AA6144">
        <w:rPr>
          <w:lang w:val="en-CA"/>
        </w:rPr>
        <w:t>With the exception of</w:t>
      </w:r>
      <w:proofErr w:type="gramEnd"/>
      <w:r w:rsidRPr="00AA6144">
        <w:rPr>
          <w:lang w:val="en-CA"/>
        </w:rPr>
        <w:t xml:space="preserve"> Yukon</w:t>
      </w:r>
      <w:r w:rsidR="00962D31" w:rsidRPr="00AA6144">
        <w:rPr>
          <w:lang w:val="en-CA"/>
        </w:rPr>
        <w:t xml:space="preserve"> </w:t>
      </w:r>
      <w:r w:rsidR="008401A0" w:rsidRPr="00AA6144">
        <w:rPr>
          <w:lang w:val="en-CA"/>
        </w:rPr>
        <w:t>Territory</w:t>
      </w:r>
      <w:r w:rsidRPr="00AA6144">
        <w:rPr>
          <w:lang w:val="en-CA"/>
        </w:rPr>
        <w:t xml:space="preserve">, there is no </w:t>
      </w:r>
      <w:r w:rsidR="00060D28" w:rsidRPr="00AA6144">
        <w:rPr>
          <w:lang w:val="en-CA"/>
        </w:rPr>
        <w:t xml:space="preserve">Canadian legislation </w:t>
      </w:r>
      <w:r w:rsidRPr="00AA6144">
        <w:rPr>
          <w:lang w:val="en-CA"/>
        </w:rPr>
        <w:t>that recognizes</w:t>
      </w:r>
      <w:r w:rsidR="00172D4F" w:rsidRPr="00AA6144">
        <w:rPr>
          <w:lang w:val="en-CA"/>
        </w:rPr>
        <w:t xml:space="preserve"> </w:t>
      </w:r>
      <w:r w:rsidR="006C242C" w:rsidRPr="00AA6144">
        <w:rPr>
          <w:lang w:val="en-CA"/>
        </w:rPr>
        <w:t xml:space="preserve">the right of </w:t>
      </w:r>
      <w:r w:rsidR="00172D4F" w:rsidRPr="00AA6144">
        <w:rPr>
          <w:lang w:val="en-CA"/>
        </w:rPr>
        <w:t>victims of crimes under international law to reparation</w:t>
      </w:r>
      <w:r w:rsidR="00D93AD5" w:rsidRPr="00AA6144">
        <w:rPr>
          <w:lang w:val="en-CA"/>
        </w:rPr>
        <w:t xml:space="preserve"> in civil proceedings</w:t>
      </w:r>
      <w:r w:rsidR="00172D4F" w:rsidRPr="00AA6144">
        <w:rPr>
          <w:lang w:val="en-CA"/>
        </w:rPr>
        <w:t>.</w:t>
      </w:r>
      <w:r w:rsidR="000160DD" w:rsidRPr="00AA6144">
        <w:rPr>
          <w:lang w:val="en-CA"/>
        </w:rPr>
        <w:t xml:space="preserve"> The </w:t>
      </w:r>
      <w:r w:rsidR="000160DD" w:rsidRPr="00AA6144">
        <w:rPr>
          <w:i/>
          <w:lang w:val="en-CA"/>
        </w:rPr>
        <w:t>Yukon Torture Prohibition Act</w:t>
      </w:r>
      <w:r w:rsidR="000160DD" w:rsidRPr="00AA6144">
        <w:rPr>
          <w:lang w:val="en-CA"/>
        </w:rPr>
        <w:t xml:space="preserve"> </w:t>
      </w:r>
      <w:r w:rsidR="00B152A3" w:rsidRPr="00AA6144">
        <w:rPr>
          <w:lang w:val="en-CA"/>
        </w:rPr>
        <w:t>provides an explicit cause of action</w:t>
      </w:r>
      <w:r w:rsidR="005C0257" w:rsidRPr="00AA6144">
        <w:rPr>
          <w:lang w:val="en-CA"/>
        </w:rPr>
        <w:t xml:space="preserve">: </w:t>
      </w:r>
    </w:p>
    <w:p w14:paraId="5A08B66F" w14:textId="77777777" w:rsidR="00DA3CD4" w:rsidRPr="00AA6144" w:rsidRDefault="00DA3CD4" w:rsidP="007B53D3">
      <w:pPr>
        <w:pStyle w:val="AIBodyText"/>
        <w:ind w:left="567"/>
        <w:rPr>
          <w:lang w:val="en-CA"/>
        </w:rPr>
      </w:pPr>
      <w:r w:rsidRPr="00AA6144">
        <w:rPr>
          <w:lang w:val="en-CA"/>
        </w:rPr>
        <w:t>Every public official, and every person acting at the instigation or of with the consent or acquiescence of a public official, who inflicts torture on any other person commits a tort and is liable and renders the employer of the public official or person liable to pay damages to the victim of the torture.</w:t>
      </w:r>
      <w:r w:rsidR="00FE5F9A" w:rsidRPr="00AA6144">
        <w:rPr>
          <w:rStyle w:val="FootnoteReference"/>
          <w:color w:val="auto"/>
          <w:lang w:val="en-CA"/>
        </w:rPr>
        <w:footnoteReference w:id="287"/>
      </w:r>
    </w:p>
    <w:p w14:paraId="1B4B9A17" w14:textId="77777777" w:rsidR="009C5F09" w:rsidRPr="00AA6144" w:rsidRDefault="001C3E73" w:rsidP="00DF338C">
      <w:pPr>
        <w:pStyle w:val="AIBodyText"/>
        <w:rPr>
          <w:lang w:val="en-CA"/>
        </w:rPr>
      </w:pPr>
      <w:r w:rsidRPr="00AA6144">
        <w:rPr>
          <w:lang w:val="en-CA"/>
        </w:rPr>
        <w:t>However, some provincial laws</w:t>
      </w:r>
      <w:r w:rsidR="00E848F5" w:rsidRPr="00AA6144">
        <w:rPr>
          <w:lang w:val="en-CA"/>
        </w:rPr>
        <w:t xml:space="preserve"> allow victims</w:t>
      </w:r>
      <w:r w:rsidRPr="00AA6144">
        <w:rPr>
          <w:lang w:val="en-CA"/>
        </w:rPr>
        <w:t xml:space="preserve"> of crimes</w:t>
      </w:r>
      <w:r w:rsidR="00E848F5" w:rsidRPr="00AA6144">
        <w:rPr>
          <w:lang w:val="en-CA"/>
        </w:rPr>
        <w:t xml:space="preserve"> to initiative civil proceedings to recover damages </w:t>
      </w:r>
      <w:r w:rsidRPr="00AA6144">
        <w:rPr>
          <w:lang w:val="en-CA"/>
        </w:rPr>
        <w:t>against offenders</w:t>
      </w:r>
      <w:r w:rsidR="009C5F09" w:rsidRPr="00AA6144">
        <w:rPr>
          <w:lang w:val="en-CA"/>
        </w:rPr>
        <w:t>.</w:t>
      </w:r>
      <w:r w:rsidR="009C5F09" w:rsidRPr="00AA6144">
        <w:rPr>
          <w:rStyle w:val="FootnoteReference"/>
          <w:color w:val="auto"/>
          <w:lang w:val="en-CA"/>
        </w:rPr>
        <w:footnoteReference w:id="288"/>
      </w:r>
      <w:r w:rsidR="009C5F09" w:rsidRPr="00AA6144">
        <w:rPr>
          <w:lang w:val="en-CA"/>
        </w:rPr>
        <w:t xml:space="preserve"> In addition, </w:t>
      </w:r>
      <w:r w:rsidRPr="00AA6144">
        <w:rPr>
          <w:lang w:val="en-CA"/>
        </w:rPr>
        <w:t>p</w:t>
      </w:r>
      <w:r w:rsidR="009C5F09" w:rsidRPr="00AA6144">
        <w:rPr>
          <w:lang w:val="en-CA"/>
        </w:rPr>
        <w:t xml:space="preserve">rovinces have </w:t>
      </w:r>
      <w:r w:rsidRPr="00AA6144">
        <w:rPr>
          <w:lang w:val="en-CA"/>
        </w:rPr>
        <w:t>established compensation program</w:t>
      </w:r>
      <w:r w:rsidR="00447B00" w:rsidRPr="00AA6144">
        <w:rPr>
          <w:lang w:val="en-CA"/>
        </w:rPr>
        <w:t>s</w:t>
      </w:r>
      <w:r w:rsidRPr="00AA6144">
        <w:rPr>
          <w:lang w:val="en-CA"/>
        </w:rPr>
        <w:t xml:space="preserve"> for the </w:t>
      </w:r>
      <w:r w:rsidR="009C5F09" w:rsidRPr="00AA6144">
        <w:rPr>
          <w:lang w:val="en-CA"/>
        </w:rPr>
        <w:t>victims</w:t>
      </w:r>
      <w:r w:rsidRPr="00AA6144">
        <w:rPr>
          <w:lang w:val="en-CA"/>
        </w:rPr>
        <w:t xml:space="preserve"> of crimes</w:t>
      </w:r>
      <w:r w:rsidR="009C5F09" w:rsidRPr="00AA6144">
        <w:rPr>
          <w:lang w:val="en-CA"/>
        </w:rPr>
        <w:t>.</w:t>
      </w:r>
      <w:bookmarkStart w:id="128" w:name="_Ref267050757"/>
      <w:r w:rsidR="009C5F09" w:rsidRPr="00AA6144">
        <w:rPr>
          <w:vertAlign w:val="superscript"/>
          <w:lang w:val="en-CA"/>
        </w:rPr>
        <w:footnoteReference w:id="289"/>
      </w:r>
      <w:bookmarkEnd w:id="128"/>
      <w:r w:rsidR="009C5F09" w:rsidRPr="00AA6144">
        <w:rPr>
          <w:lang w:val="en-CA"/>
        </w:rPr>
        <w:t xml:space="preserve"> </w:t>
      </w:r>
      <w:r w:rsidRPr="00AA6144">
        <w:rPr>
          <w:lang w:val="en-CA"/>
        </w:rPr>
        <w:t>The</w:t>
      </w:r>
      <w:r w:rsidR="00996F0B" w:rsidRPr="00AA6144">
        <w:rPr>
          <w:lang w:val="en-CA"/>
        </w:rPr>
        <w:t>se provincial programs provide assistance and compensation to</w:t>
      </w:r>
      <w:r w:rsidR="009C5F09" w:rsidRPr="00AA6144">
        <w:rPr>
          <w:lang w:val="en-CA"/>
        </w:rPr>
        <w:t xml:space="preserve"> victims, persons who are responsible for the support of the victim, or, if the victim i</w:t>
      </w:r>
      <w:r w:rsidR="00927010" w:rsidRPr="00AA6144">
        <w:rPr>
          <w:lang w:val="en-CA"/>
        </w:rPr>
        <w:t>s dead, the victim’s dependants. Compensation is</w:t>
      </w:r>
      <w:r w:rsidR="00996F0B" w:rsidRPr="00AA6144">
        <w:rPr>
          <w:lang w:val="en-CA"/>
        </w:rPr>
        <w:t xml:space="preserve"> generally awarded for pecuniary loss</w:t>
      </w:r>
      <w:r w:rsidR="00927010" w:rsidRPr="00AA6144">
        <w:rPr>
          <w:lang w:val="en-CA"/>
        </w:rPr>
        <w:t xml:space="preserve">es incurred by </w:t>
      </w:r>
      <w:r w:rsidR="00996F0B" w:rsidRPr="00AA6144">
        <w:rPr>
          <w:lang w:val="en-CA"/>
        </w:rPr>
        <w:t>victim</w:t>
      </w:r>
      <w:r w:rsidR="00927010" w:rsidRPr="00AA6144">
        <w:rPr>
          <w:lang w:val="en-CA"/>
        </w:rPr>
        <w:t>s</w:t>
      </w:r>
      <w:r w:rsidR="00996F0B" w:rsidRPr="00AA6144">
        <w:rPr>
          <w:lang w:val="en-CA"/>
        </w:rPr>
        <w:t xml:space="preserve"> as a result of disability affecting the victim’s capacity for work, pecuniary loss</w:t>
      </w:r>
      <w:r w:rsidR="00927010" w:rsidRPr="00AA6144">
        <w:rPr>
          <w:lang w:val="en-CA"/>
        </w:rPr>
        <w:t>es</w:t>
      </w:r>
      <w:r w:rsidR="00996F0B" w:rsidRPr="00AA6144">
        <w:rPr>
          <w:lang w:val="en-CA"/>
        </w:rPr>
        <w:t xml:space="preserve"> incurred by dependants as a result of the victim’s death, pain and suffering, support of a child born as a result of rape, </w:t>
      </w:r>
      <w:r w:rsidR="00927010" w:rsidRPr="00AA6144">
        <w:rPr>
          <w:lang w:val="en-CA"/>
        </w:rPr>
        <w:t xml:space="preserve">and </w:t>
      </w:r>
      <w:r w:rsidR="00996F0B" w:rsidRPr="00AA6144">
        <w:rPr>
          <w:lang w:val="en-CA"/>
        </w:rPr>
        <w:t>expenses incurred or to be incurred as a result of the victim’s injury or death.</w:t>
      </w:r>
      <w:r w:rsidR="00996F0B" w:rsidRPr="00AA6144">
        <w:rPr>
          <w:vertAlign w:val="superscript"/>
          <w:lang w:val="en-CA"/>
        </w:rPr>
        <w:footnoteReference w:id="290"/>
      </w:r>
      <w:r w:rsidR="00996F0B" w:rsidRPr="00AA6144">
        <w:rPr>
          <w:lang w:val="en-CA"/>
        </w:rPr>
        <w:t xml:space="preserve"> </w:t>
      </w:r>
      <w:r w:rsidRPr="00AA6144">
        <w:rPr>
          <w:lang w:val="en-CA"/>
        </w:rPr>
        <w:t>Their</w:t>
      </w:r>
      <w:r w:rsidR="009C5F09" w:rsidRPr="00AA6144">
        <w:rPr>
          <w:lang w:val="en-CA"/>
        </w:rPr>
        <w:t xml:space="preserve"> jurisdiction </w:t>
      </w:r>
      <w:r w:rsidRPr="00AA6144">
        <w:rPr>
          <w:lang w:val="en-CA"/>
        </w:rPr>
        <w:t>is limited to</w:t>
      </w:r>
      <w:r w:rsidR="009C5F09" w:rsidRPr="00AA6144">
        <w:rPr>
          <w:lang w:val="en-CA"/>
        </w:rPr>
        <w:t xml:space="preserve"> victims that are injured or killed in their province. </w:t>
      </w:r>
    </w:p>
    <w:p w14:paraId="3E632F0F" w14:textId="77777777" w:rsidR="009C5F09" w:rsidRPr="00AA6144" w:rsidRDefault="009C5F09" w:rsidP="00DF338C">
      <w:pPr>
        <w:pStyle w:val="AIBodyText"/>
        <w:rPr>
          <w:lang w:val="en-CA"/>
        </w:rPr>
      </w:pPr>
      <w:r w:rsidRPr="00AA6144">
        <w:rPr>
          <w:lang w:val="en-CA"/>
        </w:rPr>
        <w:t xml:space="preserve">In 1985, the </w:t>
      </w:r>
      <w:r w:rsidR="00447B00" w:rsidRPr="00AA6144">
        <w:rPr>
          <w:lang w:val="en-CA"/>
        </w:rPr>
        <w:t xml:space="preserve">federal </w:t>
      </w:r>
      <w:r w:rsidRPr="00AA6144">
        <w:rPr>
          <w:lang w:val="en-CA"/>
        </w:rPr>
        <w:t>government created the Victims Assistance Fund. This Fund ‘‘supports a wide range of projects and activities designed to improve the experience of victims in the criminal justice system’’.</w:t>
      </w:r>
      <w:r w:rsidRPr="00AA6144">
        <w:rPr>
          <w:vertAlign w:val="superscript"/>
          <w:lang w:val="en-CA"/>
        </w:rPr>
        <w:footnoteReference w:id="291"/>
      </w:r>
      <w:r w:rsidRPr="00AA6144">
        <w:rPr>
          <w:lang w:val="en-CA"/>
        </w:rPr>
        <w:t xml:space="preserve"> It does not provide compensation to victim</w:t>
      </w:r>
      <w:r w:rsidR="00DD46B4" w:rsidRPr="00AA6144">
        <w:rPr>
          <w:lang w:val="en-CA"/>
        </w:rPr>
        <w:t>s</w:t>
      </w:r>
      <w:r w:rsidRPr="00AA6144">
        <w:rPr>
          <w:lang w:val="en-CA"/>
        </w:rPr>
        <w:t xml:space="preserve"> of crime, because this type of compensation is managed by provincial and territorial compensation programs. The Fund has three components: one provides the financing of provinces and territories to encourage the implementation of their legislations for victims of crime; another provides the financing of governmental and non-governmental organizations that promote access to justice for victims of crime; and the last one provides financial assistance to victims of crime in specific circumstances.</w:t>
      </w:r>
      <w:r w:rsidRPr="00AA6144">
        <w:rPr>
          <w:vertAlign w:val="superscript"/>
          <w:lang w:val="en-CA"/>
        </w:rPr>
        <w:footnoteReference w:id="292"/>
      </w:r>
      <w:r w:rsidR="00927010" w:rsidRPr="00AA6144">
        <w:rPr>
          <w:lang w:val="en-CA"/>
        </w:rPr>
        <w:t xml:space="preserve"> </w:t>
      </w:r>
      <w:r w:rsidRPr="00AA6144">
        <w:rPr>
          <w:lang w:val="en-CA"/>
        </w:rPr>
        <w:t xml:space="preserve">Since 2007, </w:t>
      </w:r>
      <w:r w:rsidR="00AF4093" w:rsidRPr="00AA6144">
        <w:rPr>
          <w:lang w:val="en-CA"/>
        </w:rPr>
        <w:t xml:space="preserve">through the Victims Assistance Fund, </w:t>
      </w:r>
      <w:r w:rsidRPr="00AA6144">
        <w:rPr>
          <w:lang w:val="en-CA"/>
        </w:rPr>
        <w:t xml:space="preserve">the Canadian government </w:t>
      </w:r>
      <w:r w:rsidR="00AF4093" w:rsidRPr="00AA6144">
        <w:rPr>
          <w:lang w:val="en-CA"/>
        </w:rPr>
        <w:t xml:space="preserve">has </w:t>
      </w:r>
      <w:r w:rsidRPr="00AA6144">
        <w:rPr>
          <w:bCs/>
          <w:lang w:val="en-CA"/>
        </w:rPr>
        <w:t xml:space="preserve">an emergency financial assistance for Canadians victimized abroad. This assistance is limited in many ways. First, the assistance is limited to a Canadian who has been a victim of a violent crime abroad, </w:t>
      </w:r>
      <w:r w:rsidRPr="00AA6144">
        <w:rPr>
          <w:lang w:val="en-CA"/>
        </w:rPr>
        <w:t xml:space="preserve">a family member of a victim who is dead, ill or incapacitated due to </w:t>
      </w:r>
      <w:r w:rsidR="00D0636E" w:rsidRPr="00AA6144">
        <w:rPr>
          <w:lang w:val="en-CA"/>
        </w:rPr>
        <w:t xml:space="preserve">their </w:t>
      </w:r>
      <w:r w:rsidRPr="00AA6144">
        <w:rPr>
          <w:lang w:val="en-CA"/>
        </w:rPr>
        <w:t xml:space="preserve">victimization in a foreign jurisdiction or, in the case of a child, </w:t>
      </w:r>
      <w:r w:rsidR="00AD0FB8" w:rsidRPr="00AA6144">
        <w:rPr>
          <w:lang w:val="en-CA"/>
        </w:rPr>
        <w:t xml:space="preserve">the </w:t>
      </w:r>
      <w:r w:rsidRPr="00AA6144">
        <w:rPr>
          <w:lang w:val="en-CA"/>
        </w:rPr>
        <w:t>parent or the person responsible for the care and support of the child</w:t>
      </w:r>
      <w:r w:rsidRPr="00AA6144">
        <w:rPr>
          <w:bCs/>
          <w:lang w:val="en-CA"/>
        </w:rPr>
        <w:t xml:space="preserve"> may be eligible for emergency financial assistance.</w:t>
      </w:r>
      <w:r w:rsidRPr="00AA6144">
        <w:rPr>
          <w:bCs/>
          <w:vertAlign w:val="superscript"/>
          <w:lang w:val="en-CA"/>
        </w:rPr>
        <w:footnoteReference w:id="293"/>
      </w:r>
      <w:r w:rsidRPr="00AA6144">
        <w:rPr>
          <w:bCs/>
          <w:lang w:val="en-CA"/>
        </w:rPr>
        <w:t xml:space="preserve"> Secondly, this financial assistance is limited to victim specific crimes like homicide, sexual assault, aggravated assault and assault with serious personal violence, including against a child. Thirdly, it is also limited in substance because </w:t>
      </w:r>
      <w:r w:rsidR="00701B7A" w:rsidRPr="00AA6144">
        <w:rPr>
          <w:bCs/>
          <w:lang w:val="en-CA"/>
        </w:rPr>
        <w:t xml:space="preserve">the </w:t>
      </w:r>
      <w:r w:rsidRPr="00AA6144">
        <w:rPr>
          <w:bCs/>
          <w:lang w:val="en-CA"/>
        </w:rPr>
        <w:t>financial assistance will only be offer</w:t>
      </w:r>
      <w:r w:rsidR="00701B7A" w:rsidRPr="00AA6144">
        <w:rPr>
          <w:bCs/>
          <w:lang w:val="en-CA"/>
        </w:rPr>
        <w:t>ed</w:t>
      </w:r>
      <w:r w:rsidRPr="00AA6144">
        <w:rPr>
          <w:bCs/>
          <w:lang w:val="en-CA"/>
        </w:rPr>
        <w:t xml:space="preserve"> where no other source of financial assistance is available.</w:t>
      </w:r>
      <w:r w:rsidRPr="00AA6144">
        <w:rPr>
          <w:lang w:val="en-CA"/>
        </w:rPr>
        <w:t xml:space="preserve"> </w:t>
      </w:r>
    </w:p>
    <w:p w14:paraId="7E112FF5" w14:textId="77777777" w:rsidR="00325D54" w:rsidRPr="00AA6144" w:rsidRDefault="00144E28" w:rsidP="00DF338C">
      <w:pPr>
        <w:pStyle w:val="AIBodyText"/>
        <w:rPr>
          <w:lang w:val="en-CA"/>
        </w:rPr>
      </w:pPr>
      <w:r w:rsidRPr="00AA6144">
        <w:rPr>
          <w:lang w:val="en-CA"/>
        </w:rPr>
        <w:t xml:space="preserve">The </w:t>
      </w:r>
      <w:r w:rsidRPr="00AA6144">
        <w:rPr>
          <w:i/>
          <w:lang w:val="en-CA"/>
        </w:rPr>
        <w:t>Crimes Against Humanity and War Crimes Act</w:t>
      </w:r>
      <w:r w:rsidRPr="00AA6144">
        <w:rPr>
          <w:lang w:val="en-CA"/>
        </w:rPr>
        <w:t xml:space="preserve"> also </w:t>
      </w:r>
      <w:r w:rsidR="00D4546A" w:rsidRPr="00AA6144">
        <w:rPr>
          <w:lang w:val="en-CA"/>
        </w:rPr>
        <w:t xml:space="preserve">creates a </w:t>
      </w:r>
      <w:proofErr w:type="gramStart"/>
      <w:r w:rsidR="00D4546A" w:rsidRPr="00AA6144">
        <w:rPr>
          <w:lang w:val="en-CA"/>
        </w:rPr>
        <w:t>victims</w:t>
      </w:r>
      <w:proofErr w:type="gramEnd"/>
      <w:r w:rsidR="00D4546A" w:rsidRPr="00AA6144">
        <w:rPr>
          <w:lang w:val="en-CA"/>
        </w:rPr>
        <w:t xml:space="preserve"> support fund called the Crimes Against Humanity Fund.</w:t>
      </w:r>
      <w:r w:rsidR="00D4546A" w:rsidRPr="00AA6144">
        <w:rPr>
          <w:rStyle w:val="FootnoteReference"/>
          <w:color w:val="auto"/>
          <w:lang w:val="en-CA"/>
        </w:rPr>
        <w:footnoteReference w:id="294"/>
      </w:r>
      <w:r w:rsidR="00182BA2" w:rsidRPr="00AA6144">
        <w:rPr>
          <w:lang w:val="en-CA"/>
        </w:rPr>
        <w:t xml:space="preserve"> </w:t>
      </w:r>
      <w:r w:rsidR="003D4680" w:rsidRPr="00AA6144">
        <w:rPr>
          <w:lang w:val="en-CA"/>
        </w:rPr>
        <w:t xml:space="preserve">Payments are made out of the fund </w:t>
      </w:r>
      <w:r w:rsidR="00325D54" w:rsidRPr="00AA6144">
        <w:rPr>
          <w:lang w:val="en-CA"/>
        </w:rPr>
        <w:t>to</w:t>
      </w:r>
    </w:p>
    <w:p w14:paraId="7469BE37" w14:textId="77777777" w:rsidR="00D4546A" w:rsidRPr="00AA6144" w:rsidRDefault="00D4546A" w:rsidP="00DF338C">
      <w:pPr>
        <w:pStyle w:val="AIBodyText"/>
        <w:rPr>
          <w:lang w:val="en-CA"/>
        </w:rPr>
      </w:pPr>
      <w:r w:rsidRPr="00AA6144">
        <w:rPr>
          <w:lang w:val="en-CA"/>
        </w:rPr>
        <w:t>the International Criminal Court, the Trust Fund established under article 79 of the Rome Statute, victims of offences under this Act or of offences within the jurisdiction of the International Criminal Court, and to the families of those victims, or otherwise as the Attorney General of Canada sees fit.</w:t>
      </w:r>
      <w:r w:rsidR="00325D54" w:rsidRPr="00AA6144">
        <w:rPr>
          <w:rStyle w:val="FootnoteReference"/>
          <w:color w:val="auto"/>
          <w:lang w:val="en-CA"/>
        </w:rPr>
        <w:footnoteReference w:id="295"/>
      </w:r>
    </w:p>
    <w:p w14:paraId="268B583E" w14:textId="77777777" w:rsidR="00302BB8" w:rsidRDefault="00AD43E7" w:rsidP="00DF338C">
      <w:pPr>
        <w:pStyle w:val="AIBodyText"/>
        <w:rPr>
          <w:rFonts w:ascii="Constantia" w:hAnsi="Constantia" w:cs="Lucida Sans Unicode"/>
          <w:lang w:val="en-CA"/>
        </w:rPr>
      </w:pPr>
      <w:r w:rsidRPr="00AA6144">
        <w:rPr>
          <w:lang w:val="en-CA"/>
        </w:rPr>
        <w:t>More generally, since 1988, Canada has also had a “victim fine surcharge.” Two amendments were made in 2000 which made the surcharge a fixed amount and making it mandatory unless it would cause undue</w:t>
      </w:r>
      <w:r w:rsidR="00D959E9" w:rsidRPr="00AA6144">
        <w:rPr>
          <w:lang w:val="en-CA"/>
        </w:rPr>
        <w:t xml:space="preserve"> hardship to the offender. In 2013</w:t>
      </w:r>
      <w:r w:rsidRPr="00AA6144">
        <w:rPr>
          <w:lang w:val="en-CA"/>
        </w:rPr>
        <w:t xml:space="preserve">, the </w:t>
      </w:r>
      <w:r w:rsidRPr="00AA6144">
        <w:rPr>
          <w:i/>
          <w:iCs/>
          <w:lang w:val="en-CA"/>
        </w:rPr>
        <w:t>Increasing Offenders' Accountability for Victims Act</w:t>
      </w:r>
      <w:r w:rsidRPr="00AA6144">
        <w:rPr>
          <w:lang w:val="en-CA"/>
        </w:rPr>
        <w:t xml:space="preserve"> came into force.</w:t>
      </w:r>
      <w:r w:rsidR="00D959E9" w:rsidRPr="00AA6144">
        <w:rPr>
          <w:rStyle w:val="FootnoteReference"/>
          <w:color w:val="auto"/>
          <w:lang w:val="en-CA"/>
        </w:rPr>
        <w:footnoteReference w:id="296"/>
      </w:r>
      <w:r w:rsidRPr="00AA6144">
        <w:rPr>
          <w:lang w:val="en-CA"/>
        </w:rPr>
        <w:t xml:space="preserve"> It amends the victim surcharge provisions in the </w:t>
      </w:r>
      <w:r w:rsidRPr="00AA6144">
        <w:rPr>
          <w:i/>
          <w:iCs/>
          <w:lang w:val="en-CA"/>
        </w:rPr>
        <w:t>Criminal Code</w:t>
      </w:r>
      <w:r w:rsidRPr="00AA6144">
        <w:rPr>
          <w:lang w:val="en-CA"/>
        </w:rPr>
        <w:t xml:space="preserve"> to double the amount that an offender must pay when sentenced, and to ensure that the surcharge is applied in all cases. The surcharge is now 30 percent of any fine imposed on the offender. Where no fine is imposed, the surcharge will be $100 for offences punishable by summary conviction and $200 for offences punishable by indictment. The judge will retain the discretion to impose an increased surcharge where the circumstances </w:t>
      </w:r>
      <w:proofErr w:type="gramStart"/>
      <w:r w:rsidRPr="00AA6144">
        <w:rPr>
          <w:lang w:val="en-CA"/>
        </w:rPr>
        <w:t>warrant</w:t>
      </w:r>
      <w:proofErr w:type="gramEnd"/>
      <w:r w:rsidRPr="00AA6144">
        <w:rPr>
          <w:lang w:val="en-CA"/>
        </w:rPr>
        <w:t xml:space="preserve"> and the offender has the ability to pay. The recent legislation has been controversial</w:t>
      </w:r>
      <w:r w:rsidR="00FE293A" w:rsidRPr="00AA6144">
        <w:rPr>
          <w:lang w:val="en-CA"/>
        </w:rPr>
        <w:t>. For example,</w:t>
      </w:r>
      <w:r w:rsidR="00D959E9" w:rsidRPr="00AA6144">
        <w:rPr>
          <w:lang w:val="en-CA"/>
        </w:rPr>
        <w:t xml:space="preserve"> as a recent Court of Quebec judge noted, it is “a mandatory order that must be imposed in every case with the sentence, </w:t>
      </w:r>
      <w:r w:rsidR="00D959E9" w:rsidRPr="00AA6144">
        <w:rPr>
          <w:rFonts w:cs="Lucida Sans Unicode"/>
          <w:bCs/>
          <w:lang w:val="en-CA"/>
        </w:rPr>
        <w:t>without consideration of the circumstances of the offence or the offender, and without regard for the offender’s ability to discharge this debt.</w:t>
      </w:r>
      <w:r w:rsidR="00D959E9" w:rsidRPr="00AA6144">
        <w:rPr>
          <w:rStyle w:val="FootnoteReference"/>
          <w:rFonts w:cs="Lucida Sans Unicode"/>
          <w:bCs/>
          <w:color w:val="auto"/>
          <w:lang w:val="en-CA"/>
        </w:rPr>
        <w:footnoteReference w:id="297"/>
      </w:r>
      <w:bookmarkStart w:id="129" w:name="_Toc193798666"/>
      <w:bookmarkStart w:id="130" w:name="_Toc220954466"/>
    </w:p>
    <w:p w14:paraId="04710965" w14:textId="77777777" w:rsidR="00302BB8" w:rsidRDefault="00302BB8">
      <w:pPr>
        <w:widowControl/>
        <w:suppressAutoHyphens w:val="0"/>
        <w:spacing w:after="0" w:line="240" w:lineRule="auto"/>
        <w:rPr>
          <w:rFonts w:ascii="Constantia" w:hAnsi="Constantia" w:cs="Lucida Sans Unicode"/>
          <w:lang w:val="en-CA"/>
        </w:rPr>
      </w:pPr>
      <w:r>
        <w:rPr>
          <w:rFonts w:ascii="Constantia" w:hAnsi="Constantia" w:cs="Lucida Sans Unicode"/>
          <w:lang w:val="en-CA"/>
        </w:rPr>
        <w:br w:type="page"/>
      </w:r>
    </w:p>
    <w:p w14:paraId="17B339B2" w14:textId="4AC50C2D" w:rsidR="00F84A21" w:rsidRPr="00302BB8" w:rsidRDefault="00F84A21" w:rsidP="00302BB8">
      <w:pPr>
        <w:pStyle w:val="Heading1"/>
        <w:rPr>
          <w:color w:val="000000" w:themeColor="text1"/>
          <w:lang w:val="en-CA"/>
        </w:rPr>
      </w:pPr>
      <w:bookmarkStart w:id="131" w:name="_Toc43382746"/>
      <w:r w:rsidRPr="00302BB8">
        <w:rPr>
          <w:color w:val="000000" w:themeColor="text1"/>
        </w:rPr>
        <w:t>6. OBSTACLES TO THE EXERCISE OF CRIMINAL OR CIVIL JURISDICTION</w:t>
      </w:r>
      <w:bookmarkEnd w:id="129"/>
      <w:bookmarkEnd w:id="130"/>
      <w:bookmarkEnd w:id="131"/>
    </w:p>
    <w:p w14:paraId="51B922ED" w14:textId="4E4A5313" w:rsidR="00F84A21" w:rsidRPr="00AA6144" w:rsidRDefault="00F84A21" w:rsidP="00352022">
      <w:pPr>
        <w:pStyle w:val="AIBodyText"/>
        <w:rPr>
          <w:rFonts w:eastAsia="Times-Roman"/>
          <w:color w:val="auto"/>
          <w:lang w:val="en-CA"/>
        </w:rPr>
      </w:pPr>
      <w:r w:rsidRPr="00AA6144">
        <w:rPr>
          <w:rFonts w:eastAsia="Times-Roman"/>
          <w:color w:val="auto"/>
          <w:lang w:val="en-CA"/>
        </w:rPr>
        <w:t xml:space="preserve">As discussed below, there are </w:t>
      </w:r>
      <w:r w:rsidR="00911A15" w:rsidRPr="00AA6144">
        <w:rPr>
          <w:rFonts w:eastAsia="Times-Roman"/>
          <w:color w:val="auto"/>
          <w:lang w:val="en-CA"/>
        </w:rPr>
        <w:t>several</w:t>
      </w:r>
      <w:r w:rsidRPr="00AA6144">
        <w:rPr>
          <w:rFonts w:eastAsia="Times-Roman"/>
          <w:color w:val="auto"/>
          <w:lang w:val="en-CA"/>
        </w:rPr>
        <w:t xml:space="preserve"> obstacles </w:t>
      </w:r>
      <w:r w:rsidR="003B23F8" w:rsidRPr="00AA6144">
        <w:rPr>
          <w:rFonts w:eastAsia="Times-Roman"/>
          <w:color w:val="auto"/>
          <w:lang w:val="en-CA"/>
        </w:rPr>
        <w:t>in Canada</w:t>
      </w:r>
      <w:r w:rsidR="00C10CA6" w:rsidRPr="00AA6144">
        <w:rPr>
          <w:rFonts w:eastAsia="Times-Roman"/>
          <w:color w:val="auto"/>
          <w:lang w:val="en-CA"/>
        </w:rPr>
        <w:t xml:space="preserve"> </w:t>
      </w:r>
      <w:r w:rsidRPr="00AA6144">
        <w:rPr>
          <w:rFonts w:eastAsia="Times-Roman"/>
          <w:color w:val="auto"/>
          <w:lang w:val="en-CA"/>
        </w:rPr>
        <w:t xml:space="preserve">to exercising criminal and civil jurisdiction based on universal jurisdiction in criminal and civil cases.  These obstacles include </w:t>
      </w:r>
      <w:r w:rsidR="00911A15" w:rsidRPr="00AA6144">
        <w:rPr>
          <w:rFonts w:eastAsia="Times-Roman"/>
          <w:color w:val="auto"/>
          <w:lang w:val="en-CA"/>
        </w:rPr>
        <w:t xml:space="preserve">flawed or missing definitions of crimes under international law, principles of criminal responsibility and defences (6.1.), presence requirements in order to open an investigation or request extradition (6.2.), statutes of limitations applicable to crimes under international law (6.3.), double criminality (6.4.), immunities (6.5.), bars on retroactive application of international criminal law or other temporal restrictions (6.6.), </w:t>
      </w:r>
      <w:r w:rsidR="00911A15" w:rsidRPr="00AA6144">
        <w:rPr>
          <w:rFonts w:eastAsia="Times-Roman"/>
          <w:i/>
          <w:color w:val="auto"/>
          <w:lang w:val="en-CA"/>
        </w:rPr>
        <w:t>ne bis in idem</w:t>
      </w:r>
      <w:r w:rsidR="00911A15" w:rsidRPr="00AA6144">
        <w:rPr>
          <w:rFonts w:eastAsia="Times-Roman"/>
          <w:color w:val="auto"/>
          <w:lang w:val="en-CA"/>
        </w:rPr>
        <w:t xml:space="preserve"> (6.7.), political control over decisions to investigate and prosecute (6.8.), and restrictions on the rights of victims and their families (6.9).</w:t>
      </w:r>
      <w:r w:rsidR="00286476" w:rsidRPr="00AA6144">
        <w:rPr>
          <w:rStyle w:val="FootnoteReference"/>
          <w:rFonts w:eastAsia="Times-Roman"/>
          <w:color w:val="auto"/>
          <w:lang w:val="en-CA"/>
        </w:rPr>
        <w:footnoteReference w:id="298"/>
      </w:r>
    </w:p>
    <w:p w14:paraId="1461CD9B" w14:textId="47EA02AA" w:rsidR="003D7546" w:rsidRPr="00AA6144" w:rsidRDefault="003D7546" w:rsidP="00352022">
      <w:pPr>
        <w:pStyle w:val="AIBodyText"/>
        <w:rPr>
          <w:rFonts w:eastAsia="Times-Roman"/>
          <w:color w:val="auto"/>
          <w:lang w:val="en-CA"/>
        </w:rPr>
      </w:pPr>
      <w:r w:rsidRPr="00AA6144">
        <w:rPr>
          <w:lang w:val="en-CA"/>
        </w:rPr>
        <w:t xml:space="preserve">In the Canadian context universal jurisdiction is always limited by the fact that the person </w:t>
      </w:r>
      <w:proofErr w:type="gramStart"/>
      <w:r w:rsidRPr="00AA6144">
        <w:rPr>
          <w:lang w:val="en-CA"/>
        </w:rPr>
        <w:t>has to</w:t>
      </w:r>
      <w:proofErr w:type="gramEnd"/>
      <w:r w:rsidRPr="00AA6144">
        <w:rPr>
          <w:lang w:val="en-CA"/>
        </w:rPr>
        <w:t xml:space="preserve"> be present in Canada, see examples in section 7 of the Criminal Code as well as section 8(b) of the CAHWCA</w:t>
      </w:r>
      <w:r w:rsidR="00731B2B" w:rsidRPr="00AA6144">
        <w:rPr>
          <w:lang w:val="en-CA"/>
        </w:rPr>
        <w:t>. T</w:t>
      </w:r>
      <w:r w:rsidRPr="00AA6144">
        <w:rPr>
          <w:lang w:val="en-CA"/>
        </w:rPr>
        <w:t>his approach is the most common internationally as well where the notion of absolute universal jurisdiction (in the sense that no presence is required) was tried in for instance Germany, Belgium and Spain but then restricted by their respective legislatures.</w:t>
      </w:r>
    </w:p>
    <w:p w14:paraId="467DBFF4" w14:textId="77777777" w:rsidR="00F84A21" w:rsidRPr="00AA6144" w:rsidRDefault="00F84A21" w:rsidP="00352022">
      <w:pPr>
        <w:pStyle w:val="Heading2"/>
        <w:rPr>
          <w:rFonts w:eastAsia="Times-Roman"/>
          <w:color w:val="auto"/>
          <w:lang w:val="en-CA"/>
        </w:rPr>
      </w:pPr>
      <w:bookmarkStart w:id="132" w:name="_Toc193798667"/>
      <w:bookmarkStart w:id="133" w:name="_Toc220954467"/>
      <w:bookmarkStart w:id="134" w:name="_Toc43382747"/>
      <w:r w:rsidRPr="00AA6144">
        <w:rPr>
          <w:rFonts w:eastAsia="Times-Roman"/>
          <w:color w:val="auto"/>
          <w:lang w:val="en-CA"/>
        </w:rPr>
        <w:t>6.1. Flawed or missing definitions of crimes under international law, principles of criminal responsibility or defences</w:t>
      </w:r>
      <w:bookmarkEnd w:id="132"/>
      <w:bookmarkEnd w:id="133"/>
      <w:bookmarkEnd w:id="134"/>
    </w:p>
    <w:p w14:paraId="6139D605" w14:textId="77777777" w:rsidR="00DF338C" w:rsidRPr="00AA6144" w:rsidRDefault="00F84A21" w:rsidP="00DF338C">
      <w:pPr>
        <w:pStyle w:val="Heading3"/>
        <w:rPr>
          <w:lang w:val="en-CA"/>
        </w:rPr>
      </w:pPr>
      <w:r w:rsidRPr="00AA6144">
        <w:rPr>
          <w:rFonts w:eastAsia="Times-Roman"/>
          <w:lang w:val="en-CA"/>
        </w:rPr>
        <w:t xml:space="preserve"> </w:t>
      </w:r>
    </w:p>
    <w:p w14:paraId="02D46A9E" w14:textId="77777777" w:rsidR="00F84A21" w:rsidRPr="00AA6144" w:rsidRDefault="00A46EBA" w:rsidP="00DF338C">
      <w:pPr>
        <w:pStyle w:val="Heading3"/>
        <w:rPr>
          <w:lang w:val="en-CA"/>
        </w:rPr>
      </w:pPr>
      <w:bookmarkStart w:id="135" w:name="_Toc43382748"/>
      <w:r w:rsidRPr="00AA6144">
        <w:rPr>
          <w:lang w:val="en-CA"/>
        </w:rPr>
        <w:t xml:space="preserve">6.1.1 </w:t>
      </w:r>
      <w:r w:rsidR="00F84A21" w:rsidRPr="00AA6144">
        <w:rPr>
          <w:lang w:val="en-CA"/>
        </w:rPr>
        <w:t>Definitions of crimes</w:t>
      </w:r>
      <w:bookmarkEnd w:id="135"/>
      <w:r w:rsidR="00F84A21" w:rsidRPr="00AA6144">
        <w:rPr>
          <w:lang w:val="en-CA"/>
        </w:rPr>
        <w:t xml:space="preserve"> </w:t>
      </w:r>
    </w:p>
    <w:p w14:paraId="2A0AD8FC" w14:textId="77777777" w:rsidR="00437A3D" w:rsidRPr="00AA6144" w:rsidRDefault="00437A3D" w:rsidP="00437A3D">
      <w:pPr>
        <w:spacing w:after="0"/>
        <w:rPr>
          <w:lang w:val="en-CA"/>
        </w:rPr>
      </w:pPr>
    </w:p>
    <w:p w14:paraId="7D330E1E" w14:textId="77777777" w:rsidR="00E66FCE" w:rsidRPr="00AA6144" w:rsidRDefault="00E66FCE" w:rsidP="00352022">
      <w:pPr>
        <w:pStyle w:val="AIBodyText"/>
        <w:rPr>
          <w:rFonts w:eastAsia="Times-Roman" w:cs="Times-Roman"/>
          <w:color w:val="auto"/>
          <w:szCs w:val="22"/>
          <w:lang w:val="en-CA"/>
        </w:rPr>
      </w:pPr>
      <w:r w:rsidRPr="00AA6144">
        <w:rPr>
          <w:rFonts w:eastAsia="Times-Roman" w:cs="Times-Roman"/>
          <w:color w:val="auto"/>
          <w:szCs w:val="22"/>
          <w:lang w:val="en-CA"/>
        </w:rPr>
        <w:t>As indicated above in Section 4, the definitions of war crimes, crimes against humanity, genocide, and torture</w:t>
      </w:r>
      <w:r w:rsidR="00E60EF9" w:rsidRPr="00AA6144">
        <w:rPr>
          <w:rFonts w:eastAsia="Times-Roman" w:cs="Times-Roman"/>
          <w:color w:val="auto"/>
          <w:szCs w:val="22"/>
          <w:lang w:val="en-CA"/>
        </w:rPr>
        <w:t xml:space="preserve"> used in national </w:t>
      </w:r>
      <w:r w:rsidR="00C10CA6" w:rsidRPr="00AA6144">
        <w:rPr>
          <w:rFonts w:eastAsia="Times-Roman" w:cs="Times-Roman"/>
          <w:color w:val="auto"/>
          <w:szCs w:val="22"/>
          <w:lang w:val="en-CA"/>
        </w:rPr>
        <w:t>law</w:t>
      </w:r>
      <w:r w:rsidRPr="00AA6144">
        <w:rPr>
          <w:rFonts w:eastAsia="Times-Roman" w:cs="Times-Roman"/>
          <w:color w:val="auto"/>
          <w:szCs w:val="22"/>
          <w:lang w:val="en-CA"/>
        </w:rPr>
        <w:t xml:space="preserve"> are </w:t>
      </w:r>
      <w:r w:rsidR="00952122" w:rsidRPr="00AA6144">
        <w:rPr>
          <w:rFonts w:eastAsia="Times-Roman" w:cs="Times-Roman"/>
          <w:color w:val="auto"/>
          <w:szCs w:val="22"/>
          <w:lang w:val="en-CA"/>
        </w:rPr>
        <w:t xml:space="preserve">basically </w:t>
      </w:r>
      <w:r w:rsidRPr="00AA6144">
        <w:rPr>
          <w:rFonts w:eastAsia="Times-Roman" w:cs="Times-Roman"/>
          <w:color w:val="auto"/>
          <w:szCs w:val="22"/>
          <w:lang w:val="en-CA"/>
        </w:rPr>
        <w:t xml:space="preserve">consistent with international law. </w:t>
      </w:r>
    </w:p>
    <w:p w14:paraId="2AB18C30" w14:textId="0AC777A3" w:rsidR="00F84A21" w:rsidRPr="00AA6144" w:rsidRDefault="00F84A21" w:rsidP="00352022">
      <w:pPr>
        <w:pStyle w:val="AIBodyText"/>
        <w:rPr>
          <w:color w:val="auto"/>
          <w:lang w:val="en-CA"/>
        </w:rPr>
      </w:pPr>
      <w:r w:rsidRPr="00AA6144">
        <w:rPr>
          <w:rFonts w:eastAsia="Times-Roman" w:cs="Times-Roman"/>
          <w:color w:val="auto"/>
          <w:szCs w:val="22"/>
          <w:lang w:val="en-CA"/>
        </w:rPr>
        <w:t xml:space="preserve">However, </w:t>
      </w:r>
      <w:r w:rsidR="00E66FCE" w:rsidRPr="00AA6144">
        <w:rPr>
          <w:rFonts w:eastAsia="Times-Roman" w:cs="Times-Roman"/>
          <w:color w:val="auto"/>
          <w:szCs w:val="22"/>
          <w:lang w:val="en-CA"/>
        </w:rPr>
        <w:t>Canada</w:t>
      </w:r>
      <w:r w:rsidRPr="00AA6144">
        <w:rPr>
          <w:rFonts w:eastAsia="Times-Roman" w:cs="Times-Roman"/>
          <w:color w:val="auto"/>
          <w:szCs w:val="22"/>
          <w:lang w:val="en-CA"/>
        </w:rPr>
        <w:t xml:space="preserve"> has not defined</w:t>
      </w:r>
      <w:r w:rsidR="00E66FCE" w:rsidRPr="00AA6144">
        <w:rPr>
          <w:rFonts w:eastAsia="Times-Roman" w:cs="Times-Roman"/>
          <w:color w:val="auto"/>
          <w:szCs w:val="22"/>
          <w:lang w:val="en-CA"/>
        </w:rPr>
        <w:t xml:space="preserve"> extrajudicial executions</w:t>
      </w:r>
      <w:r w:rsidR="00581EC9" w:rsidRPr="00AA6144">
        <w:rPr>
          <w:rFonts w:eastAsia="Times-Roman" w:cs="Times-Roman"/>
          <w:color w:val="auto"/>
          <w:szCs w:val="22"/>
          <w:lang w:val="en-CA"/>
        </w:rPr>
        <w:t xml:space="preserve"> or </w:t>
      </w:r>
      <w:r w:rsidR="00E66FCE" w:rsidRPr="00AA6144">
        <w:rPr>
          <w:rFonts w:eastAsia="Times-Roman" w:cs="Times-Roman"/>
          <w:color w:val="auto"/>
          <w:szCs w:val="22"/>
          <w:lang w:val="en-CA"/>
        </w:rPr>
        <w:t>enforced disappearances</w:t>
      </w:r>
      <w:r w:rsidR="00581EC9" w:rsidRPr="00AA6144">
        <w:rPr>
          <w:rFonts w:eastAsia="Times-Roman" w:cs="Times-Roman"/>
          <w:color w:val="auto"/>
          <w:szCs w:val="22"/>
          <w:lang w:val="en-CA"/>
        </w:rPr>
        <w:t xml:space="preserve"> </w:t>
      </w:r>
      <w:r w:rsidRPr="00AA6144">
        <w:rPr>
          <w:rFonts w:eastAsia="Times-Roman" w:cs="Times-Roman"/>
          <w:color w:val="auto"/>
          <w:szCs w:val="22"/>
          <w:lang w:val="en-CA"/>
        </w:rPr>
        <w:t>as crimes under national law.</w:t>
      </w:r>
      <w:r w:rsidR="00C807FC" w:rsidRPr="00AA6144">
        <w:rPr>
          <w:rFonts w:eastAsia="Times-Roman" w:cs="Times-Roman"/>
          <w:color w:val="auto"/>
          <w:szCs w:val="22"/>
          <w:lang w:val="en-CA"/>
        </w:rPr>
        <w:t xml:space="preserve"> </w:t>
      </w:r>
      <w:r w:rsidRPr="00AA6144">
        <w:rPr>
          <w:color w:val="auto"/>
          <w:lang w:val="en-CA"/>
        </w:rPr>
        <w:t xml:space="preserve">Instead, persons in </w:t>
      </w:r>
      <w:r w:rsidR="00E66FCE" w:rsidRPr="00AA6144">
        <w:rPr>
          <w:color w:val="auto"/>
          <w:lang w:val="en-CA"/>
        </w:rPr>
        <w:t xml:space="preserve">Canada </w:t>
      </w:r>
      <w:r w:rsidRPr="00AA6144">
        <w:rPr>
          <w:color w:val="auto"/>
          <w:lang w:val="en-CA"/>
        </w:rPr>
        <w:t xml:space="preserve">suspected of such crimes can only be prosecuted </w:t>
      </w:r>
      <w:r w:rsidR="00E60EF9" w:rsidRPr="00AA6144">
        <w:rPr>
          <w:color w:val="auto"/>
          <w:lang w:val="en-CA"/>
        </w:rPr>
        <w:t xml:space="preserve">if the conduct amounts to an </w:t>
      </w:r>
      <w:r w:rsidRPr="00AA6144">
        <w:rPr>
          <w:color w:val="auto"/>
          <w:lang w:val="en-CA"/>
        </w:rPr>
        <w:t>ordinary crime</w:t>
      </w:r>
      <w:r w:rsidR="00581EC9" w:rsidRPr="00AA6144">
        <w:rPr>
          <w:color w:val="auto"/>
          <w:lang w:val="en-CA"/>
        </w:rPr>
        <w:t xml:space="preserve">. </w:t>
      </w:r>
      <w:r w:rsidRPr="00AA6144">
        <w:rPr>
          <w:color w:val="auto"/>
          <w:lang w:val="en-CA"/>
        </w:rPr>
        <w:t>Although some of the conduct amounting to crimes under international law can be</w:t>
      </w:r>
      <w:r w:rsidR="00656F5E" w:rsidRPr="00AA6144">
        <w:rPr>
          <w:color w:val="auto"/>
          <w:lang w:val="en-CA"/>
        </w:rPr>
        <w:t xml:space="preserve"> prosecuted as ordinary crimes</w:t>
      </w:r>
      <w:r w:rsidR="00C24C07" w:rsidRPr="00AA6144">
        <w:rPr>
          <w:color w:val="auto"/>
          <w:lang w:val="en-CA"/>
        </w:rPr>
        <w:t xml:space="preserve"> under the </w:t>
      </w:r>
      <w:r w:rsidR="00C24C07" w:rsidRPr="00AA6144">
        <w:rPr>
          <w:i/>
          <w:color w:val="auto"/>
          <w:lang w:val="en-CA"/>
        </w:rPr>
        <w:t>Criminal Code</w:t>
      </w:r>
      <w:r w:rsidR="00656F5E" w:rsidRPr="00AA6144">
        <w:rPr>
          <w:color w:val="auto"/>
          <w:lang w:val="en-CA"/>
        </w:rPr>
        <w:t>,</w:t>
      </w:r>
      <w:r w:rsidR="000B3A99" w:rsidRPr="00AA6144">
        <w:rPr>
          <w:color w:val="auto"/>
          <w:lang w:val="en-CA"/>
        </w:rPr>
        <w:t xml:space="preserve"> </w:t>
      </w:r>
      <w:r w:rsidRPr="00AA6144">
        <w:rPr>
          <w:color w:val="auto"/>
          <w:lang w:val="en-CA"/>
        </w:rPr>
        <w:t xml:space="preserve">this alternative is not satisfactory as it leaves gaps where conduct amounting to crimes under international law is not subject to criminal responsibility under national law.  Moreover, prosecution based on universal jurisdiction for ordinary crimes is not possible in </w:t>
      </w:r>
      <w:r w:rsidR="00656F5E" w:rsidRPr="00AA6144">
        <w:rPr>
          <w:color w:val="auto"/>
          <w:lang w:val="en-CA"/>
        </w:rPr>
        <w:t xml:space="preserve">Canada. </w:t>
      </w:r>
      <w:r w:rsidRPr="00AA6144">
        <w:rPr>
          <w:color w:val="auto"/>
          <w:lang w:val="en-CA"/>
        </w:rPr>
        <w:t>In addition, conviction for an ordinary crime, even when it has common elements, does not convey the same moral condemnation as if the person had been convicted of the crime under international law and does not necessarily involve as severe a punishment.</w:t>
      </w:r>
      <w:r w:rsidR="0003478E" w:rsidRPr="00AA6144">
        <w:rPr>
          <w:rStyle w:val="FootnoteReference"/>
          <w:color w:val="auto"/>
          <w:szCs w:val="22"/>
          <w:lang w:val="en-CA"/>
        </w:rPr>
        <w:t xml:space="preserve"> </w:t>
      </w:r>
      <w:r w:rsidR="0003478E" w:rsidRPr="00AA6144">
        <w:rPr>
          <w:rStyle w:val="FootnoteReference"/>
          <w:color w:val="auto"/>
          <w:szCs w:val="22"/>
          <w:lang w:val="en-CA"/>
        </w:rPr>
        <w:footnoteReference w:id="299"/>
      </w:r>
      <w:r w:rsidRPr="00AA6144">
        <w:rPr>
          <w:color w:val="auto"/>
          <w:lang w:val="en-CA"/>
        </w:rPr>
        <w:t xml:space="preserve">  </w:t>
      </w:r>
    </w:p>
    <w:p w14:paraId="785BC781" w14:textId="77777777" w:rsidR="00F84A21" w:rsidRPr="00AA6144" w:rsidRDefault="00A46EBA" w:rsidP="00A46EBA">
      <w:pPr>
        <w:pStyle w:val="Heading3"/>
        <w:rPr>
          <w:color w:val="auto"/>
          <w:lang w:val="en-CA"/>
        </w:rPr>
      </w:pPr>
      <w:bookmarkStart w:id="136" w:name="_Toc43382749"/>
      <w:r w:rsidRPr="00AA6144">
        <w:rPr>
          <w:color w:val="auto"/>
          <w:lang w:val="en-CA"/>
        </w:rPr>
        <w:t xml:space="preserve">6.1.2. </w:t>
      </w:r>
      <w:r w:rsidR="00F84A21" w:rsidRPr="00AA6144">
        <w:rPr>
          <w:color w:val="auto"/>
          <w:lang w:val="en-CA"/>
        </w:rPr>
        <w:t>Principles of criminal responsibility</w:t>
      </w:r>
      <w:bookmarkEnd w:id="136"/>
      <w:r w:rsidR="00F84A21" w:rsidRPr="00AA6144">
        <w:rPr>
          <w:color w:val="auto"/>
          <w:lang w:val="en-CA"/>
        </w:rPr>
        <w:t xml:space="preserve"> </w:t>
      </w:r>
    </w:p>
    <w:p w14:paraId="7401974C" w14:textId="77777777" w:rsidR="00437A3D" w:rsidRPr="00AA6144" w:rsidRDefault="00437A3D" w:rsidP="00437A3D">
      <w:pPr>
        <w:spacing w:after="0"/>
        <w:rPr>
          <w:lang w:val="en-CA"/>
        </w:rPr>
      </w:pPr>
    </w:p>
    <w:p w14:paraId="7C162D20" w14:textId="77777777" w:rsidR="00656F5E" w:rsidRPr="00AA6144" w:rsidRDefault="00656F5E" w:rsidP="00656F5E">
      <w:pPr>
        <w:pStyle w:val="AIBodyText"/>
        <w:rPr>
          <w:color w:val="auto"/>
          <w:lang w:val="en-CA"/>
        </w:rPr>
      </w:pPr>
      <w:r w:rsidRPr="00AA6144">
        <w:rPr>
          <w:color w:val="auto"/>
          <w:lang w:val="en-CA"/>
        </w:rPr>
        <w:t xml:space="preserve">Principles of criminal responsibility are found both in statutes, such as the general part of a criminal code, as in many civil law countries, and in jurisprudence, as traditionally has been the case in common law countries although there has been a shift in </w:t>
      </w:r>
      <w:r w:rsidR="00E86F66" w:rsidRPr="00AA6144">
        <w:rPr>
          <w:color w:val="auto"/>
          <w:lang w:val="en-CA"/>
        </w:rPr>
        <w:t xml:space="preserve">common law </w:t>
      </w:r>
      <w:r w:rsidRPr="00AA6144">
        <w:rPr>
          <w:color w:val="auto"/>
          <w:lang w:val="en-CA"/>
        </w:rPr>
        <w:t>countries to</w:t>
      </w:r>
      <w:r w:rsidR="00E86F66" w:rsidRPr="00AA6144">
        <w:rPr>
          <w:color w:val="auto"/>
          <w:lang w:val="en-CA"/>
        </w:rPr>
        <w:t xml:space="preserve"> the</w:t>
      </w:r>
      <w:r w:rsidRPr="00AA6144">
        <w:rPr>
          <w:color w:val="auto"/>
          <w:lang w:val="en-CA"/>
        </w:rPr>
        <w:t xml:space="preserve"> codification of some principles of responsibility. As explained below, some of the principles of criminal responsibility under domestic law, such as the principle of superior responsibility, fall short of the principles of responsibility required under international law with respect to </w:t>
      </w:r>
      <w:r w:rsidR="00475A37" w:rsidRPr="00AA6144">
        <w:rPr>
          <w:color w:val="auto"/>
          <w:lang w:val="en-CA"/>
        </w:rPr>
        <w:t xml:space="preserve">crimes under </w:t>
      </w:r>
      <w:r w:rsidRPr="00AA6144">
        <w:rPr>
          <w:color w:val="auto"/>
          <w:lang w:val="en-CA"/>
        </w:rPr>
        <w:t xml:space="preserve">international </w:t>
      </w:r>
      <w:r w:rsidR="00475A37" w:rsidRPr="00AA6144">
        <w:rPr>
          <w:color w:val="auto"/>
          <w:lang w:val="en-CA"/>
        </w:rPr>
        <w:t>law</w:t>
      </w:r>
      <w:r w:rsidRPr="00AA6144">
        <w:rPr>
          <w:color w:val="auto"/>
          <w:lang w:val="en-CA"/>
        </w:rPr>
        <w:t>. Other principles of criminal responsibility, as found in domestic law, are largely consistent with principles of international law.</w:t>
      </w:r>
    </w:p>
    <w:p w14:paraId="79CE21D4" w14:textId="77777777" w:rsidR="00C57C02" w:rsidRPr="00AA6144" w:rsidRDefault="00C57C02" w:rsidP="00C57C02">
      <w:pPr>
        <w:pStyle w:val="AIBodyText"/>
        <w:rPr>
          <w:color w:val="auto"/>
          <w:lang w:val="en-CA"/>
        </w:rPr>
      </w:pPr>
      <w:r w:rsidRPr="00AA6144">
        <w:rPr>
          <w:color w:val="auto"/>
          <w:lang w:val="en-CA"/>
        </w:rPr>
        <w:t xml:space="preserve">There are </w:t>
      </w:r>
      <w:proofErr w:type="gramStart"/>
      <w:r w:rsidRPr="00AA6144">
        <w:rPr>
          <w:color w:val="auto"/>
          <w:lang w:val="en-CA"/>
        </w:rPr>
        <w:t>a number of</w:t>
      </w:r>
      <w:proofErr w:type="gramEnd"/>
      <w:r w:rsidRPr="00AA6144">
        <w:rPr>
          <w:color w:val="auto"/>
          <w:lang w:val="en-CA"/>
        </w:rPr>
        <w:t xml:space="preserve"> differences between </w:t>
      </w:r>
      <w:r w:rsidR="00E86F66" w:rsidRPr="00AA6144">
        <w:rPr>
          <w:color w:val="auto"/>
          <w:lang w:val="en-CA"/>
        </w:rPr>
        <w:t xml:space="preserve">the </w:t>
      </w:r>
      <w:r w:rsidRPr="00AA6144">
        <w:rPr>
          <w:color w:val="auto"/>
          <w:lang w:val="en-CA"/>
        </w:rPr>
        <w:t xml:space="preserve">principles of criminal responsibility </w:t>
      </w:r>
      <w:r w:rsidR="00FD7415" w:rsidRPr="00AA6144">
        <w:rPr>
          <w:color w:val="auto"/>
          <w:lang w:val="en-CA"/>
        </w:rPr>
        <w:t>in Canadian law</w:t>
      </w:r>
      <w:r w:rsidRPr="00AA6144">
        <w:rPr>
          <w:color w:val="auto"/>
          <w:lang w:val="en-CA"/>
        </w:rPr>
        <w:t xml:space="preserve"> and </w:t>
      </w:r>
      <w:r w:rsidR="00E86F66" w:rsidRPr="00AA6144">
        <w:rPr>
          <w:color w:val="auto"/>
          <w:lang w:val="en-CA"/>
        </w:rPr>
        <w:t xml:space="preserve">those found </w:t>
      </w:r>
      <w:r w:rsidRPr="00AA6144">
        <w:rPr>
          <w:color w:val="auto"/>
          <w:lang w:val="en-CA"/>
        </w:rPr>
        <w:t xml:space="preserve">in the </w:t>
      </w:r>
      <w:r w:rsidR="005C5FF0" w:rsidRPr="00AA6144">
        <w:rPr>
          <w:color w:val="auto"/>
          <w:lang w:val="en-CA"/>
        </w:rPr>
        <w:t>Rome Statute</w:t>
      </w:r>
      <w:r w:rsidRPr="00AA6144">
        <w:rPr>
          <w:i/>
          <w:color w:val="auto"/>
          <w:lang w:val="en-CA"/>
        </w:rPr>
        <w:t xml:space="preserve"> </w:t>
      </w:r>
      <w:r w:rsidRPr="00AA6144">
        <w:rPr>
          <w:color w:val="auto"/>
          <w:lang w:val="en-CA"/>
        </w:rPr>
        <w:t xml:space="preserve">and other international instruments. The principle of superior responsibility in international law is found in Articles 86 (2) and 87 of </w:t>
      </w:r>
      <w:r w:rsidR="00FD7415" w:rsidRPr="00AA6144">
        <w:rPr>
          <w:color w:val="auto"/>
          <w:lang w:val="en-CA"/>
        </w:rPr>
        <w:t>Additional Protocol I</w:t>
      </w:r>
      <w:r w:rsidR="00D970B7" w:rsidRPr="00AA6144">
        <w:rPr>
          <w:color w:val="auto"/>
          <w:lang w:val="en-CA"/>
        </w:rPr>
        <w:t>,</w:t>
      </w:r>
      <w:r w:rsidRPr="00AA6144">
        <w:rPr>
          <w:color w:val="auto"/>
          <w:vertAlign w:val="superscript"/>
          <w:lang w:val="en-CA"/>
        </w:rPr>
        <w:footnoteReference w:id="300"/>
      </w:r>
      <w:r w:rsidRPr="00AA6144">
        <w:rPr>
          <w:color w:val="auto"/>
          <w:lang w:val="en-CA"/>
        </w:rPr>
        <w:t xml:space="preserve"> Article 6 of the International Law Commission’s 1996 Draft Code of Crimes against the Peace and Security of Mankind</w:t>
      </w:r>
      <w:bookmarkStart w:id="137" w:name="_Ref267051028"/>
      <w:r w:rsidRPr="00AA6144">
        <w:rPr>
          <w:color w:val="auto"/>
          <w:vertAlign w:val="superscript"/>
          <w:lang w:val="en-CA"/>
        </w:rPr>
        <w:footnoteReference w:id="301"/>
      </w:r>
      <w:bookmarkEnd w:id="137"/>
      <w:r w:rsidRPr="00AA6144">
        <w:rPr>
          <w:color w:val="auto"/>
          <w:lang w:val="en-CA"/>
        </w:rPr>
        <w:t xml:space="preserve"> and Article 28 of the </w:t>
      </w:r>
      <w:r w:rsidR="005C5FF0" w:rsidRPr="00AA6144">
        <w:rPr>
          <w:color w:val="auto"/>
          <w:lang w:val="en-CA"/>
        </w:rPr>
        <w:t>Rome Statute</w:t>
      </w:r>
      <w:r w:rsidR="008C4509" w:rsidRPr="00AA6144">
        <w:rPr>
          <w:color w:val="auto"/>
          <w:lang w:val="en-CA"/>
        </w:rPr>
        <w:t>.</w:t>
      </w:r>
      <w:r w:rsidRPr="00AA6144">
        <w:rPr>
          <w:color w:val="auto"/>
          <w:vertAlign w:val="superscript"/>
          <w:lang w:val="en-CA"/>
        </w:rPr>
        <w:footnoteReference w:id="302"/>
      </w:r>
      <w:r w:rsidRPr="00AA6144">
        <w:rPr>
          <w:color w:val="auto"/>
          <w:lang w:val="en-CA"/>
        </w:rPr>
        <w:t xml:space="preserve"> In addition, the Committee against Torture has concluded that superiors cannot escape criminal responsibility for torture committed by their subordinates.</w:t>
      </w:r>
      <w:bookmarkStart w:id="138" w:name="_Ref267051086"/>
      <w:r w:rsidRPr="00AA6144">
        <w:rPr>
          <w:color w:val="auto"/>
          <w:vertAlign w:val="superscript"/>
          <w:lang w:val="en-CA"/>
        </w:rPr>
        <w:footnoteReference w:id="303"/>
      </w:r>
      <w:bookmarkEnd w:id="138"/>
    </w:p>
    <w:p w14:paraId="73F4AFEF" w14:textId="5B5B8891" w:rsidR="0029519C" w:rsidRPr="00AA6144" w:rsidRDefault="004A4495" w:rsidP="004E2AF3">
      <w:pPr>
        <w:pStyle w:val="AIBodyText"/>
        <w:rPr>
          <w:color w:val="auto"/>
          <w:lang w:val="en-CA"/>
        </w:rPr>
      </w:pPr>
      <w:r w:rsidRPr="00AA6144">
        <w:rPr>
          <w:color w:val="auto"/>
          <w:lang w:val="en-CA"/>
        </w:rPr>
        <w:t xml:space="preserve">The principle of command </w:t>
      </w:r>
      <w:r w:rsidR="00C57C02" w:rsidRPr="00AA6144">
        <w:rPr>
          <w:color w:val="auto"/>
          <w:lang w:val="en-CA"/>
        </w:rPr>
        <w:t>respo</w:t>
      </w:r>
      <w:r w:rsidR="00385A96" w:rsidRPr="00AA6144">
        <w:rPr>
          <w:color w:val="auto"/>
          <w:lang w:val="en-CA"/>
        </w:rPr>
        <w:t xml:space="preserve">nsibility in </w:t>
      </w:r>
      <w:r w:rsidR="00FD7415" w:rsidRPr="00AA6144">
        <w:rPr>
          <w:color w:val="auto"/>
          <w:lang w:val="en-CA"/>
        </w:rPr>
        <w:t xml:space="preserve">Canadian law </w:t>
      </w:r>
      <w:r w:rsidR="00C57C02" w:rsidRPr="00AA6144">
        <w:rPr>
          <w:color w:val="auto"/>
          <w:lang w:val="en-CA"/>
        </w:rPr>
        <w:t xml:space="preserve">departs from the approach of the </w:t>
      </w:r>
      <w:r w:rsidR="005C5FF0" w:rsidRPr="00AA6144">
        <w:rPr>
          <w:color w:val="auto"/>
          <w:lang w:val="en-CA"/>
        </w:rPr>
        <w:t>Rome Statute</w:t>
      </w:r>
      <w:r w:rsidR="00C57C02" w:rsidRPr="00AA6144">
        <w:rPr>
          <w:color w:val="auto"/>
          <w:lang w:val="en-CA"/>
        </w:rPr>
        <w:t xml:space="preserve"> in the area of </w:t>
      </w:r>
      <w:r w:rsidRPr="00AA6144">
        <w:rPr>
          <w:color w:val="auto"/>
          <w:lang w:val="en-CA"/>
        </w:rPr>
        <w:t xml:space="preserve">superior </w:t>
      </w:r>
      <w:r w:rsidR="00C57C02" w:rsidRPr="00AA6144">
        <w:rPr>
          <w:color w:val="auto"/>
          <w:lang w:val="en-CA"/>
        </w:rPr>
        <w:t>responsibility.</w:t>
      </w:r>
      <w:bookmarkStart w:id="139" w:name="_Ref267050916"/>
      <w:r w:rsidR="00C57C02" w:rsidRPr="00AA6144">
        <w:rPr>
          <w:color w:val="auto"/>
          <w:vertAlign w:val="superscript"/>
          <w:lang w:val="en-CA"/>
        </w:rPr>
        <w:footnoteReference w:id="304"/>
      </w:r>
      <w:bookmarkEnd w:id="139"/>
      <w:r w:rsidR="004E2AF3" w:rsidRPr="00AA6144">
        <w:rPr>
          <w:color w:val="auto"/>
          <w:lang w:val="en-CA"/>
        </w:rPr>
        <w:t xml:space="preserve"> Whereas Article 28 of the </w:t>
      </w:r>
      <w:r w:rsidR="005C5FF0" w:rsidRPr="00AA6144">
        <w:rPr>
          <w:color w:val="auto"/>
          <w:lang w:val="en-CA"/>
        </w:rPr>
        <w:t>Rome Statute</w:t>
      </w:r>
      <w:r w:rsidR="004E2AF3" w:rsidRPr="00AA6144">
        <w:rPr>
          <w:color w:val="auto"/>
          <w:lang w:val="en-CA"/>
        </w:rPr>
        <w:t xml:space="preserve"> makes a military commander or civilian superior subject to prosecution for negligent supervision of subordinates who commit one of </w:t>
      </w:r>
      <w:r w:rsidR="00AA00DA">
        <w:rPr>
          <w:color w:val="auto"/>
          <w:lang w:val="en-CA"/>
        </w:rPr>
        <w:t xml:space="preserve">the </w:t>
      </w:r>
      <w:r w:rsidR="004E2AF3" w:rsidRPr="00AA6144">
        <w:rPr>
          <w:color w:val="auto"/>
          <w:lang w:val="en-CA"/>
        </w:rPr>
        <w:t>crimes</w:t>
      </w:r>
      <w:r w:rsidR="00AD733B">
        <w:rPr>
          <w:color w:val="auto"/>
          <w:lang w:val="en-CA"/>
        </w:rPr>
        <w:t xml:space="preserve"> within the jurisdiction of the Court</w:t>
      </w:r>
      <w:r w:rsidR="004E2AF3" w:rsidRPr="00AA6144">
        <w:rPr>
          <w:color w:val="auto"/>
          <w:lang w:val="en-CA"/>
        </w:rPr>
        <w:t>, Canadian legislation treats command responsibility as a distinct offence.</w:t>
      </w:r>
      <w:r w:rsidR="004E2AF3" w:rsidRPr="00AA6144">
        <w:rPr>
          <w:rStyle w:val="FootnoteReference"/>
          <w:color w:val="auto"/>
          <w:lang w:val="en-CA"/>
        </w:rPr>
        <w:footnoteReference w:id="305"/>
      </w:r>
      <w:r w:rsidR="006B2862" w:rsidRPr="00AA6144">
        <w:rPr>
          <w:color w:val="auto"/>
          <w:lang w:val="en-CA"/>
        </w:rPr>
        <w:t xml:space="preserve"> </w:t>
      </w:r>
      <w:r w:rsidR="00BF566D" w:rsidRPr="00AA6144">
        <w:rPr>
          <w:lang w:val="en-CA"/>
        </w:rPr>
        <w:t>This</w:t>
      </w:r>
      <w:r w:rsidR="006B2862" w:rsidRPr="00AA6144">
        <w:rPr>
          <w:lang w:val="en-CA"/>
        </w:rPr>
        <w:t xml:space="preserve"> could widen the responsibility of persons involved in</w:t>
      </w:r>
      <w:r w:rsidR="00813569">
        <w:rPr>
          <w:lang w:val="en-CA"/>
        </w:rPr>
        <w:t xml:space="preserve"> crimes under international law</w:t>
      </w:r>
      <w:r w:rsidR="006B2862" w:rsidRPr="00AA6144">
        <w:rPr>
          <w:lang w:val="en-CA"/>
        </w:rPr>
        <w:t>, as persons who have indirectly liability to this offences can also be held responsible, which is not possible under international law, at least not under this provision.</w:t>
      </w:r>
      <w:r w:rsidR="004E2AF3" w:rsidRPr="00AA6144">
        <w:rPr>
          <w:color w:val="auto"/>
          <w:lang w:val="en-CA"/>
        </w:rPr>
        <w:t xml:space="preserve"> </w:t>
      </w:r>
      <w:r w:rsidR="001A762E" w:rsidRPr="00AA6144">
        <w:rPr>
          <w:color w:val="auto"/>
          <w:lang w:val="en-CA"/>
        </w:rPr>
        <w:t xml:space="preserve">The </w:t>
      </w:r>
      <w:r w:rsidR="001A762E" w:rsidRPr="00AA6144">
        <w:rPr>
          <w:i/>
          <w:color w:val="auto"/>
          <w:lang w:val="en-CA"/>
        </w:rPr>
        <w:t>CAHWCA</w:t>
      </w:r>
      <w:r w:rsidR="001A762E" w:rsidRPr="00AA6144">
        <w:rPr>
          <w:color w:val="auto"/>
          <w:lang w:val="en-CA"/>
        </w:rPr>
        <w:t xml:space="preserve"> </w:t>
      </w:r>
      <w:r w:rsidR="0029519C" w:rsidRPr="00AA6144">
        <w:rPr>
          <w:color w:val="auto"/>
          <w:lang w:val="en-CA"/>
        </w:rPr>
        <w:t>defines command responsibility in section 5(1), where a military commander commits an indictable offence if:</w:t>
      </w:r>
    </w:p>
    <w:p w14:paraId="0D0E4FA6" w14:textId="77777777" w:rsidR="0029519C" w:rsidRPr="00AA6144" w:rsidRDefault="0029519C" w:rsidP="00D54EE5">
      <w:pPr>
        <w:pStyle w:val="AIBodyText"/>
        <w:ind w:left="357" w:right="567"/>
        <w:rPr>
          <w:color w:val="auto"/>
          <w:lang w:val="en-CA"/>
        </w:rPr>
      </w:pPr>
      <w:r w:rsidRPr="00AA6144">
        <w:rPr>
          <w:color w:val="auto"/>
          <w:lang w:val="en-CA"/>
        </w:rPr>
        <w:t>(a) the military commander</w:t>
      </w:r>
    </w:p>
    <w:p w14:paraId="79125577" w14:textId="77777777" w:rsidR="0029519C" w:rsidRPr="00AA6144" w:rsidRDefault="0029519C" w:rsidP="00D54EE5">
      <w:pPr>
        <w:pStyle w:val="AIBodyText"/>
        <w:ind w:left="714" w:right="567"/>
        <w:rPr>
          <w:color w:val="auto"/>
          <w:lang w:val="en-CA"/>
        </w:rPr>
      </w:pPr>
      <w:proofErr w:type="spellStart"/>
      <w:r w:rsidRPr="00AA6144">
        <w:rPr>
          <w:color w:val="auto"/>
          <w:lang w:val="en-CA"/>
        </w:rPr>
        <w:t>i</w:t>
      </w:r>
      <w:proofErr w:type="spellEnd"/>
      <w:r w:rsidRPr="00AA6144">
        <w:rPr>
          <w:color w:val="auto"/>
          <w:lang w:val="en-CA"/>
        </w:rPr>
        <w:t>. fails to exercise control over a person under their effective command and control or effective authority and control, and as a result the person commits an offence under section 4; or</w:t>
      </w:r>
      <w:r w:rsidRPr="00AA6144">
        <w:rPr>
          <w:color w:val="auto"/>
          <w:lang w:val="en-CA"/>
        </w:rPr>
        <w:br/>
        <w:t xml:space="preserve">ii. fails, after the coming into force of this section, to exercise control properly over a person under their effective command and control or effective authority and control, and as a result the person commits an offence under section </w:t>
      </w:r>
      <w:proofErr w:type="gramStart"/>
      <w:r w:rsidRPr="00AA6144">
        <w:rPr>
          <w:color w:val="auto"/>
          <w:lang w:val="en-CA"/>
        </w:rPr>
        <w:t>6;</w:t>
      </w:r>
      <w:proofErr w:type="gramEnd"/>
    </w:p>
    <w:p w14:paraId="4F659EFB" w14:textId="77777777" w:rsidR="0029519C" w:rsidRPr="00AA6144" w:rsidRDefault="0029519C" w:rsidP="00D54EE5">
      <w:pPr>
        <w:pStyle w:val="AIBodyText"/>
        <w:ind w:left="357" w:right="567"/>
        <w:rPr>
          <w:color w:val="auto"/>
          <w:lang w:val="en-CA"/>
        </w:rPr>
      </w:pPr>
      <w:r w:rsidRPr="00AA6144">
        <w:rPr>
          <w:color w:val="auto"/>
          <w:lang w:val="en-CA"/>
        </w:rPr>
        <w:t xml:space="preserve">(b) the military commander knows, or is criminally negligent in failing to know, that the person is about to commit or is committing such an offence; and </w:t>
      </w:r>
    </w:p>
    <w:p w14:paraId="0890DAA1" w14:textId="77777777" w:rsidR="0029519C" w:rsidRPr="00AA6144" w:rsidRDefault="0029519C" w:rsidP="00D54EE5">
      <w:pPr>
        <w:pStyle w:val="AIBodyText"/>
        <w:ind w:left="357" w:right="567"/>
        <w:rPr>
          <w:color w:val="auto"/>
          <w:lang w:val="en-CA"/>
        </w:rPr>
      </w:pPr>
      <w:r w:rsidRPr="00AA6144">
        <w:rPr>
          <w:color w:val="auto"/>
          <w:lang w:val="en-CA"/>
        </w:rPr>
        <w:t>(c) the military commander subsequently</w:t>
      </w:r>
    </w:p>
    <w:p w14:paraId="382004FE" w14:textId="77777777" w:rsidR="0029519C" w:rsidRPr="00AA6144" w:rsidRDefault="0029519C" w:rsidP="00D54EE5">
      <w:pPr>
        <w:pStyle w:val="AIBodyText"/>
        <w:ind w:left="714" w:right="567" w:firstLine="3"/>
        <w:rPr>
          <w:color w:val="auto"/>
          <w:lang w:val="en-CA"/>
        </w:rPr>
      </w:pPr>
      <w:proofErr w:type="spellStart"/>
      <w:r w:rsidRPr="00AA6144">
        <w:rPr>
          <w:color w:val="auto"/>
          <w:lang w:val="en-CA"/>
        </w:rPr>
        <w:t>i</w:t>
      </w:r>
      <w:proofErr w:type="spellEnd"/>
      <w:r w:rsidRPr="00AA6144">
        <w:rPr>
          <w:color w:val="auto"/>
          <w:lang w:val="en-CA"/>
        </w:rPr>
        <w:t>. fails to take, as soon as practicable, all necessary and reasonable measures within their power to prevent or repress the commission of the offence, or the further commission of offences under section 4 or 6, or</w:t>
      </w:r>
      <w:r w:rsidRPr="00AA6144">
        <w:rPr>
          <w:color w:val="auto"/>
          <w:lang w:val="en-CA"/>
        </w:rPr>
        <w:br/>
        <w:t>ii. fails to take, as soon as practicable, all necessary and reasonable measures within their power to submit the matter to the competent authorities for investigation and prosecution.</w:t>
      </w:r>
      <w:r w:rsidR="00C87974" w:rsidRPr="00AA6144">
        <w:rPr>
          <w:rStyle w:val="FootnoteReference"/>
          <w:color w:val="auto"/>
          <w:lang w:val="en-CA"/>
        </w:rPr>
        <w:t xml:space="preserve"> </w:t>
      </w:r>
      <w:r w:rsidR="00C87974" w:rsidRPr="00AA6144">
        <w:rPr>
          <w:rStyle w:val="FootnoteReference"/>
          <w:color w:val="auto"/>
          <w:lang w:val="en-CA"/>
        </w:rPr>
        <w:footnoteReference w:id="306"/>
      </w:r>
    </w:p>
    <w:p w14:paraId="7353E7C6" w14:textId="5E8EA130" w:rsidR="00950D91" w:rsidRPr="00AA6144" w:rsidRDefault="003E0CD7" w:rsidP="004E2AF3">
      <w:pPr>
        <w:pStyle w:val="AIBodyText"/>
        <w:rPr>
          <w:color w:val="auto"/>
          <w:lang w:val="en-CA"/>
        </w:rPr>
      </w:pPr>
      <w:r w:rsidRPr="00AA6144">
        <w:rPr>
          <w:color w:val="auto"/>
          <w:lang w:val="en-CA"/>
        </w:rPr>
        <w:t>Canadian courts could be expected to resist an attempt to convict a commander who was merely negligent for a crime or its cognates, although such a commander would be subject to prosecution for lesser crimes.</w:t>
      </w:r>
      <w:r w:rsidRPr="00AA6144">
        <w:rPr>
          <w:rStyle w:val="FootnoteReference"/>
          <w:color w:val="auto"/>
          <w:lang w:val="en-CA"/>
        </w:rPr>
        <w:footnoteReference w:id="307"/>
      </w:r>
      <w:r w:rsidRPr="00AA6144">
        <w:rPr>
          <w:color w:val="auto"/>
          <w:lang w:val="en-CA"/>
        </w:rPr>
        <w:t xml:space="preserve"> </w:t>
      </w:r>
      <w:r w:rsidR="004E2AF3" w:rsidRPr="00AA6144">
        <w:rPr>
          <w:color w:val="auto"/>
          <w:lang w:val="en-CA"/>
        </w:rPr>
        <w:t xml:space="preserve">Pursuant to sections 5 and 7 of the </w:t>
      </w:r>
      <w:r w:rsidR="00F3712D" w:rsidRPr="00AA6144">
        <w:rPr>
          <w:i/>
          <w:color w:val="auto"/>
          <w:lang w:val="en-CA"/>
        </w:rPr>
        <w:t>CAHWCA</w:t>
      </w:r>
      <w:r w:rsidR="004E2AF3" w:rsidRPr="00AA6144">
        <w:rPr>
          <w:color w:val="auto"/>
          <w:lang w:val="en-CA"/>
        </w:rPr>
        <w:t>, a superior or commander may be liable for</w:t>
      </w:r>
      <w:r w:rsidR="000C2F51" w:rsidRPr="00AA6144">
        <w:rPr>
          <w:color w:val="auto"/>
          <w:lang w:val="en-CA"/>
        </w:rPr>
        <w:t xml:space="preserve"> an</w:t>
      </w:r>
      <w:r w:rsidR="004E2AF3" w:rsidRPr="00AA6144">
        <w:rPr>
          <w:color w:val="auto"/>
          <w:lang w:val="en-CA"/>
        </w:rPr>
        <w:t xml:space="preserve"> act or omission of subordinates provided that the </w:t>
      </w:r>
      <w:proofErr w:type="spellStart"/>
      <w:r w:rsidR="004E2AF3" w:rsidRPr="00AA6144">
        <w:rPr>
          <w:i/>
          <w:color w:val="auto"/>
          <w:lang w:val="en-CA"/>
        </w:rPr>
        <w:t>mens</w:t>
      </w:r>
      <w:proofErr w:type="spellEnd"/>
      <w:r w:rsidR="004E2AF3" w:rsidRPr="00AA6144">
        <w:rPr>
          <w:i/>
          <w:color w:val="auto"/>
          <w:lang w:val="en-CA"/>
        </w:rPr>
        <w:t xml:space="preserve"> rea</w:t>
      </w:r>
      <w:r w:rsidR="004E2AF3" w:rsidRPr="00AA6144">
        <w:rPr>
          <w:color w:val="auto"/>
          <w:lang w:val="en-CA"/>
        </w:rPr>
        <w:t xml:space="preserve"> standard is met.</w:t>
      </w:r>
      <w:r w:rsidR="00C87974" w:rsidRPr="00AA6144">
        <w:rPr>
          <w:rStyle w:val="FootnoteReference"/>
          <w:color w:val="auto"/>
          <w:lang w:val="en-CA"/>
        </w:rPr>
        <w:footnoteReference w:id="308"/>
      </w:r>
      <w:r w:rsidR="004E2AF3" w:rsidRPr="00AA6144">
        <w:rPr>
          <w:color w:val="auto"/>
          <w:lang w:val="en-CA"/>
        </w:rPr>
        <w:t xml:space="preserve"> Furthermore, sections 21 and 22 of the </w:t>
      </w:r>
      <w:r w:rsidR="004E2AF3" w:rsidRPr="00AA6144">
        <w:rPr>
          <w:i/>
          <w:color w:val="auto"/>
          <w:lang w:val="en-CA"/>
        </w:rPr>
        <w:t>Criminal Code</w:t>
      </w:r>
      <w:r w:rsidR="004E2AF3" w:rsidRPr="00AA6144">
        <w:rPr>
          <w:color w:val="auto"/>
          <w:lang w:val="en-CA"/>
        </w:rPr>
        <w:t xml:space="preserve"> provide liability </w:t>
      </w:r>
      <w:r w:rsidR="00ED3285" w:rsidRPr="00AA6144">
        <w:rPr>
          <w:color w:val="auto"/>
          <w:lang w:val="en-CA"/>
        </w:rPr>
        <w:t>for</w:t>
      </w:r>
      <w:r w:rsidR="004E2AF3" w:rsidRPr="00AA6144">
        <w:rPr>
          <w:color w:val="auto"/>
          <w:lang w:val="en-CA"/>
        </w:rPr>
        <w:t xml:space="preserve"> aid</w:t>
      </w:r>
      <w:r w:rsidR="00ED3285" w:rsidRPr="00AA6144">
        <w:rPr>
          <w:color w:val="auto"/>
          <w:lang w:val="en-CA"/>
        </w:rPr>
        <w:t>ing</w:t>
      </w:r>
      <w:r w:rsidR="004E2AF3" w:rsidRPr="00AA6144">
        <w:rPr>
          <w:color w:val="auto"/>
          <w:lang w:val="en-CA"/>
        </w:rPr>
        <w:t>, abett</w:t>
      </w:r>
      <w:r w:rsidR="00ED3285" w:rsidRPr="00AA6144">
        <w:rPr>
          <w:color w:val="auto"/>
          <w:lang w:val="en-CA"/>
        </w:rPr>
        <w:t>ing</w:t>
      </w:r>
      <w:r w:rsidR="004E2AF3" w:rsidRPr="00AA6144">
        <w:rPr>
          <w:color w:val="auto"/>
          <w:lang w:val="en-CA"/>
        </w:rPr>
        <w:t xml:space="preserve"> or counsell</w:t>
      </w:r>
      <w:r w:rsidR="00ED3285" w:rsidRPr="00AA6144">
        <w:rPr>
          <w:color w:val="auto"/>
          <w:lang w:val="en-CA"/>
        </w:rPr>
        <w:t>ing</w:t>
      </w:r>
      <w:r w:rsidR="004E2AF3" w:rsidRPr="00AA6144">
        <w:rPr>
          <w:color w:val="auto"/>
          <w:lang w:val="en-CA"/>
        </w:rPr>
        <w:t xml:space="preserve"> others to commit a crime.</w:t>
      </w:r>
      <w:r w:rsidRPr="00AA6144">
        <w:rPr>
          <w:color w:val="auto"/>
          <w:lang w:val="en-CA"/>
        </w:rPr>
        <w:t xml:space="preserve"> </w:t>
      </w:r>
      <w:r w:rsidR="00DD6B93" w:rsidRPr="00AA6144">
        <w:rPr>
          <w:color w:val="auto"/>
          <w:lang w:val="en-CA"/>
        </w:rPr>
        <w:t>The CAHWCA, too, provides for inchoate offences both in Canada</w:t>
      </w:r>
      <w:r w:rsidR="00DD6B93" w:rsidRPr="00AA6144">
        <w:rPr>
          <w:rStyle w:val="FootnoteReference"/>
          <w:color w:val="auto"/>
          <w:lang w:val="en-CA"/>
        </w:rPr>
        <w:footnoteReference w:id="309"/>
      </w:r>
      <w:r w:rsidR="00DD6B93" w:rsidRPr="00AA6144">
        <w:rPr>
          <w:color w:val="auto"/>
          <w:lang w:val="en-CA"/>
        </w:rPr>
        <w:t xml:space="preserve"> and outside the country including conspiracy, attempt, acting as an accessory, or counselling.</w:t>
      </w:r>
      <w:r w:rsidR="00DD6B93" w:rsidRPr="00AA6144">
        <w:rPr>
          <w:rStyle w:val="FootnoteReference"/>
          <w:color w:val="auto"/>
          <w:lang w:val="en-CA"/>
        </w:rPr>
        <w:footnoteReference w:id="310"/>
      </w:r>
    </w:p>
    <w:p w14:paraId="3816363B" w14:textId="77777777" w:rsidR="00C57C02" w:rsidRPr="00AA6144" w:rsidRDefault="004E2AF3" w:rsidP="00C57C02">
      <w:pPr>
        <w:pStyle w:val="AIBodyText"/>
        <w:rPr>
          <w:color w:val="auto"/>
          <w:lang w:val="en-CA"/>
        </w:rPr>
      </w:pPr>
      <w:r w:rsidRPr="00AA6144">
        <w:rPr>
          <w:color w:val="auto"/>
          <w:lang w:val="en-CA"/>
        </w:rPr>
        <w:t xml:space="preserve">It is important to note that the distinction between the treatment of command responsibility </w:t>
      </w:r>
      <w:r w:rsidR="003C2D2F" w:rsidRPr="00AA6144">
        <w:rPr>
          <w:color w:val="auto"/>
          <w:lang w:val="en-CA"/>
        </w:rPr>
        <w:t>under</w:t>
      </w:r>
      <w:r w:rsidRPr="00AA6144">
        <w:rPr>
          <w:color w:val="auto"/>
          <w:lang w:val="en-CA"/>
        </w:rPr>
        <w:t xml:space="preserve"> the </w:t>
      </w:r>
      <w:r w:rsidR="004B5BB3" w:rsidRPr="00AA6144">
        <w:rPr>
          <w:i/>
          <w:color w:val="auto"/>
          <w:lang w:val="en-CA"/>
        </w:rPr>
        <w:t>CAHWCA</w:t>
      </w:r>
      <w:r w:rsidR="004B5BB3" w:rsidRPr="00AA6144">
        <w:rPr>
          <w:color w:val="auto"/>
          <w:lang w:val="en-CA"/>
        </w:rPr>
        <w:t xml:space="preserve"> </w:t>
      </w:r>
      <w:r w:rsidRPr="00AA6144">
        <w:rPr>
          <w:color w:val="auto"/>
          <w:lang w:val="en-CA"/>
        </w:rPr>
        <w:t xml:space="preserve">and the </w:t>
      </w:r>
      <w:r w:rsidR="005C5FF0" w:rsidRPr="00AA6144">
        <w:rPr>
          <w:color w:val="auto"/>
          <w:lang w:val="en-CA"/>
        </w:rPr>
        <w:t>Rome Statute</w:t>
      </w:r>
      <w:r w:rsidRPr="00AA6144">
        <w:rPr>
          <w:color w:val="auto"/>
          <w:lang w:val="en-CA"/>
        </w:rPr>
        <w:t xml:space="preserve"> </w:t>
      </w:r>
      <w:r w:rsidR="003C2D2F" w:rsidRPr="00AA6144">
        <w:rPr>
          <w:color w:val="auto"/>
          <w:lang w:val="en-CA"/>
        </w:rPr>
        <w:t xml:space="preserve">could </w:t>
      </w:r>
      <w:r w:rsidRPr="00AA6144">
        <w:rPr>
          <w:color w:val="auto"/>
          <w:lang w:val="en-CA"/>
        </w:rPr>
        <w:t xml:space="preserve">give rise to the argument that transfer to ICC jurisdiction from Canada might not </w:t>
      </w:r>
      <w:r w:rsidR="00F3712D" w:rsidRPr="00AA6144">
        <w:rPr>
          <w:color w:val="auto"/>
          <w:lang w:val="en-CA"/>
        </w:rPr>
        <w:t xml:space="preserve">be possible </w:t>
      </w:r>
      <w:r w:rsidRPr="00AA6144">
        <w:rPr>
          <w:color w:val="auto"/>
          <w:lang w:val="en-CA"/>
        </w:rPr>
        <w:t>due to the requirement of double criminality.</w:t>
      </w:r>
      <w:r w:rsidRPr="00AA6144">
        <w:rPr>
          <w:rStyle w:val="FootnoteReference"/>
          <w:color w:val="auto"/>
          <w:lang w:val="en-CA"/>
        </w:rPr>
        <w:footnoteReference w:id="311"/>
      </w:r>
    </w:p>
    <w:p w14:paraId="472B3ECA" w14:textId="77777777" w:rsidR="00F84A21" w:rsidRPr="00AA6144" w:rsidRDefault="00CF4D47" w:rsidP="00CF4D47">
      <w:pPr>
        <w:pStyle w:val="Heading3"/>
        <w:rPr>
          <w:color w:val="auto"/>
          <w:lang w:val="en-CA"/>
        </w:rPr>
      </w:pPr>
      <w:bookmarkStart w:id="140" w:name="_Toc43382750"/>
      <w:r w:rsidRPr="00AA6144">
        <w:rPr>
          <w:color w:val="auto"/>
          <w:lang w:val="en-CA"/>
        </w:rPr>
        <w:t xml:space="preserve">6.1.3. </w:t>
      </w:r>
      <w:r w:rsidR="00F84A21" w:rsidRPr="00AA6144">
        <w:rPr>
          <w:color w:val="auto"/>
          <w:lang w:val="en-CA"/>
        </w:rPr>
        <w:t>Defences</w:t>
      </w:r>
      <w:bookmarkEnd w:id="140"/>
      <w:r w:rsidR="00F84A21" w:rsidRPr="00AA6144">
        <w:rPr>
          <w:color w:val="auto"/>
          <w:lang w:val="en-CA"/>
        </w:rPr>
        <w:t xml:space="preserve">  </w:t>
      </w:r>
    </w:p>
    <w:p w14:paraId="61149E8D" w14:textId="77777777" w:rsidR="00437A3D" w:rsidRPr="00AA6144" w:rsidRDefault="00437A3D" w:rsidP="00437A3D">
      <w:pPr>
        <w:spacing w:after="0"/>
        <w:rPr>
          <w:lang w:val="en-CA"/>
        </w:rPr>
      </w:pPr>
    </w:p>
    <w:p w14:paraId="6F1378E3" w14:textId="06E2E1D7" w:rsidR="00F84A21" w:rsidRPr="00AA6144" w:rsidRDefault="00F84A21" w:rsidP="00352022">
      <w:pPr>
        <w:pStyle w:val="AIBodyText"/>
        <w:rPr>
          <w:color w:val="auto"/>
          <w:szCs w:val="18"/>
          <w:lang w:val="en-CA"/>
        </w:rPr>
      </w:pPr>
      <w:r w:rsidRPr="00AA6144">
        <w:rPr>
          <w:color w:val="auto"/>
          <w:szCs w:val="18"/>
          <w:lang w:val="en-CA"/>
        </w:rPr>
        <w:t>As discussed below, th</w:t>
      </w:r>
      <w:r w:rsidR="00844BC9" w:rsidRPr="00AA6144">
        <w:rPr>
          <w:color w:val="auto"/>
          <w:szCs w:val="18"/>
          <w:lang w:val="en-CA"/>
        </w:rPr>
        <w:t xml:space="preserve">ere are a number of defences in Canadian </w:t>
      </w:r>
      <w:r w:rsidRPr="00AA6144">
        <w:rPr>
          <w:color w:val="auto"/>
          <w:szCs w:val="18"/>
          <w:lang w:val="en-CA"/>
        </w:rPr>
        <w:t xml:space="preserve">law that are broader than defences permitted under international law, </w:t>
      </w:r>
      <w:r w:rsidR="00820E44" w:rsidRPr="00AA6144">
        <w:rPr>
          <w:color w:val="auto"/>
          <w:szCs w:val="18"/>
          <w:lang w:val="en-CA"/>
        </w:rPr>
        <w:t xml:space="preserve">such as the defence of mistake of fact, </w:t>
      </w:r>
      <w:r w:rsidRPr="00AA6144">
        <w:rPr>
          <w:color w:val="auto"/>
          <w:szCs w:val="18"/>
          <w:lang w:val="en-CA"/>
        </w:rPr>
        <w:t>which could lead to impunity for the worst imaginable crimes.</w:t>
      </w:r>
      <w:r w:rsidRPr="00AA6144">
        <w:rPr>
          <w:rStyle w:val="FootnoteReference"/>
          <w:color w:val="auto"/>
          <w:szCs w:val="18"/>
          <w:lang w:val="en-CA"/>
        </w:rPr>
        <w:footnoteReference w:id="312"/>
      </w:r>
    </w:p>
    <w:p w14:paraId="6AD8A1D8" w14:textId="167D8430" w:rsidR="006A6F7E" w:rsidRPr="00AA6144" w:rsidRDefault="006A6F7E" w:rsidP="006A6F7E">
      <w:pPr>
        <w:pStyle w:val="AIBodyText"/>
        <w:rPr>
          <w:rFonts w:eastAsia="Times-Roman" w:cs="Times-Roman"/>
          <w:bCs/>
          <w:color w:val="auto"/>
          <w:szCs w:val="18"/>
          <w:lang w:val="en-CA"/>
        </w:rPr>
      </w:pPr>
      <w:r w:rsidRPr="00AA6144">
        <w:rPr>
          <w:rFonts w:eastAsia="Times-Roman" w:cs="Times-Roman"/>
          <w:bCs/>
          <w:color w:val="auto"/>
          <w:szCs w:val="18"/>
          <w:lang w:val="en-CA"/>
        </w:rPr>
        <w:t xml:space="preserve">Section 11 of the </w:t>
      </w:r>
      <w:r w:rsidRPr="00AA6144">
        <w:rPr>
          <w:rFonts w:eastAsia="Times-Roman" w:cs="Times-Roman"/>
          <w:bCs/>
          <w:i/>
          <w:color w:val="auto"/>
          <w:szCs w:val="18"/>
          <w:lang w:val="en-CA"/>
        </w:rPr>
        <w:t>Crimes Against Humanity and War Crimes Act</w:t>
      </w:r>
      <w:r w:rsidRPr="00AA6144">
        <w:rPr>
          <w:rFonts w:eastAsia="Times-Roman" w:cs="Times-Roman"/>
          <w:bCs/>
          <w:color w:val="auto"/>
          <w:szCs w:val="18"/>
          <w:lang w:val="en-CA"/>
        </w:rPr>
        <w:t xml:space="preserve"> provides that “[</w:t>
      </w:r>
      <w:proofErr w:type="spellStart"/>
      <w:r w:rsidRPr="00AA6144">
        <w:rPr>
          <w:rFonts w:eastAsia="Times-Roman" w:cs="Times-Roman"/>
          <w:bCs/>
          <w:color w:val="auto"/>
          <w:szCs w:val="18"/>
          <w:lang w:val="en-CA"/>
        </w:rPr>
        <w:t>i</w:t>
      </w:r>
      <w:proofErr w:type="spellEnd"/>
      <w:r w:rsidRPr="00AA6144">
        <w:rPr>
          <w:rFonts w:eastAsia="Times-Roman" w:cs="Times-Roman"/>
          <w:bCs/>
          <w:color w:val="auto"/>
          <w:szCs w:val="18"/>
          <w:lang w:val="en-CA"/>
        </w:rPr>
        <w:t>]n proceedings for an offence under any of sections 4 to 7, the accused may […] rely on any justification, excuse or defence available under the laws of Canada or under international law”.</w:t>
      </w:r>
      <w:r w:rsidRPr="00AA6144">
        <w:rPr>
          <w:rStyle w:val="FootnoteReference"/>
          <w:rFonts w:eastAsia="Times-Roman" w:cs="Times-Roman"/>
          <w:bCs/>
          <w:color w:val="auto"/>
          <w:szCs w:val="18"/>
          <w:lang w:val="en-CA"/>
        </w:rPr>
        <w:footnoteReference w:id="313"/>
      </w:r>
      <w:r w:rsidRPr="00AA6144">
        <w:rPr>
          <w:rFonts w:eastAsia="Times-Roman" w:cs="Times-Roman"/>
          <w:bCs/>
          <w:color w:val="auto"/>
          <w:szCs w:val="18"/>
          <w:lang w:val="en-CA"/>
        </w:rPr>
        <w:t xml:space="preserve"> Thus, this defence is also available to the crimes of the Rome Statute. </w:t>
      </w:r>
      <w:proofErr w:type="gramStart"/>
      <w:r w:rsidRPr="00AA6144">
        <w:rPr>
          <w:rFonts w:eastAsia="Times-Roman" w:cs="Times-Roman"/>
          <w:bCs/>
          <w:color w:val="auto"/>
          <w:szCs w:val="18"/>
          <w:lang w:val="en-CA"/>
        </w:rPr>
        <w:t>Furthermore</w:t>
      </w:r>
      <w:proofErr w:type="gramEnd"/>
      <w:r w:rsidRPr="00AA6144">
        <w:rPr>
          <w:rFonts w:eastAsia="Times-Roman" w:cs="Times-Roman"/>
          <w:bCs/>
          <w:color w:val="auto"/>
          <w:szCs w:val="18"/>
          <w:lang w:val="en-CA"/>
        </w:rPr>
        <w:t xml:space="preserve"> the defence available under section 33.1(3) of the </w:t>
      </w:r>
      <w:r w:rsidRPr="00AA6144">
        <w:rPr>
          <w:rFonts w:eastAsia="Times-Roman" w:cs="Times-Roman"/>
          <w:bCs/>
          <w:i/>
          <w:color w:val="auto"/>
          <w:szCs w:val="18"/>
          <w:lang w:val="en-CA"/>
        </w:rPr>
        <w:t>Criminal Code</w:t>
      </w:r>
      <w:r w:rsidRPr="00AA6144">
        <w:rPr>
          <w:rFonts w:eastAsia="Times-Roman" w:cs="Times-Roman"/>
          <w:bCs/>
          <w:color w:val="auto"/>
          <w:szCs w:val="18"/>
          <w:lang w:val="en-CA"/>
        </w:rPr>
        <w:t xml:space="preserve"> applies not only to offences under the </w:t>
      </w:r>
      <w:r w:rsidRPr="00AA6144">
        <w:rPr>
          <w:rFonts w:eastAsia="Times-Roman" w:cs="Times-Roman"/>
          <w:bCs/>
          <w:i/>
          <w:color w:val="auto"/>
          <w:szCs w:val="18"/>
          <w:lang w:val="en-CA"/>
        </w:rPr>
        <w:t>Criminal Code</w:t>
      </w:r>
      <w:r w:rsidRPr="00AA6144">
        <w:rPr>
          <w:rFonts w:eastAsia="Times-Roman" w:cs="Times-Roman"/>
          <w:bCs/>
          <w:color w:val="auto"/>
          <w:szCs w:val="18"/>
          <w:lang w:val="en-CA"/>
        </w:rPr>
        <w:t xml:space="preserve">, but also to offences under any Act of Parliament, which would thus include offences under the </w:t>
      </w:r>
      <w:r w:rsidRPr="00AA6144">
        <w:rPr>
          <w:rFonts w:eastAsia="Times-Roman" w:cs="Times-Roman"/>
          <w:bCs/>
          <w:i/>
          <w:color w:val="auto"/>
          <w:szCs w:val="18"/>
          <w:lang w:val="en-CA"/>
        </w:rPr>
        <w:t>CAHWCA</w:t>
      </w:r>
      <w:r w:rsidRPr="00AA6144">
        <w:rPr>
          <w:rFonts w:eastAsia="Times-Roman" w:cs="Times-Roman"/>
          <w:bCs/>
          <w:color w:val="auto"/>
          <w:szCs w:val="18"/>
          <w:lang w:val="en-CA"/>
        </w:rPr>
        <w:t>.</w:t>
      </w:r>
      <w:r w:rsidRPr="00AA6144" w:rsidDel="00C9111B">
        <w:rPr>
          <w:rFonts w:eastAsia="Times-Roman" w:cs="Times-Roman"/>
          <w:bCs/>
          <w:color w:val="auto"/>
          <w:szCs w:val="18"/>
          <w:lang w:val="en-CA"/>
        </w:rPr>
        <w:t xml:space="preserve"> </w:t>
      </w:r>
    </w:p>
    <w:p w14:paraId="47F9708C" w14:textId="77777777" w:rsidR="00B46E9A" w:rsidRPr="00AA6144" w:rsidRDefault="00B46E9A" w:rsidP="00B46E9A">
      <w:pPr>
        <w:pStyle w:val="AIBodyText"/>
        <w:rPr>
          <w:rFonts w:eastAsia="Times-Roman"/>
          <w:bCs/>
          <w:color w:val="auto"/>
          <w:szCs w:val="18"/>
          <w:lang w:val="en-CA"/>
        </w:rPr>
      </w:pPr>
      <w:r w:rsidRPr="00AA6144">
        <w:rPr>
          <w:rFonts w:eastAsia="Times-Roman"/>
          <w:bCs/>
          <w:color w:val="auto"/>
          <w:szCs w:val="18"/>
          <w:lang w:val="en-CA"/>
        </w:rPr>
        <w:t xml:space="preserve">Pursuant to section 11 of the </w:t>
      </w:r>
      <w:r w:rsidRPr="00AA6144">
        <w:rPr>
          <w:rFonts w:eastAsia="Times-Roman"/>
          <w:bCs/>
          <w:i/>
          <w:color w:val="auto"/>
          <w:szCs w:val="18"/>
          <w:lang w:val="en-CA"/>
        </w:rPr>
        <w:t>Crimes against Humanity and War Crimes Act</w:t>
      </w:r>
      <w:r w:rsidRPr="00AA6144">
        <w:rPr>
          <w:rFonts w:eastAsia="Times-Roman"/>
          <w:bCs/>
          <w:color w:val="auto"/>
          <w:szCs w:val="18"/>
          <w:lang w:val="en-CA"/>
        </w:rPr>
        <w:t xml:space="preserve">, an accused can rely on “any justification, excuse or defence available under the laws of Canada or under international law.” Since duress is encompassed in section of the </w:t>
      </w:r>
      <w:r w:rsidRPr="00AA6144">
        <w:rPr>
          <w:rFonts w:eastAsia="Times-Roman"/>
          <w:bCs/>
          <w:i/>
          <w:color w:val="auto"/>
          <w:szCs w:val="18"/>
          <w:lang w:val="en-CA"/>
        </w:rPr>
        <w:t>Criminal Code</w:t>
      </w:r>
      <w:r w:rsidRPr="00AA6144">
        <w:rPr>
          <w:rFonts w:eastAsia="Times-Roman"/>
          <w:bCs/>
          <w:color w:val="auto"/>
          <w:szCs w:val="18"/>
          <w:lang w:val="en-CA"/>
        </w:rPr>
        <w:t xml:space="preserve">, it can be invoked in limited circumstances. </w:t>
      </w:r>
      <w:r w:rsidRPr="00AA6144">
        <w:rPr>
          <w:rFonts w:eastAsia="Times-Roman"/>
          <w:color w:val="auto"/>
          <w:szCs w:val="18"/>
          <w:lang w:val="en-CA"/>
        </w:rPr>
        <w:t xml:space="preserve">The defence of duress appears to be narrower in Canadian law than in the Rome Statute. Article 31(1)(d) of the Rome Statute provides: </w:t>
      </w:r>
    </w:p>
    <w:p w14:paraId="48FE9CF8" w14:textId="0C1BA451" w:rsidR="006A6F7E" w:rsidRPr="00AA6144" w:rsidRDefault="00B46E9A" w:rsidP="00AA6144">
      <w:pPr>
        <w:pStyle w:val="AIBodyText"/>
        <w:ind w:left="426" w:right="850"/>
        <w:rPr>
          <w:color w:val="auto"/>
          <w:szCs w:val="18"/>
          <w:lang w:val="en-CA"/>
        </w:rPr>
      </w:pPr>
      <w:r w:rsidRPr="00AA6144">
        <w:rPr>
          <w:rFonts w:eastAsia="Times-Roman"/>
          <w:color w:val="auto"/>
          <w:szCs w:val="18"/>
          <w:lang w:val="en-CA"/>
        </w:rPr>
        <w:t>In addition to other grounds for excluding criminal responsibility provided for in this Statute, a person shall not be criminally responsible if, at the time of that person's conduct: […] The conduct which is alleged to constitute a crime within the jurisdiction of the Court has been caused by duress resulting from a threat of imminent death or of continuing or imminent serious bodily harm against that person or another person, and the person acts necessarily and reasonably to avoid this threat, provided that the person does not intend to cause a greater harm than the one sought to be avoided. Such a threat may either be: (</w:t>
      </w:r>
      <w:proofErr w:type="spellStart"/>
      <w:r w:rsidRPr="00AA6144">
        <w:rPr>
          <w:rFonts w:eastAsia="Times-Roman"/>
          <w:color w:val="auto"/>
          <w:szCs w:val="18"/>
          <w:lang w:val="en-CA"/>
        </w:rPr>
        <w:t>i</w:t>
      </w:r>
      <w:proofErr w:type="spellEnd"/>
      <w:r w:rsidRPr="00AA6144">
        <w:rPr>
          <w:rFonts w:eastAsia="Times-Roman"/>
          <w:color w:val="auto"/>
          <w:szCs w:val="18"/>
          <w:lang w:val="en-CA"/>
        </w:rPr>
        <w:t>) made by other persons; or (ii) constituted by other circumstances beyond that person's control.</w:t>
      </w:r>
      <w:r w:rsidRPr="00AA6144">
        <w:rPr>
          <w:rStyle w:val="FootnoteReference"/>
          <w:rFonts w:eastAsia="Times-Roman"/>
          <w:color w:val="auto"/>
          <w:szCs w:val="18"/>
          <w:lang w:val="en-CA"/>
        </w:rPr>
        <w:footnoteReference w:id="314"/>
      </w:r>
    </w:p>
    <w:p w14:paraId="59118B5C" w14:textId="77777777" w:rsidR="00F84A21" w:rsidRPr="00AA6144" w:rsidRDefault="00F84A21" w:rsidP="00352022">
      <w:pPr>
        <w:pStyle w:val="AIBodyText"/>
        <w:rPr>
          <w:b/>
          <w:bCs/>
          <w:i/>
          <w:iCs/>
          <w:color w:val="auto"/>
          <w:szCs w:val="18"/>
          <w:lang w:val="en-CA"/>
        </w:rPr>
      </w:pPr>
      <w:r w:rsidRPr="00AA6144">
        <w:rPr>
          <w:b/>
          <w:bCs/>
          <w:i/>
          <w:iCs/>
          <w:color w:val="auto"/>
          <w:szCs w:val="18"/>
          <w:lang w:val="en-CA"/>
        </w:rPr>
        <w:t xml:space="preserve">Defences – superior orders </w:t>
      </w:r>
    </w:p>
    <w:p w14:paraId="111C1BAC" w14:textId="2B3E4738" w:rsidR="009C77FC" w:rsidRPr="00AA6144" w:rsidRDefault="009C77FC" w:rsidP="009C77FC">
      <w:pPr>
        <w:pStyle w:val="AIBodyText"/>
        <w:rPr>
          <w:rFonts w:eastAsia="Times-Roman"/>
          <w:iCs/>
          <w:color w:val="auto"/>
          <w:szCs w:val="18"/>
          <w:lang w:val="en-CA"/>
        </w:rPr>
      </w:pPr>
      <w:r w:rsidRPr="00AA6144">
        <w:rPr>
          <w:rFonts w:eastAsia="Times-Roman"/>
          <w:color w:val="auto"/>
          <w:szCs w:val="18"/>
          <w:lang w:val="en-CA"/>
        </w:rPr>
        <w:t xml:space="preserve">Canadian law provides that superior orders amount to a limited defence in specific circumstances that mirror those included in article 33 of the </w:t>
      </w:r>
      <w:r w:rsidR="005C5FF0" w:rsidRPr="00AA6144">
        <w:rPr>
          <w:rFonts w:eastAsia="Times-Roman"/>
          <w:color w:val="auto"/>
          <w:szCs w:val="18"/>
          <w:lang w:val="en-CA"/>
        </w:rPr>
        <w:t>Rome Statute</w:t>
      </w:r>
      <w:r w:rsidRPr="00AA6144">
        <w:rPr>
          <w:rFonts w:eastAsia="Times-Roman"/>
          <w:color w:val="auto"/>
          <w:szCs w:val="18"/>
          <w:lang w:val="en-CA"/>
        </w:rPr>
        <w:t xml:space="preserve">. Section 14 of the </w:t>
      </w:r>
      <w:r w:rsidRPr="00AA6144">
        <w:rPr>
          <w:rFonts w:eastAsia="Times-Roman"/>
          <w:i/>
          <w:color w:val="auto"/>
          <w:szCs w:val="18"/>
          <w:lang w:val="en-CA"/>
        </w:rPr>
        <w:t>CAHWC</w:t>
      </w:r>
      <w:r w:rsidR="0092489C" w:rsidRPr="00AA6144">
        <w:rPr>
          <w:rFonts w:eastAsia="Times-Roman"/>
          <w:i/>
          <w:color w:val="auto"/>
          <w:szCs w:val="18"/>
          <w:lang w:val="en-CA"/>
        </w:rPr>
        <w:t>A</w:t>
      </w:r>
      <w:r w:rsidRPr="00AA6144">
        <w:rPr>
          <w:rFonts w:eastAsia="Times-Roman"/>
          <w:i/>
          <w:color w:val="auto"/>
          <w:szCs w:val="18"/>
          <w:lang w:val="en-CA"/>
        </w:rPr>
        <w:t xml:space="preserve"> </w:t>
      </w:r>
      <w:r w:rsidRPr="00AA6144">
        <w:rPr>
          <w:rFonts w:eastAsia="Times-Roman"/>
          <w:iCs/>
          <w:color w:val="auto"/>
          <w:szCs w:val="18"/>
          <w:lang w:val="en-CA"/>
        </w:rPr>
        <w:t xml:space="preserve">provides that </w:t>
      </w:r>
      <w:r w:rsidR="006673D5">
        <w:rPr>
          <w:rFonts w:eastAsia="Times-Roman"/>
          <w:iCs/>
          <w:color w:val="auto"/>
          <w:szCs w:val="18"/>
          <w:lang w:val="en-CA"/>
        </w:rPr>
        <w:t xml:space="preserve">genocide, </w:t>
      </w:r>
      <w:r w:rsidRPr="00AA6144">
        <w:rPr>
          <w:rFonts w:eastAsia="Times-Roman"/>
          <w:iCs/>
          <w:color w:val="auto"/>
          <w:szCs w:val="18"/>
          <w:lang w:val="en-CA"/>
        </w:rPr>
        <w:t>a war crime or a crime against humanity committed by the accused pursuant to a government or superior order shall not relieve the accused of criminal responsibility unless the following three conditions are met:</w:t>
      </w:r>
    </w:p>
    <w:p w14:paraId="7E5E4164" w14:textId="77777777" w:rsidR="009C77FC" w:rsidRPr="00AA6144" w:rsidRDefault="009C77FC" w:rsidP="00A95830">
      <w:pPr>
        <w:pStyle w:val="AIBodyText"/>
        <w:ind w:left="357"/>
        <w:rPr>
          <w:rFonts w:eastAsia="Times-Roman"/>
          <w:iCs/>
          <w:color w:val="auto"/>
          <w:szCs w:val="18"/>
          <w:lang w:val="en-CA"/>
        </w:rPr>
      </w:pPr>
      <w:r w:rsidRPr="00AA6144">
        <w:rPr>
          <w:rFonts w:eastAsia="Times-Roman"/>
          <w:iCs/>
          <w:color w:val="auto"/>
          <w:szCs w:val="18"/>
          <w:lang w:val="en-CA"/>
        </w:rPr>
        <w:t>(a) the accused was under a legal obligation to obey orders of the government or superior;</w:t>
      </w:r>
      <w:r w:rsidR="0092489C" w:rsidRPr="00AA6144">
        <w:rPr>
          <w:rFonts w:eastAsia="Times-Roman"/>
          <w:iCs/>
          <w:color w:val="auto"/>
          <w:szCs w:val="18"/>
          <w:lang w:val="en-CA"/>
        </w:rPr>
        <w:br/>
      </w:r>
      <w:r w:rsidRPr="00AA6144">
        <w:rPr>
          <w:rFonts w:eastAsia="Times-Roman"/>
          <w:iCs/>
          <w:color w:val="auto"/>
          <w:szCs w:val="18"/>
          <w:lang w:val="en-CA"/>
        </w:rPr>
        <w:t>(b) the accused did not know that the order was unlawful; and</w:t>
      </w:r>
      <w:r w:rsidR="0092489C" w:rsidRPr="00AA6144">
        <w:rPr>
          <w:rFonts w:eastAsia="Times-Roman"/>
          <w:iCs/>
          <w:color w:val="auto"/>
          <w:szCs w:val="18"/>
          <w:lang w:val="en-CA"/>
        </w:rPr>
        <w:br/>
      </w:r>
      <w:r w:rsidRPr="00AA6144">
        <w:rPr>
          <w:rFonts w:eastAsia="Times-Roman"/>
          <w:iCs/>
          <w:color w:val="auto"/>
          <w:szCs w:val="18"/>
          <w:lang w:val="en-CA"/>
        </w:rPr>
        <w:t>(c) the order was not manifestly unlawful.</w:t>
      </w:r>
      <w:r w:rsidR="00AB3A54" w:rsidRPr="00AA6144">
        <w:rPr>
          <w:rStyle w:val="FootnoteReference"/>
          <w:rFonts w:eastAsia="Times-Roman"/>
          <w:iCs/>
          <w:color w:val="auto"/>
          <w:szCs w:val="18"/>
          <w:lang w:val="en-CA"/>
        </w:rPr>
        <w:footnoteReference w:id="315"/>
      </w:r>
      <w:r w:rsidRPr="00AA6144">
        <w:rPr>
          <w:rFonts w:eastAsia="Times-Roman"/>
          <w:iCs/>
          <w:color w:val="auto"/>
          <w:szCs w:val="18"/>
          <w:lang w:val="en-CA"/>
        </w:rPr>
        <w:t xml:space="preserve"> </w:t>
      </w:r>
    </w:p>
    <w:p w14:paraId="00FF841B" w14:textId="77777777" w:rsidR="009C77FC" w:rsidRPr="00AA6144" w:rsidRDefault="009C77FC" w:rsidP="009C77FC">
      <w:pPr>
        <w:pStyle w:val="AIBodyText"/>
        <w:rPr>
          <w:rFonts w:eastAsia="Times-Roman"/>
          <w:iCs/>
          <w:color w:val="auto"/>
          <w:szCs w:val="18"/>
          <w:lang w:val="en-CA"/>
        </w:rPr>
      </w:pPr>
      <w:r w:rsidRPr="00AA6144">
        <w:rPr>
          <w:rFonts w:eastAsia="Times-Roman"/>
          <w:iCs/>
          <w:color w:val="auto"/>
          <w:szCs w:val="18"/>
          <w:lang w:val="en-CA"/>
        </w:rPr>
        <w:t xml:space="preserve">The </w:t>
      </w:r>
      <w:r w:rsidR="00F34148" w:rsidRPr="00AA6144">
        <w:rPr>
          <w:rFonts w:eastAsia="Times-Roman"/>
          <w:i/>
          <w:iCs/>
          <w:color w:val="auto"/>
          <w:szCs w:val="18"/>
          <w:lang w:val="en-CA"/>
        </w:rPr>
        <w:t>CAHWCA</w:t>
      </w:r>
      <w:r w:rsidR="00F34148" w:rsidRPr="00AA6144">
        <w:rPr>
          <w:rFonts w:eastAsia="Times-Roman"/>
          <w:iCs/>
          <w:color w:val="auto"/>
          <w:szCs w:val="18"/>
          <w:lang w:val="en-CA"/>
        </w:rPr>
        <w:t xml:space="preserve"> </w:t>
      </w:r>
      <w:r w:rsidRPr="00AA6144">
        <w:rPr>
          <w:rFonts w:eastAsia="Times-Roman"/>
          <w:iCs/>
          <w:color w:val="auto"/>
          <w:szCs w:val="18"/>
          <w:lang w:val="en-CA"/>
        </w:rPr>
        <w:t>defines a “manifestly unlawful” order as an order to commit genocide or a crime against humanity.</w:t>
      </w:r>
      <w:r w:rsidRPr="00AA6144">
        <w:rPr>
          <w:rFonts w:eastAsia="Times-Roman"/>
          <w:iCs/>
          <w:color w:val="auto"/>
          <w:szCs w:val="18"/>
          <w:vertAlign w:val="superscript"/>
          <w:lang w:val="en-CA"/>
        </w:rPr>
        <w:footnoteReference w:id="316"/>
      </w:r>
      <w:r w:rsidRPr="00AA6144">
        <w:rPr>
          <w:rFonts w:eastAsia="Times-Roman"/>
          <w:iCs/>
          <w:color w:val="auto"/>
          <w:szCs w:val="18"/>
          <w:lang w:val="en-CA"/>
        </w:rPr>
        <w:t xml:space="preserve"> Further, the </w:t>
      </w:r>
      <w:r w:rsidR="00C4679B" w:rsidRPr="00AA6144">
        <w:rPr>
          <w:rFonts w:eastAsia="Times-Roman"/>
          <w:i/>
          <w:iCs/>
          <w:color w:val="auto"/>
          <w:szCs w:val="18"/>
          <w:lang w:val="en-CA"/>
        </w:rPr>
        <w:t>CAHWCA</w:t>
      </w:r>
      <w:r w:rsidR="00C4679B" w:rsidRPr="00AA6144">
        <w:rPr>
          <w:rFonts w:eastAsia="Times-Roman"/>
          <w:iCs/>
          <w:color w:val="auto"/>
          <w:szCs w:val="18"/>
          <w:lang w:val="en-CA"/>
        </w:rPr>
        <w:t xml:space="preserve"> </w:t>
      </w:r>
      <w:r w:rsidRPr="00AA6144">
        <w:rPr>
          <w:rFonts w:eastAsia="Times-Roman"/>
          <w:iCs/>
          <w:color w:val="auto"/>
          <w:szCs w:val="18"/>
          <w:lang w:val="en-CA"/>
        </w:rPr>
        <w:t>stipulates that an accused cannot base their defence under section 14 on a belief that an order was lawful if the belief was based on information about a civilian population or an identifiable group of persons that encouraged, was likely to encourage or attempted to justify the commission of inhumane acts or omissions against the population or group.</w:t>
      </w:r>
      <w:r w:rsidRPr="00AA6144">
        <w:rPr>
          <w:rFonts w:eastAsia="Times-Roman"/>
          <w:iCs/>
          <w:color w:val="auto"/>
          <w:szCs w:val="18"/>
          <w:vertAlign w:val="superscript"/>
          <w:lang w:val="en-CA"/>
        </w:rPr>
        <w:footnoteReference w:id="317"/>
      </w:r>
      <w:r w:rsidRPr="00AA6144">
        <w:rPr>
          <w:rFonts w:eastAsia="Times-Roman"/>
          <w:iCs/>
          <w:color w:val="auto"/>
          <w:szCs w:val="18"/>
          <w:lang w:val="en-CA"/>
        </w:rPr>
        <w:t xml:space="preserve"> </w:t>
      </w:r>
    </w:p>
    <w:p w14:paraId="657BAD23" w14:textId="089FFD17" w:rsidR="00616C51" w:rsidRPr="00AA6144" w:rsidRDefault="00616C51" w:rsidP="001F49CA">
      <w:pPr>
        <w:pStyle w:val="AIBodyText"/>
        <w:rPr>
          <w:color w:val="auto"/>
          <w:szCs w:val="18"/>
          <w:lang w:val="en-CA"/>
        </w:rPr>
      </w:pPr>
      <w:r w:rsidRPr="00AA6144">
        <w:rPr>
          <w:rFonts w:eastAsia="Times-Roman"/>
          <w:color w:val="auto"/>
          <w:szCs w:val="18"/>
          <w:lang w:val="en-CA"/>
        </w:rPr>
        <w:t>This defence has been contrary to international law since Nuremberg, although it may properly be taken into account in mitigation of punishment.</w:t>
      </w:r>
      <w:bookmarkStart w:id="141" w:name="_Ref267051196"/>
      <w:r w:rsidRPr="00AA6144">
        <w:rPr>
          <w:rStyle w:val="FootnoteReference"/>
          <w:rFonts w:eastAsia="Times-Roman" w:cs="Times-Roman"/>
          <w:bCs/>
          <w:color w:val="auto"/>
          <w:szCs w:val="18"/>
          <w:lang w:val="en-CA"/>
        </w:rPr>
        <w:footnoteReference w:id="318"/>
      </w:r>
      <w:bookmarkEnd w:id="141"/>
      <w:r w:rsidRPr="00AA6144">
        <w:rPr>
          <w:rFonts w:eastAsia="Times-Roman"/>
          <w:color w:val="auto"/>
          <w:szCs w:val="18"/>
          <w:lang w:val="en-CA"/>
        </w:rPr>
        <w:t xml:space="preserve">  This defence has been excluded in numerous international instruments for more than half a century, including the Nuremberg Charter, Allied Control Council Law No. 10, the ICTY Statute, the ICTR Statute, the Regulation establishing the Special Panels for East Timor, the Statute of the Special Court for Sierra Leone</w:t>
      </w:r>
      <w:r w:rsidR="001F49CA" w:rsidRPr="00AA6144">
        <w:rPr>
          <w:rFonts w:eastAsia="Times-Roman"/>
          <w:color w:val="auto"/>
          <w:szCs w:val="18"/>
          <w:lang w:val="en-CA"/>
        </w:rPr>
        <w:t>,</w:t>
      </w:r>
      <w:r w:rsidRPr="00AA6144">
        <w:rPr>
          <w:rFonts w:eastAsia="Times-Roman"/>
          <w:color w:val="auto"/>
          <w:szCs w:val="18"/>
          <w:lang w:val="en-CA"/>
        </w:rPr>
        <w:t xml:space="preserve"> the Cambodian Law establishing the Extraordinary Chambers</w:t>
      </w:r>
      <w:r w:rsidR="001F49CA" w:rsidRPr="00AA6144">
        <w:rPr>
          <w:rFonts w:eastAsia="Times-Roman"/>
          <w:color w:val="auto"/>
          <w:szCs w:val="18"/>
          <w:lang w:val="en-CA"/>
        </w:rPr>
        <w:t xml:space="preserve"> and the International Convention for the Protection of All Persons from Enforced Disappearance.</w:t>
      </w:r>
      <w:bookmarkStart w:id="142" w:name="_Ref267054553"/>
      <w:r w:rsidRPr="00AA6144">
        <w:rPr>
          <w:rStyle w:val="FootnoteReference"/>
          <w:rFonts w:eastAsia="Times-Roman" w:cs="Times-Roman"/>
          <w:bCs/>
          <w:color w:val="auto"/>
          <w:szCs w:val="18"/>
          <w:lang w:val="en-CA"/>
        </w:rPr>
        <w:footnoteReference w:id="319"/>
      </w:r>
      <w:bookmarkEnd w:id="142"/>
      <w:r w:rsidR="001F49CA" w:rsidRPr="00AA6144">
        <w:rPr>
          <w:rFonts w:eastAsia="Times-Roman"/>
          <w:color w:val="auto"/>
          <w:szCs w:val="18"/>
          <w:lang w:val="en-CA"/>
        </w:rPr>
        <w:t xml:space="preserve"> </w:t>
      </w:r>
      <w:r w:rsidR="00021B6E" w:rsidRPr="00AA6144">
        <w:rPr>
          <w:rFonts w:eastAsia="Times-Roman"/>
          <w:color w:val="auto"/>
          <w:szCs w:val="18"/>
          <w:lang w:val="en-CA"/>
        </w:rPr>
        <w:t>The Committee against Torture has concluded that superior orders can never be a defence to torture.</w:t>
      </w:r>
      <w:r w:rsidR="00021B6E" w:rsidRPr="00AA6144">
        <w:rPr>
          <w:rStyle w:val="FootnoteReference"/>
          <w:rFonts w:eastAsia="Times-Roman"/>
          <w:color w:val="auto"/>
          <w:szCs w:val="18"/>
          <w:lang w:val="en-CA"/>
        </w:rPr>
        <w:footnoteReference w:id="320"/>
      </w:r>
      <w:r w:rsidR="006A6F7E" w:rsidRPr="00AA6144">
        <w:rPr>
          <w:rStyle w:val="FootnoteReference"/>
          <w:rFonts w:eastAsia="Times-Roman"/>
          <w:color w:val="auto"/>
          <w:szCs w:val="18"/>
          <w:lang w:val="en-CA"/>
        </w:rPr>
        <w:footnoteReference w:id="321"/>
      </w:r>
    </w:p>
    <w:p w14:paraId="54AE13CC" w14:textId="77777777" w:rsidR="00F84A21" w:rsidRPr="00AA6144" w:rsidRDefault="00F84A21" w:rsidP="00352022">
      <w:pPr>
        <w:pStyle w:val="AIBodyText"/>
        <w:rPr>
          <w:rFonts w:cs="Times-Roman"/>
          <w:b/>
          <w:bCs/>
          <w:i/>
          <w:iCs/>
          <w:color w:val="auto"/>
          <w:szCs w:val="18"/>
          <w:lang w:val="en-CA"/>
        </w:rPr>
      </w:pPr>
      <w:r w:rsidRPr="00AA6144">
        <w:rPr>
          <w:rFonts w:cs="Times-Roman"/>
          <w:b/>
          <w:bCs/>
          <w:i/>
          <w:iCs/>
          <w:color w:val="auto"/>
          <w:szCs w:val="18"/>
          <w:lang w:val="en-CA"/>
        </w:rPr>
        <w:t>Defences – mistake of fact</w:t>
      </w:r>
    </w:p>
    <w:p w14:paraId="353A569F" w14:textId="77777777" w:rsidR="00820E44" w:rsidRPr="00AA6144" w:rsidRDefault="00820E44" w:rsidP="00820E44">
      <w:pPr>
        <w:pStyle w:val="AIBodyText"/>
        <w:rPr>
          <w:rFonts w:eastAsia="Times-Roman" w:cs="Times-Roman"/>
          <w:bCs/>
          <w:color w:val="auto"/>
          <w:szCs w:val="18"/>
          <w:lang w:val="en-CA"/>
        </w:rPr>
      </w:pPr>
      <w:r w:rsidRPr="00AA6144">
        <w:rPr>
          <w:rFonts w:eastAsia="Times-Roman" w:cs="Times-Roman"/>
          <w:bCs/>
          <w:color w:val="auto"/>
          <w:szCs w:val="18"/>
          <w:lang w:val="en-CA"/>
        </w:rPr>
        <w:t>A defence based on a mistake of fact is a common law principle</w:t>
      </w:r>
      <w:r w:rsidRPr="00AA6144">
        <w:rPr>
          <w:rFonts w:eastAsia="Times-Roman" w:cs="Times-Roman"/>
          <w:bCs/>
          <w:color w:val="auto"/>
          <w:szCs w:val="18"/>
          <w:vertAlign w:val="superscript"/>
          <w:lang w:val="en-CA"/>
        </w:rPr>
        <w:footnoteReference w:id="322"/>
      </w:r>
      <w:r w:rsidRPr="00AA6144">
        <w:rPr>
          <w:rFonts w:eastAsia="Times-Roman" w:cs="Times-Roman"/>
          <w:bCs/>
          <w:color w:val="auto"/>
          <w:szCs w:val="18"/>
          <w:lang w:val="en-CA"/>
        </w:rPr>
        <w:t xml:space="preserve"> and is restricted to specific circumstances </w:t>
      </w:r>
      <w:r w:rsidR="00F2537E" w:rsidRPr="00AA6144">
        <w:rPr>
          <w:rFonts w:eastAsia="Times-Roman" w:cs="Times-Roman"/>
          <w:bCs/>
          <w:color w:val="auto"/>
          <w:szCs w:val="18"/>
          <w:lang w:val="en-CA"/>
        </w:rPr>
        <w:t xml:space="preserve">elaborated </w:t>
      </w:r>
      <w:r w:rsidRPr="00AA6144">
        <w:rPr>
          <w:rFonts w:eastAsia="Times-Roman" w:cs="Times-Roman"/>
          <w:bCs/>
          <w:color w:val="auto"/>
          <w:szCs w:val="18"/>
          <w:lang w:val="en-CA"/>
        </w:rPr>
        <w:t xml:space="preserve">in the </w:t>
      </w:r>
      <w:r w:rsidRPr="00AA6144">
        <w:rPr>
          <w:rFonts w:eastAsia="Times-Roman" w:cs="Times-Roman"/>
          <w:bCs/>
          <w:i/>
          <w:color w:val="auto"/>
          <w:szCs w:val="18"/>
          <w:lang w:val="en-CA"/>
        </w:rPr>
        <w:t>Criminal Code</w:t>
      </w:r>
      <w:r w:rsidRPr="00AA6144">
        <w:rPr>
          <w:rFonts w:eastAsia="Times-Roman" w:cs="Times-Roman"/>
          <w:bCs/>
          <w:color w:val="auto"/>
          <w:szCs w:val="18"/>
          <w:lang w:val="en-CA"/>
        </w:rPr>
        <w:t>.</w:t>
      </w:r>
      <w:r w:rsidRPr="00AA6144">
        <w:rPr>
          <w:rFonts w:eastAsia="Times-Roman" w:cs="Times-Roman"/>
          <w:bCs/>
          <w:color w:val="auto"/>
          <w:szCs w:val="18"/>
          <w:vertAlign w:val="superscript"/>
          <w:lang w:val="en-CA"/>
        </w:rPr>
        <w:footnoteReference w:id="323"/>
      </w:r>
      <w:r w:rsidR="00417A99" w:rsidRPr="00AA6144">
        <w:rPr>
          <w:rFonts w:eastAsia="Times-Roman" w:cs="Times-Roman"/>
          <w:bCs/>
          <w:color w:val="auto"/>
          <w:szCs w:val="18"/>
          <w:lang w:val="en-CA"/>
        </w:rPr>
        <w:t xml:space="preserve"> </w:t>
      </w:r>
      <w:r w:rsidRPr="00AA6144">
        <w:rPr>
          <w:rFonts w:eastAsia="Times-Roman" w:cs="Times-Roman"/>
          <w:bCs/>
          <w:color w:val="auto"/>
          <w:szCs w:val="18"/>
          <w:lang w:val="en-CA"/>
        </w:rPr>
        <w:t xml:space="preserve"> </w:t>
      </w:r>
      <w:r w:rsidR="004E2AF3" w:rsidRPr="00AA6144">
        <w:rPr>
          <w:rFonts w:eastAsia="Times-Roman" w:cs="Times-Roman"/>
          <w:bCs/>
          <w:color w:val="auto"/>
          <w:szCs w:val="18"/>
          <w:lang w:val="en-CA"/>
        </w:rPr>
        <w:t xml:space="preserve">In </w:t>
      </w:r>
      <w:r w:rsidR="004E2AF3" w:rsidRPr="00AA6144">
        <w:rPr>
          <w:rFonts w:eastAsia="Times-Roman" w:cs="Times-Roman"/>
          <w:bCs/>
          <w:i/>
          <w:color w:val="auto"/>
          <w:szCs w:val="18"/>
          <w:lang w:val="en-CA"/>
        </w:rPr>
        <w:t xml:space="preserve">R v. </w:t>
      </w:r>
      <w:proofErr w:type="spellStart"/>
      <w:r w:rsidR="004E2AF3" w:rsidRPr="00AA6144">
        <w:rPr>
          <w:rFonts w:eastAsia="Times-Roman" w:cs="Times-Roman"/>
          <w:bCs/>
          <w:i/>
          <w:color w:val="auto"/>
          <w:szCs w:val="18"/>
          <w:lang w:val="en-CA"/>
        </w:rPr>
        <w:t>Pappajohn</w:t>
      </w:r>
      <w:proofErr w:type="spellEnd"/>
      <w:r w:rsidR="004E2AF3" w:rsidRPr="00AA6144">
        <w:rPr>
          <w:rStyle w:val="FootnoteReference"/>
          <w:rFonts w:eastAsia="Times-Roman" w:cs="Times-Roman"/>
          <w:bCs/>
          <w:color w:val="auto"/>
          <w:szCs w:val="18"/>
          <w:lang w:val="en-CA"/>
        </w:rPr>
        <w:footnoteReference w:id="324"/>
      </w:r>
      <w:r w:rsidR="004E2AF3" w:rsidRPr="00AA6144">
        <w:rPr>
          <w:rFonts w:eastAsia="Times-Roman" w:cs="Times-Roman"/>
          <w:bCs/>
          <w:color w:val="auto"/>
          <w:szCs w:val="18"/>
          <w:lang w:val="en-CA"/>
        </w:rPr>
        <w:t>, the Supreme Court of Canada decided that a mistake of fact defence constitutes a denial that the fault element has been proven beyond a reasonable doubt. Writing for the majority, Justice Dickson wrote “a mistake that negates intention or recklessness entitles the accused to an acquittal.”</w:t>
      </w:r>
      <w:r w:rsidR="004E2AF3" w:rsidRPr="00AA6144">
        <w:rPr>
          <w:rStyle w:val="FootnoteReference"/>
          <w:rFonts w:eastAsia="Times-Roman" w:cs="Times-Roman"/>
          <w:bCs/>
          <w:color w:val="auto"/>
          <w:szCs w:val="18"/>
          <w:lang w:val="en-CA"/>
        </w:rPr>
        <w:footnoteReference w:id="325"/>
      </w:r>
      <w:r w:rsidR="004E2AF3" w:rsidRPr="00AA6144">
        <w:rPr>
          <w:rFonts w:eastAsia="Times-Roman" w:cs="Times-Roman"/>
          <w:bCs/>
          <w:color w:val="auto"/>
          <w:szCs w:val="18"/>
          <w:lang w:val="en-CA"/>
        </w:rPr>
        <w:t xml:space="preserve"> Therefore, depending on the fault element of a particular offence, such as subjective </w:t>
      </w:r>
      <w:proofErr w:type="spellStart"/>
      <w:r w:rsidR="004E2AF3" w:rsidRPr="00AA6144">
        <w:rPr>
          <w:rFonts w:eastAsia="Times-Roman" w:cs="Times-Roman"/>
          <w:bCs/>
          <w:i/>
          <w:color w:val="auto"/>
          <w:szCs w:val="18"/>
          <w:lang w:val="en-CA"/>
        </w:rPr>
        <w:t>mens</w:t>
      </w:r>
      <w:proofErr w:type="spellEnd"/>
      <w:r w:rsidR="004E2AF3" w:rsidRPr="00AA6144">
        <w:rPr>
          <w:rFonts w:eastAsia="Times-Roman" w:cs="Times-Roman"/>
          <w:bCs/>
          <w:i/>
          <w:color w:val="auto"/>
          <w:szCs w:val="18"/>
          <w:lang w:val="en-CA"/>
        </w:rPr>
        <w:t xml:space="preserve"> rea</w:t>
      </w:r>
      <w:r w:rsidR="004E2AF3" w:rsidRPr="00AA6144">
        <w:rPr>
          <w:rFonts w:eastAsia="Times-Roman" w:cs="Times-Roman"/>
          <w:bCs/>
          <w:color w:val="auto"/>
          <w:szCs w:val="18"/>
          <w:lang w:val="en-CA"/>
        </w:rPr>
        <w:t>, objective negligence, or diligence defence, the mistake may be honest, reasonable or both.</w:t>
      </w:r>
    </w:p>
    <w:p w14:paraId="1A19DF9D" w14:textId="77777777" w:rsidR="00820E44" w:rsidRPr="00AA6144" w:rsidRDefault="00EC1BD9" w:rsidP="00D54EE5">
      <w:pPr>
        <w:pStyle w:val="AIBodyText"/>
        <w:rPr>
          <w:rFonts w:eastAsia="Times-Roman" w:cs="Times-Roman"/>
          <w:bCs/>
          <w:color w:val="auto"/>
          <w:szCs w:val="18"/>
          <w:lang w:val="en-CA"/>
        </w:rPr>
      </w:pPr>
      <w:r w:rsidRPr="00AA6144">
        <w:rPr>
          <w:rFonts w:eastAsia="Times-Roman" w:cs="Times-Roman"/>
          <w:bCs/>
          <w:color w:val="auto"/>
          <w:szCs w:val="18"/>
          <w:lang w:val="en-CA"/>
        </w:rPr>
        <w:t>T</w:t>
      </w:r>
      <w:r w:rsidR="00820E44" w:rsidRPr="00AA6144">
        <w:rPr>
          <w:rFonts w:eastAsia="Times-Roman" w:cs="Times-Roman"/>
          <w:bCs/>
          <w:color w:val="auto"/>
          <w:szCs w:val="18"/>
          <w:lang w:val="en-CA"/>
        </w:rPr>
        <w:t xml:space="preserve">he defence of mistake of fact as laid out in Canadian law seems to be broader than the defence of mistake of fact in Article 32(1) of the </w:t>
      </w:r>
      <w:r w:rsidR="005C5FF0" w:rsidRPr="00AA6144">
        <w:rPr>
          <w:rFonts w:eastAsia="Times-Roman" w:cs="Times-Roman"/>
          <w:bCs/>
          <w:color w:val="auto"/>
          <w:szCs w:val="18"/>
          <w:lang w:val="en-CA"/>
        </w:rPr>
        <w:t>Rome Statute</w:t>
      </w:r>
      <w:r w:rsidR="00820E44" w:rsidRPr="00AA6144">
        <w:rPr>
          <w:rFonts w:eastAsia="Times-Roman" w:cs="Times-Roman"/>
          <w:bCs/>
          <w:color w:val="auto"/>
          <w:szCs w:val="18"/>
          <w:lang w:val="en-CA"/>
        </w:rPr>
        <w:t xml:space="preserve">, which could lead to impunity. Article 32(1) of the </w:t>
      </w:r>
      <w:r w:rsidR="005C5FF0" w:rsidRPr="00AA6144">
        <w:rPr>
          <w:rFonts w:eastAsia="Times-Roman" w:cs="Times-Roman"/>
          <w:bCs/>
          <w:color w:val="auto"/>
          <w:szCs w:val="18"/>
          <w:lang w:val="en-CA"/>
        </w:rPr>
        <w:t>Rome Statute</w:t>
      </w:r>
      <w:r w:rsidR="00820E44" w:rsidRPr="00AA6144">
        <w:rPr>
          <w:rFonts w:eastAsia="Times-Roman" w:cs="Times-Roman"/>
          <w:bCs/>
          <w:color w:val="auto"/>
          <w:szCs w:val="18"/>
          <w:lang w:val="en-CA"/>
        </w:rPr>
        <w:t xml:space="preserve"> provides:</w:t>
      </w:r>
      <w:r w:rsidRPr="00AA6144">
        <w:rPr>
          <w:rFonts w:eastAsia="Times-Roman" w:cs="Times-Roman"/>
          <w:bCs/>
          <w:color w:val="auto"/>
          <w:szCs w:val="18"/>
          <w:lang w:val="en-CA"/>
        </w:rPr>
        <w:t xml:space="preserve"> </w:t>
      </w:r>
      <w:r w:rsidR="00EF765E" w:rsidRPr="00AA6144">
        <w:rPr>
          <w:rFonts w:eastAsia="Times-Roman" w:cs="Times-Roman"/>
          <w:bCs/>
          <w:color w:val="auto"/>
          <w:szCs w:val="18"/>
          <w:lang w:val="en-CA"/>
        </w:rPr>
        <w:t>“a</w:t>
      </w:r>
      <w:r w:rsidR="00820E44" w:rsidRPr="00AA6144">
        <w:rPr>
          <w:rFonts w:eastAsia="Times-Roman" w:cs="Times-Roman"/>
          <w:bCs/>
          <w:color w:val="auto"/>
          <w:szCs w:val="18"/>
          <w:lang w:val="en-CA"/>
        </w:rPr>
        <w:t xml:space="preserve"> mistake of fact shall be a ground for excluding criminal responsibility only if it negates the mental element required by the crime.”</w:t>
      </w:r>
      <w:r w:rsidR="00820E44" w:rsidRPr="00AA6144">
        <w:rPr>
          <w:rFonts w:eastAsia="Times-Roman" w:cs="Times-Roman"/>
          <w:bCs/>
          <w:color w:val="auto"/>
          <w:szCs w:val="18"/>
          <w:vertAlign w:val="superscript"/>
          <w:lang w:val="en-CA"/>
        </w:rPr>
        <w:footnoteReference w:id="326"/>
      </w:r>
      <w:r w:rsidR="00820E44" w:rsidRPr="00AA6144">
        <w:rPr>
          <w:rFonts w:eastAsia="Times-Roman" w:cs="Times-Roman"/>
          <w:bCs/>
          <w:color w:val="auto"/>
          <w:szCs w:val="18"/>
          <w:lang w:val="en-CA"/>
        </w:rPr>
        <w:t xml:space="preserve"> </w:t>
      </w:r>
    </w:p>
    <w:p w14:paraId="6DA4594F" w14:textId="77777777" w:rsidR="00F84A21" w:rsidRPr="00AA6144" w:rsidRDefault="00F84A21" w:rsidP="00352022">
      <w:pPr>
        <w:pStyle w:val="AIBodyText"/>
        <w:rPr>
          <w:rFonts w:cs="Times-Roman"/>
          <w:b/>
          <w:bCs/>
          <w:i/>
          <w:iCs/>
          <w:color w:val="auto"/>
          <w:szCs w:val="18"/>
          <w:lang w:val="en-CA"/>
        </w:rPr>
      </w:pPr>
      <w:r w:rsidRPr="00AA6144">
        <w:rPr>
          <w:rFonts w:cs="Times-Roman"/>
          <w:b/>
          <w:bCs/>
          <w:i/>
          <w:iCs/>
          <w:color w:val="auto"/>
          <w:szCs w:val="18"/>
          <w:lang w:val="en-CA"/>
        </w:rPr>
        <w:t xml:space="preserve">Defences – ignorance of the law </w:t>
      </w:r>
    </w:p>
    <w:p w14:paraId="55030C48" w14:textId="77777777" w:rsidR="00C03A73" w:rsidRPr="00AA6144" w:rsidRDefault="00392A67" w:rsidP="00C03A73">
      <w:pPr>
        <w:pStyle w:val="AIBodyText"/>
        <w:rPr>
          <w:rFonts w:eastAsia="Times-Roman" w:cs="Times-Roman"/>
          <w:bCs/>
          <w:color w:val="auto"/>
          <w:szCs w:val="18"/>
          <w:lang w:val="en-CA"/>
        </w:rPr>
      </w:pPr>
      <w:r w:rsidRPr="00AA6144">
        <w:rPr>
          <w:rFonts w:eastAsia="Times-Roman" w:cs="Times-Roman"/>
          <w:bCs/>
          <w:color w:val="auto"/>
          <w:szCs w:val="18"/>
          <w:lang w:val="en-CA"/>
        </w:rPr>
        <w:t xml:space="preserve">Section 19 of the </w:t>
      </w:r>
      <w:r w:rsidRPr="00AA6144">
        <w:rPr>
          <w:rFonts w:eastAsia="Times-Roman" w:cs="Times-Roman"/>
          <w:bCs/>
          <w:i/>
          <w:color w:val="auto"/>
          <w:szCs w:val="18"/>
          <w:lang w:val="en-CA"/>
        </w:rPr>
        <w:t>Criminal Code</w:t>
      </w:r>
      <w:r w:rsidRPr="00AA6144">
        <w:rPr>
          <w:rFonts w:eastAsia="Times-Roman" w:cs="Times-Roman"/>
          <w:bCs/>
          <w:color w:val="auto"/>
          <w:szCs w:val="18"/>
          <w:lang w:val="en-CA"/>
        </w:rPr>
        <w:t xml:space="preserve"> </w:t>
      </w:r>
      <w:r w:rsidR="00F62898" w:rsidRPr="00AA6144">
        <w:rPr>
          <w:rFonts w:eastAsia="Times-Roman" w:cs="Times-Roman"/>
          <w:bCs/>
          <w:color w:val="auto"/>
          <w:szCs w:val="18"/>
          <w:lang w:val="en-CA"/>
        </w:rPr>
        <w:t xml:space="preserve">provides </w:t>
      </w:r>
      <w:r w:rsidR="00504C1F" w:rsidRPr="00AA6144">
        <w:rPr>
          <w:rFonts w:eastAsia="Times-Roman" w:cs="Times-Roman"/>
          <w:bCs/>
          <w:color w:val="auto"/>
          <w:szCs w:val="18"/>
          <w:lang w:val="en-CA"/>
        </w:rPr>
        <w:t>that</w:t>
      </w:r>
      <w:r w:rsidR="00F62898" w:rsidRPr="00AA6144">
        <w:rPr>
          <w:rFonts w:eastAsia="Times-Roman" w:cs="Times-Roman"/>
          <w:bCs/>
          <w:color w:val="auto"/>
          <w:szCs w:val="18"/>
          <w:lang w:val="en-CA"/>
        </w:rPr>
        <w:t xml:space="preserve"> “</w:t>
      </w:r>
      <w:r w:rsidRPr="00AA6144">
        <w:rPr>
          <w:rFonts w:eastAsia="Times-Roman" w:cs="Times-Roman"/>
          <w:bCs/>
          <w:color w:val="auto"/>
          <w:szCs w:val="18"/>
          <w:lang w:val="en-CA"/>
        </w:rPr>
        <w:t>ignorance of the law</w:t>
      </w:r>
      <w:r w:rsidR="00504C1F" w:rsidRPr="00AA6144">
        <w:rPr>
          <w:rFonts w:eastAsia="Times-Roman" w:cs="Times-Roman"/>
          <w:bCs/>
          <w:color w:val="auto"/>
          <w:szCs w:val="18"/>
          <w:lang w:val="en-CA"/>
        </w:rPr>
        <w:t xml:space="preserve"> is not an excuse for committing th</w:t>
      </w:r>
      <w:r w:rsidR="00F62898" w:rsidRPr="00AA6144">
        <w:rPr>
          <w:rFonts w:eastAsia="Times-Roman" w:cs="Times-Roman"/>
          <w:bCs/>
          <w:color w:val="auto"/>
          <w:szCs w:val="18"/>
          <w:lang w:val="en-CA"/>
        </w:rPr>
        <w:t>at</w:t>
      </w:r>
      <w:r w:rsidR="00504C1F" w:rsidRPr="00AA6144">
        <w:rPr>
          <w:rFonts w:eastAsia="Times-Roman" w:cs="Times-Roman"/>
          <w:bCs/>
          <w:color w:val="auto"/>
          <w:szCs w:val="18"/>
          <w:lang w:val="en-CA"/>
        </w:rPr>
        <w:t xml:space="preserve"> offence</w:t>
      </w:r>
      <w:r w:rsidRPr="00AA6144">
        <w:rPr>
          <w:rFonts w:eastAsia="Times-Roman" w:cs="Times-Roman"/>
          <w:bCs/>
          <w:color w:val="auto"/>
          <w:szCs w:val="18"/>
          <w:lang w:val="en-CA"/>
        </w:rPr>
        <w:t>.</w:t>
      </w:r>
      <w:r w:rsidR="00F62898" w:rsidRPr="00AA6144">
        <w:rPr>
          <w:rFonts w:eastAsia="Times-Roman" w:cs="Times-Roman"/>
          <w:bCs/>
          <w:color w:val="auto"/>
          <w:szCs w:val="18"/>
          <w:lang w:val="en-CA"/>
        </w:rPr>
        <w:t>”</w:t>
      </w:r>
      <w:r w:rsidRPr="00AA6144">
        <w:rPr>
          <w:rFonts w:eastAsia="Times-Roman" w:cs="Times-Roman"/>
          <w:bCs/>
          <w:color w:val="auto"/>
          <w:szCs w:val="18"/>
          <w:lang w:val="en-CA"/>
        </w:rPr>
        <w:t xml:space="preserve"> </w:t>
      </w:r>
      <w:r w:rsidR="00F62898" w:rsidRPr="00AA6144">
        <w:rPr>
          <w:rFonts w:eastAsia="Times-Roman" w:cs="Times-Roman"/>
          <w:bCs/>
          <w:color w:val="auto"/>
          <w:szCs w:val="18"/>
          <w:lang w:val="en-CA"/>
        </w:rPr>
        <w:t xml:space="preserve">In </w:t>
      </w:r>
      <w:hyperlink r:id="rId22" w:history="1">
        <w:r w:rsidR="00F62898" w:rsidRPr="00AA6144">
          <w:rPr>
            <w:rStyle w:val="Hyperlink"/>
            <w:rFonts w:eastAsia="Times-Roman" w:cs="Times-Roman"/>
            <w:bCs/>
            <w:i/>
            <w:iCs/>
            <w:color w:val="auto"/>
            <w:szCs w:val="18"/>
            <w:lang w:val="en-CA"/>
          </w:rPr>
          <w:t>R v Forster</w:t>
        </w:r>
      </w:hyperlink>
      <w:r w:rsidR="00F62898" w:rsidRPr="00AA6144">
        <w:rPr>
          <w:rFonts w:eastAsia="Times-Roman" w:cs="Times-Roman"/>
          <w:bCs/>
          <w:color w:val="auto"/>
          <w:szCs w:val="18"/>
          <w:lang w:val="en-CA"/>
        </w:rPr>
        <w:t>, Chief Justice Lamer of the Supreme Court of Canada (as he was then) explained that:</w:t>
      </w:r>
    </w:p>
    <w:p w14:paraId="70FB053D" w14:textId="77777777" w:rsidR="00C03A73" w:rsidRPr="00AA6144" w:rsidRDefault="00C03A73" w:rsidP="00A95830">
      <w:pPr>
        <w:pStyle w:val="AIBodyText"/>
        <w:ind w:left="714"/>
        <w:rPr>
          <w:rFonts w:eastAsia="Times-Roman" w:cs="Times-Roman"/>
          <w:bCs/>
          <w:color w:val="auto"/>
          <w:szCs w:val="18"/>
          <w:lang w:val="en-CA"/>
        </w:rPr>
      </w:pPr>
      <w:r w:rsidRPr="00AA6144">
        <w:rPr>
          <w:rFonts w:eastAsia="Times-Roman" w:cs="Times-Roman"/>
          <w:bCs/>
          <w:color w:val="auto"/>
          <w:szCs w:val="18"/>
          <w:lang w:val="en-CA"/>
        </w:rPr>
        <w:t xml:space="preserve">It is a principle of our criminal law that an honest but mistaken belief in respect of the legal consequences of one's deliberate actions does not furnish a defence to a criminal charge, even when the mistake cannot be attributed to the negligence of the accused: </w:t>
      </w:r>
      <w:r w:rsidRPr="00AA6144">
        <w:rPr>
          <w:rFonts w:eastAsia="Times-Roman" w:cs="Times-Roman"/>
          <w:bCs/>
          <w:i/>
          <w:iCs/>
          <w:color w:val="auto"/>
          <w:szCs w:val="18"/>
          <w:lang w:val="en-CA"/>
        </w:rPr>
        <w:t>Molis v. The Queen</w:t>
      </w:r>
      <w:r w:rsidRPr="00AA6144">
        <w:rPr>
          <w:rFonts w:eastAsia="Times-Roman" w:cs="Times-Roman"/>
          <w:bCs/>
          <w:color w:val="auto"/>
          <w:szCs w:val="18"/>
          <w:lang w:val="en-CA"/>
        </w:rPr>
        <w:t xml:space="preserve">, [1980] 2 S.C.R. 356.  This Court recently reaffirmed in </w:t>
      </w:r>
      <w:r w:rsidRPr="00AA6144">
        <w:rPr>
          <w:rFonts w:eastAsia="Times-Roman" w:cs="Times-Roman"/>
          <w:bCs/>
          <w:i/>
          <w:iCs/>
          <w:color w:val="auto"/>
          <w:szCs w:val="18"/>
          <w:lang w:val="en-CA"/>
        </w:rPr>
        <w:t>R. v. Docherty</w:t>
      </w:r>
      <w:r w:rsidRPr="00AA6144">
        <w:rPr>
          <w:rFonts w:eastAsia="Times-Roman" w:cs="Times-Roman"/>
          <w:bCs/>
          <w:color w:val="auto"/>
          <w:szCs w:val="18"/>
          <w:lang w:val="en-CA"/>
        </w:rPr>
        <w:t xml:space="preserve">, [1989] 2 S.C.R. 941, at p. 960, the principle that knowledge that one's actions are contrary to the law is not a component of the </w:t>
      </w:r>
      <w:proofErr w:type="spellStart"/>
      <w:r w:rsidRPr="00AA6144">
        <w:rPr>
          <w:rFonts w:eastAsia="Times-Roman" w:cs="Times-Roman"/>
          <w:bCs/>
          <w:i/>
          <w:iCs/>
          <w:color w:val="auto"/>
          <w:szCs w:val="18"/>
          <w:lang w:val="en-CA"/>
        </w:rPr>
        <w:t>mens</w:t>
      </w:r>
      <w:proofErr w:type="spellEnd"/>
      <w:r w:rsidRPr="00AA6144">
        <w:rPr>
          <w:rFonts w:eastAsia="Times-Roman" w:cs="Times-Roman"/>
          <w:bCs/>
          <w:i/>
          <w:iCs/>
          <w:color w:val="auto"/>
          <w:szCs w:val="18"/>
          <w:lang w:val="en-CA"/>
        </w:rPr>
        <w:t xml:space="preserve"> rea</w:t>
      </w:r>
      <w:r w:rsidRPr="00AA6144">
        <w:rPr>
          <w:rFonts w:eastAsia="Times-Roman" w:cs="Times-Roman"/>
          <w:bCs/>
          <w:color w:val="auto"/>
          <w:szCs w:val="18"/>
          <w:lang w:val="en-CA"/>
        </w:rPr>
        <w:t xml:space="preserve"> for an offence, and consequently does not operate as a defence.</w:t>
      </w:r>
      <w:r w:rsidRPr="00AA6144">
        <w:rPr>
          <w:rStyle w:val="FootnoteReference"/>
          <w:rFonts w:eastAsia="Times-Roman" w:cs="Times-Roman"/>
          <w:bCs/>
          <w:color w:val="auto"/>
          <w:szCs w:val="18"/>
          <w:lang w:val="en-CA"/>
        </w:rPr>
        <w:t xml:space="preserve"> </w:t>
      </w:r>
      <w:r w:rsidRPr="00AA6144">
        <w:rPr>
          <w:rStyle w:val="FootnoteReference"/>
          <w:rFonts w:eastAsia="Times-Roman" w:cs="Times-Roman"/>
          <w:bCs/>
          <w:color w:val="auto"/>
          <w:szCs w:val="18"/>
          <w:lang w:val="en-CA"/>
        </w:rPr>
        <w:footnoteReference w:id="327"/>
      </w:r>
    </w:p>
    <w:p w14:paraId="6904E241" w14:textId="77777777" w:rsidR="00F62898" w:rsidRPr="00AA6144" w:rsidRDefault="00C03A73" w:rsidP="00392A67">
      <w:pPr>
        <w:pStyle w:val="AIBodyText"/>
        <w:rPr>
          <w:rFonts w:eastAsia="Times-Roman" w:cs="Times-Roman"/>
          <w:bCs/>
          <w:color w:val="auto"/>
          <w:szCs w:val="18"/>
          <w:lang w:val="en-CA"/>
        </w:rPr>
      </w:pPr>
      <w:r w:rsidRPr="00AA6144">
        <w:rPr>
          <w:rFonts w:eastAsia="Times-Roman" w:cs="Times-Roman"/>
          <w:bCs/>
          <w:color w:val="auto"/>
          <w:szCs w:val="18"/>
          <w:lang w:val="en-CA"/>
        </w:rPr>
        <w:t>The Supreme Court recently reaffirmed this principle in addressing possession of firearms.</w:t>
      </w:r>
      <w:r w:rsidRPr="00AA6144">
        <w:rPr>
          <w:rStyle w:val="FootnoteReference"/>
          <w:rFonts w:eastAsia="Times-Roman" w:cs="Times-Roman"/>
          <w:bCs/>
          <w:color w:val="auto"/>
          <w:szCs w:val="18"/>
          <w:lang w:val="en-CA"/>
        </w:rPr>
        <w:footnoteReference w:id="328"/>
      </w:r>
      <w:r w:rsidRPr="00AA6144">
        <w:rPr>
          <w:rFonts w:eastAsia="Times-Roman" w:cs="Times-Roman"/>
          <w:bCs/>
          <w:color w:val="auto"/>
          <w:szCs w:val="18"/>
          <w:lang w:val="en-CA"/>
        </w:rPr>
        <w:t xml:space="preserve"> </w:t>
      </w:r>
    </w:p>
    <w:p w14:paraId="3FC2AA2C" w14:textId="77777777" w:rsidR="009B77E2" w:rsidRPr="00AA6144" w:rsidRDefault="00F62898" w:rsidP="006A6F7E">
      <w:pPr>
        <w:widowControl/>
        <w:suppressAutoHyphens w:val="0"/>
        <w:spacing w:after="0" w:line="240" w:lineRule="auto"/>
        <w:rPr>
          <w:rFonts w:eastAsia="Times-Roman" w:cs="Times-Roman"/>
          <w:bCs/>
          <w:color w:val="auto"/>
          <w:szCs w:val="18"/>
          <w:lang w:val="en-CA"/>
        </w:rPr>
      </w:pPr>
      <w:r w:rsidRPr="00AA6144">
        <w:rPr>
          <w:rFonts w:eastAsia="Times-Roman" w:cs="Times-Roman"/>
          <w:bCs/>
          <w:color w:val="auto"/>
          <w:szCs w:val="18"/>
          <w:lang w:val="en-CA"/>
        </w:rPr>
        <w:t>While t</w:t>
      </w:r>
      <w:r w:rsidR="00392A67" w:rsidRPr="00AA6144">
        <w:rPr>
          <w:rFonts w:eastAsia="Times-Roman" w:cs="Times-Roman"/>
          <w:bCs/>
          <w:color w:val="auto"/>
          <w:szCs w:val="18"/>
          <w:lang w:val="en-CA"/>
        </w:rPr>
        <w:t xml:space="preserve">he Supreme Court </w:t>
      </w:r>
      <w:r w:rsidR="0031692A" w:rsidRPr="00AA6144">
        <w:rPr>
          <w:rFonts w:eastAsia="Times-Roman" w:cs="Times-Roman"/>
          <w:bCs/>
          <w:color w:val="auto"/>
          <w:szCs w:val="18"/>
          <w:lang w:val="en-CA"/>
        </w:rPr>
        <w:t>of Canada</w:t>
      </w:r>
      <w:r w:rsidR="00FD0186" w:rsidRPr="00AA6144">
        <w:rPr>
          <w:rFonts w:eastAsia="Times-Roman" w:cs="Times-Roman"/>
          <w:bCs/>
          <w:color w:val="auto"/>
          <w:szCs w:val="18"/>
          <w:lang w:val="en-CA"/>
        </w:rPr>
        <w:t xml:space="preserve"> </w:t>
      </w:r>
      <w:r w:rsidR="00D21F06" w:rsidRPr="00AA6144">
        <w:rPr>
          <w:rFonts w:eastAsia="Times-Roman" w:cs="Times-Roman"/>
          <w:bCs/>
          <w:color w:val="auto"/>
          <w:szCs w:val="18"/>
          <w:lang w:val="en-CA"/>
        </w:rPr>
        <w:t xml:space="preserve">has </w:t>
      </w:r>
      <w:r w:rsidRPr="00AA6144">
        <w:rPr>
          <w:rFonts w:eastAsia="Times-Roman" w:cs="Times-Roman"/>
          <w:bCs/>
          <w:color w:val="auto"/>
          <w:szCs w:val="18"/>
          <w:lang w:val="en-CA"/>
        </w:rPr>
        <w:t xml:space="preserve">clearly confirmed </w:t>
      </w:r>
      <w:r w:rsidR="00392A67" w:rsidRPr="00AA6144">
        <w:rPr>
          <w:rFonts w:eastAsia="Times-Roman" w:cs="Times-Roman"/>
          <w:bCs/>
          <w:color w:val="auto"/>
          <w:szCs w:val="18"/>
          <w:lang w:val="en-CA"/>
        </w:rPr>
        <w:t xml:space="preserve">that </w:t>
      </w:r>
      <w:r w:rsidR="00F758EA" w:rsidRPr="00AA6144">
        <w:rPr>
          <w:rFonts w:eastAsia="Times-Roman" w:cs="Times-Roman"/>
          <w:bCs/>
          <w:color w:val="auto"/>
          <w:szCs w:val="18"/>
          <w:lang w:val="en-CA"/>
        </w:rPr>
        <w:t xml:space="preserve">ignorance of the law </w:t>
      </w:r>
      <w:r w:rsidR="00392A67" w:rsidRPr="00AA6144">
        <w:rPr>
          <w:rFonts w:eastAsia="Times-Roman" w:cs="Times-Roman"/>
          <w:bCs/>
          <w:color w:val="auto"/>
          <w:szCs w:val="18"/>
          <w:lang w:val="en-CA"/>
        </w:rPr>
        <w:t>is never an excuse to a criminal offense</w:t>
      </w:r>
      <w:r w:rsidRPr="00AA6144">
        <w:rPr>
          <w:rFonts w:eastAsia="Times-Roman" w:cs="Times-Roman"/>
          <w:bCs/>
          <w:color w:val="auto"/>
          <w:szCs w:val="18"/>
          <w:lang w:val="en-CA"/>
        </w:rPr>
        <w:t>,</w:t>
      </w:r>
      <w:r w:rsidR="00392A67" w:rsidRPr="00AA6144">
        <w:rPr>
          <w:rFonts w:eastAsia="Times-Roman" w:cs="Times-Roman"/>
          <w:bCs/>
          <w:color w:val="auto"/>
          <w:szCs w:val="18"/>
          <w:lang w:val="en-CA"/>
        </w:rPr>
        <w:t xml:space="preserve"> the law or regulation must have been officially promulgated or published.</w:t>
      </w:r>
      <w:bookmarkStart w:id="143" w:name="_Ref267051217"/>
      <w:r w:rsidR="00392A67" w:rsidRPr="00AA6144">
        <w:rPr>
          <w:rFonts w:eastAsia="Times-Roman" w:cs="Times-Roman"/>
          <w:bCs/>
          <w:color w:val="auto"/>
          <w:szCs w:val="18"/>
          <w:vertAlign w:val="superscript"/>
          <w:lang w:val="en-CA"/>
        </w:rPr>
        <w:footnoteReference w:id="329"/>
      </w:r>
      <w:bookmarkEnd w:id="143"/>
      <w:r w:rsidR="00392A67" w:rsidRPr="00AA6144">
        <w:rPr>
          <w:rFonts w:eastAsia="Times-Roman" w:cs="Times-Roman"/>
          <w:bCs/>
          <w:color w:val="auto"/>
          <w:szCs w:val="18"/>
          <w:lang w:val="en-CA"/>
        </w:rPr>
        <w:t xml:space="preserve"> </w:t>
      </w:r>
      <w:r w:rsidR="00410848" w:rsidRPr="00AA6144">
        <w:rPr>
          <w:rFonts w:eastAsia="Times-Roman" w:cs="Times-Roman"/>
          <w:bCs/>
          <w:color w:val="auto"/>
          <w:szCs w:val="18"/>
          <w:lang w:val="en-CA"/>
        </w:rPr>
        <w:t xml:space="preserve"> Moreover, using </w:t>
      </w:r>
      <w:r w:rsidR="00410848" w:rsidRPr="00AA6144">
        <w:rPr>
          <w:rFonts w:eastAsia="Times-Roman" w:cs="Times-Roman"/>
          <w:bCs/>
          <w:i/>
          <w:color w:val="auto"/>
          <w:szCs w:val="18"/>
          <w:lang w:val="en-CA"/>
        </w:rPr>
        <w:t>R v Pontes</w:t>
      </w:r>
      <w:r w:rsidR="00410848" w:rsidRPr="00AA6144">
        <w:rPr>
          <w:rFonts w:eastAsia="Times-Roman" w:cs="Times-Roman"/>
          <w:bCs/>
          <w:color w:val="auto"/>
          <w:szCs w:val="18"/>
          <w:lang w:val="en-CA"/>
        </w:rPr>
        <w:t xml:space="preserve"> as an example, Roach points out that the Supreme Court </w:t>
      </w:r>
      <w:r w:rsidR="00392A67" w:rsidRPr="00AA6144">
        <w:rPr>
          <w:rFonts w:eastAsia="Times-Roman" w:cs="Times-Roman"/>
          <w:bCs/>
          <w:color w:val="auto"/>
          <w:szCs w:val="18"/>
          <w:lang w:val="en-CA"/>
        </w:rPr>
        <w:t>“mitigates [the harshness of Section 19] by, in this one limited context, taking imprisonment away as a sentencing option”.</w:t>
      </w:r>
      <w:r w:rsidR="00392A67" w:rsidRPr="00AA6144">
        <w:rPr>
          <w:rFonts w:eastAsia="Times-Roman" w:cs="Times-Roman"/>
          <w:bCs/>
          <w:color w:val="auto"/>
          <w:szCs w:val="18"/>
          <w:vertAlign w:val="superscript"/>
          <w:lang w:val="en-CA"/>
        </w:rPr>
        <w:footnoteReference w:id="330"/>
      </w:r>
      <w:r w:rsidR="006A6F7E" w:rsidRPr="00AA6144">
        <w:rPr>
          <w:rFonts w:eastAsia="Times-Roman" w:cs="Times-Roman"/>
          <w:bCs/>
          <w:color w:val="auto"/>
          <w:szCs w:val="18"/>
          <w:lang w:val="en-CA"/>
        </w:rPr>
        <w:t xml:space="preserve"> </w:t>
      </w:r>
    </w:p>
    <w:p w14:paraId="62132463" w14:textId="77777777" w:rsidR="009B77E2" w:rsidRPr="00AA6144" w:rsidRDefault="009B77E2" w:rsidP="006A6F7E">
      <w:pPr>
        <w:widowControl/>
        <w:suppressAutoHyphens w:val="0"/>
        <w:spacing w:after="0" w:line="240" w:lineRule="auto"/>
        <w:rPr>
          <w:rFonts w:eastAsia="Times-Roman" w:cs="Times-Roman"/>
          <w:bCs/>
          <w:color w:val="auto"/>
          <w:szCs w:val="18"/>
          <w:lang w:val="en-CA"/>
        </w:rPr>
      </w:pPr>
    </w:p>
    <w:p w14:paraId="0665B181" w14:textId="13606D09" w:rsidR="006A6F7E" w:rsidRPr="00AA6144" w:rsidRDefault="009B77E2" w:rsidP="006A6F7E">
      <w:pPr>
        <w:widowControl/>
        <w:suppressAutoHyphens w:val="0"/>
        <w:spacing w:after="0" w:line="240" w:lineRule="auto"/>
        <w:rPr>
          <w:rFonts w:ascii="Times New Roman" w:hAnsi="Times New Roman"/>
          <w:color w:val="auto"/>
          <w:sz w:val="24"/>
          <w:lang w:val="en-CA" w:eastAsia="en-US"/>
        </w:rPr>
      </w:pPr>
      <w:r w:rsidRPr="00AA6144">
        <w:rPr>
          <w:rFonts w:eastAsia="Times-Roman" w:cs="Times-Roman"/>
          <w:bCs/>
          <w:color w:val="auto"/>
          <w:szCs w:val="18"/>
          <w:lang w:val="en-CA"/>
        </w:rPr>
        <w:t>In international legislation, t</w:t>
      </w:r>
      <w:r w:rsidR="006A6F7E" w:rsidRPr="00AA6144">
        <w:rPr>
          <w:rFonts w:eastAsia="Times-Roman" w:cs="Times-Roman"/>
          <w:bCs/>
          <w:color w:val="auto"/>
          <w:szCs w:val="18"/>
          <w:lang w:val="en-CA"/>
        </w:rPr>
        <w:t xml:space="preserve">he Rome Statute article 32 (2) </w:t>
      </w:r>
      <w:r w:rsidRPr="00AA6144">
        <w:rPr>
          <w:rFonts w:eastAsia="Times-Roman" w:cs="Times-Roman"/>
          <w:bCs/>
          <w:color w:val="auto"/>
          <w:szCs w:val="18"/>
          <w:lang w:val="en-CA"/>
        </w:rPr>
        <w:t>affirms the same principle</w:t>
      </w:r>
      <w:r w:rsidR="006A6F7E" w:rsidRPr="00AA6144">
        <w:rPr>
          <w:rFonts w:eastAsia="Times-Roman" w:cs="Times-Roman"/>
          <w:bCs/>
          <w:color w:val="auto"/>
          <w:szCs w:val="18"/>
          <w:lang w:val="en-CA"/>
        </w:rPr>
        <w:t xml:space="preserve"> that “</w:t>
      </w:r>
      <w:r w:rsidR="006A6F7E" w:rsidRPr="00AA6144">
        <w:rPr>
          <w:rFonts w:ascii="Times New Roman" w:hAnsi="Times New Roman"/>
          <w:color w:val="auto"/>
          <w:szCs w:val="18"/>
          <w:lang w:val="en-CA" w:eastAsia="en-US"/>
        </w:rPr>
        <w:t xml:space="preserve">A mistake of law as to whether a particular </w:t>
      </w:r>
      <w:r w:rsidRPr="00AA6144">
        <w:rPr>
          <w:rFonts w:ascii="Times New Roman" w:hAnsi="Times New Roman"/>
          <w:color w:val="auto"/>
          <w:szCs w:val="18"/>
          <w:lang w:val="en-CA" w:eastAsia="en-US"/>
        </w:rPr>
        <w:t>t</w:t>
      </w:r>
      <w:r w:rsidR="006A6F7E" w:rsidRPr="00AA6144">
        <w:rPr>
          <w:rFonts w:ascii="Times New Roman" w:hAnsi="Times New Roman"/>
          <w:color w:val="auto"/>
          <w:szCs w:val="18"/>
          <w:lang w:val="en-CA" w:eastAsia="en-US"/>
        </w:rPr>
        <w:t>ype of conduct is a crime within the jurisdiction of the Court shall not be a ground for excluding criminal responsibility”</w:t>
      </w:r>
      <w:r w:rsidR="001D4016" w:rsidRPr="00AA6144">
        <w:rPr>
          <w:rFonts w:ascii="Times New Roman" w:hAnsi="Times New Roman"/>
          <w:color w:val="auto"/>
          <w:szCs w:val="18"/>
          <w:lang w:val="en-CA" w:eastAsia="en-US"/>
        </w:rPr>
        <w:t>.</w:t>
      </w:r>
      <w:r w:rsidR="006A6F7E" w:rsidRPr="00AA6144">
        <w:rPr>
          <w:rStyle w:val="FootnoteReference"/>
          <w:rFonts w:ascii="Times New Roman" w:hAnsi="Times New Roman"/>
          <w:color w:val="auto"/>
          <w:szCs w:val="18"/>
          <w:lang w:val="en-CA" w:eastAsia="en-US"/>
        </w:rPr>
        <w:footnoteReference w:id="331"/>
      </w:r>
    </w:p>
    <w:p w14:paraId="7B68C36F" w14:textId="596FA7BE" w:rsidR="00392A67" w:rsidRPr="00AA6144" w:rsidRDefault="006A6F7E" w:rsidP="00392A67">
      <w:pPr>
        <w:pStyle w:val="AIBodyText"/>
        <w:rPr>
          <w:rFonts w:eastAsia="Times-Roman" w:cs="Times-Roman"/>
          <w:bCs/>
          <w:color w:val="auto"/>
          <w:szCs w:val="18"/>
          <w:lang w:val="en-CA"/>
        </w:rPr>
      </w:pPr>
      <w:r w:rsidRPr="00AA6144">
        <w:rPr>
          <w:rFonts w:eastAsia="Times-Roman" w:cs="Times-Roman"/>
          <w:bCs/>
          <w:color w:val="auto"/>
          <w:szCs w:val="18"/>
          <w:lang w:val="en-CA"/>
        </w:rPr>
        <w:t xml:space="preserve"> </w:t>
      </w:r>
    </w:p>
    <w:p w14:paraId="7D1E61C5" w14:textId="77777777" w:rsidR="0080260A" w:rsidRPr="00AA6144" w:rsidRDefault="0080260A" w:rsidP="0080260A">
      <w:pPr>
        <w:pStyle w:val="AIBodyText"/>
        <w:rPr>
          <w:rFonts w:cs="Times-Roman"/>
          <w:b/>
          <w:bCs/>
          <w:i/>
          <w:iCs/>
          <w:color w:val="auto"/>
          <w:szCs w:val="18"/>
          <w:lang w:val="en-CA"/>
        </w:rPr>
      </w:pPr>
      <w:r w:rsidRPr="00AA6144">
        <w:rPr>
          <w:rFonts w:cs="Times-Roman"/>
          <w:b/>
          <w:bCs/>
          <w:i/>
          <w:iCs/>
          <w:color w:val="auto"/>
          <w:szCs w:val="18"/>
          <w:lang w:val="en-CA"/>
        </w:rPr>
        <w:t xml:space="preserve">Defences – officially induced error </w:t>
      </w:r>
    </w:p>
    <w:p w14:paraId="1199CADD" w14:textId="77777777" w:rsidR="00392A67" w:rsidRPr="00AA6144" w:rsidRDefault="00392A67" w:rsidP="004E2AF3">
      <w:pPr>
        <w:pStyle w:val="AIBodyText"/>
        <w:rPr>
          <w:rFonts w:eastAsia="Times-Roman" w:cs="Times-Roman"/>
          <w:bCs/>
          <w:color w:val="auto"/>
          <w:szCs w:val="18"/>
          <w:lang w:val="en-CA"/>
        </w:rPr>
      </w:pPr>
      <w:r w:rsidRPr="00AA6144">
        <w:rPr>
          <w:rFonts w:eastAsia="Times-Roman" w:cs="Times-Roman"/>
          <w:bCs/>
          <w:color w:val="auto"/>
          <w:szCs w:val="18"/>
          <w:lang w:val="en-CA"/>
        </w:rPr>
        <w:t xml:space="preserve">In </w:t>
      </w:r>
      <w:proofErr w:type="spellStart"/>
      <w:r w:rsidRPr="00AA6144">
        <w:rPr>
          <w:rFonts w:eastAsia="Times-Roman" w:cs="Times-Roman"/>
          <w:bCs/>
          <w:i/>
          <w:color w:val="auto"/>
          <w:szCs w:val="18"/>
          <w:lang w:val="en-CA"/>
        </w:rPr>
        <w:t>Lévis</w:t>
      </w:r>
      <w:proofErr w:type="spellEnd"/>
      <w:r w:rsidRPr="00AA6144">
        <w:rPr>
          <w:rFonts w:eastAsia="Times-Roman" w:cs="Times-Roman"/>
          <w:bCs/>
          <w:i/>
          <w:color w:val="auto"/>
          <w:szCs w:val="18"/>
          <w:lang w:val="en-CA"/>
        </w:rPr>
        <w:t xml:space="preserve"> (City)</w:t>
      </w:r>
      <w:r w:rsidRPr="00AA6144">
        <w:rPr>
          <w:rFonts w:eastAsia="Times-Roman" w:cs="Times-Roman"/>
          <w:bCs/>
          <w:color w:val="auto"/>
          <w:szCs w:val="18"/>
          <w:lang w:val="en-CA"/>
        </w:rPr>
        <w:t xml:space="preserve"> </w:t>
      </w:r>
      <w:r w:rsidRPr="00AA6144">
        <w:rPr>
          <w:rFonts w:eastAsia="Times-Roman" w:cs="Times-Roman"/>
          <w:bCs/>
          <w:i/>
          <w:color w:val="auto"/>
          <w:szCs w:val="18"/>
          <w:lang w:val="en-CA"/>
        </w:rPr>
        <w:t xml:space="preserve">v </w:t>
      </w:r>
      <w:proofErr w:type="spellStart"/>
      <w:r w:rsidRPr="00AA6144">
        <w:rPr>
          <w:rFonts w:eastAsia="Times-Roman" w:cs="Times-Roman"/>
          <w:bCs/>
          <w:i/>
          <w:color w:val="auto"/>
          <w:szCs w:val="18"/>
          <w:lang w:val="en-CA"/>
        </w:rPr>
        <w:t>Tétreault</w:t>
      </w:r>
      <w:proofErr w:type="spellEnd"/>
      <w:r w:rsidR="00481FB3" w:rsidRPr="00AA6144">
        <w:rPr>
          <w:rFonts w:eastAsia="Times-Roman" w:cs="Times-Roman"/>
          <w:bCs/>
          <w:color w:val="auto"/>
          <w:szCs w:val="18"/>
          <w:lang w:val="en-CA"/>
        </w:rPr>
        <w:t>,</w:t>
      </w:r>
      <w:r w:rsidRPr="00AA6144">
        <w:rPr>
          <w:rFonts w:eastAsia="Times-Roman" w:cs="Times-Roman"/>
          <w:bCs/>
          <w:color w:val="auto"/>
          <w:szCs w:val="18"/>
          <w:vertAlign w:val="superscript"/>
          <w:lang w:val="en-CA"/>
        </w:rPr>
        <w:footnoteReference w:id="332"/>
      </w:r>
      <w:r w:rsidRPr="00AA6144">
        <w:rPr>
          <w:rFonts w:eastAsia="Times-Roman" w:cs="Times-Roman"/>
          <w:bCs/>
          <w:color w:val="auto"/>
          <w:szCs w:val="18"/>
          <w:lang w:val="en-CA"/>
        </w:rPr>
        <w:t xml:space="preserve"> </w:t>
      </w:r>
      <w:r w:rsidR="004E2AF3" w:rsidRPr="00AA6144">
        <w:rPr>
          <w:rFonts w:eastAsia="Times-Roman" w:cs="Times-Roman"/>
          <w:bCs/>
          <w:color w:val="auto"/>
          <w:szCs w:val="18"/>
          <w:lang w:val="en-CA"/>
        </w:rPr>
        <w:t xml:space="preserve">the Supreme Court </w:t>
      </w:r>
      <w:r w:rsidR="0031692A" w:rsidRPr="00AA6144">
        <w:rPr>
          <w:rFonts w:eastAsia="Times-Roman" w:cs="Times-Roman"/>
          <w:bCs/>
          <w:color w:val="auto"/>
          <w:szCs w:val="18"/>
          <w:lang w:val="en-CA"/>
        </w:rPr>
        <w:t xml:space="preserve">of Canada </w:t>
      </w:r>
      <w:r w:rsidR="004E2AF3" w:rsidRPr="00AA6144">
        <w:rPr>
          <w:rFonts w:eastAsia="Times-Roman" w:cs="Times-Roman"/>
          <w:bCs/>
          <w:color w:val="auto"/>
          <w:szCs w:val="18"/>
          <w:lang w:val="en-CA"/>
        </w:rPr>
        <w:t>recognized the defence of officially induced error for all criminal and regulatory offences.</w:t>
      </w:r>
      <w:r w:rsidR="004E2AF3" w:rsidRPr="00AA6144">
        <w:rPr>
          <w:rFonts w:eastAsia="Times-Roman" w:cs="Times-Roman"/>
          <w:bCs/>
          <w:color w:val="auto"/>
          <w:szCs w:val="18"/>
          <w:vertAlign w:val="superscript"/>
          <w:lang w:val="en-CA"/>
        </w:rPr>
        <w:footnoteReference w:id="333"/>
      </w:r>
      <w:r w:rsidR="004E2AF3" w:rsidRPr="00AA6144">
        <w:rPr>
          <w:rFonts w:eastAsia="Times-Roman" w:cs="Times-Roman"/>
          <w:bCs/>
          <w:color w:val="auto"/>
          <w:szCs w:val="18"/>
          <w:lang w:val="en-CA"/>
        </w:rPr>
        <w:t xml:space="preserve">  This defence requires a consideration of several factors, including: “efforts made by the accused to obtain information, the clarity or obscurity of the law, the position and role of the official who gave the information or opinion, and the clarity, definitiveness and reasonableness of the information or opinion.”</w:t>
      </w:r>
      <w:r w:rsidR="004E2AF3" w:rsidRPr="00AA6144">
        <w:rPr>
          <w:rStyle w:val="FootnoteReference"/>
          <w:rFonts w:eastAsia="Times-Roman" w:cs="Times-Roman"/>
          <w:bCs/>
          <w:color w:val="auto"/>
          <w:szCs w:val="18"/>
          <w:lang w:val="en-CA"/>
        </w:rPr>
        <w:footnoteReference w:id="334"/>
      </w:r>
      <w:r w:rsidR="004E2AF3" w:rsidRPr="00AA6144">
        <w:rPr>
          <w:rFonts w:eastAsia="Times-Roman" w:cs="Times-Roman"/>
          <w:bCs/>
          <w:color w:val="auto"/>
          <w:szCs w:val="18"/>
          <w:lang w:val="en-CA"/>
        </w:rPr>
        <w:t xml:space="preserve"> The Court held that “it is not sufficient in such cases to conduct a purely subjective analysis of the reasonableness of the information. This aspect of the question must be considered from the perspective of a reasonable person in a situation similar to that of the accused.”</w:t>
      </w:r>
      <w:r w:rsidR="004E2AF3" w:rsidRPr="00AA6144">
        <w:rPr>
          <w:rStyle w:val="FootnoteReference"/>
          <w:rFonts w:eastAsia="Times-Roman" w:cs="Times-Roman"/>
          <w:bCs/>
          <w:color w:val="auto"/>
          <w:szCs w:val="18"/>
          <w:lang w:val="en-CA"/>
        </w:rPr>
        <w:footnoteReference w:id="335"/>
      </w:r>
      <w:r w:rsidR="004E2AF3" w:rsidRPr="00AA6144">
        <w:rPr>
          <w:rFonts w:eastAsia="Times-Roman" w:cs="Times-Roman"/>
          <w:bCs/>
          <w:color w:val="auto"/>
          <w:szCs w:val="18"/>
          <w:lang w:val="en-CA"/>
        </w:rPr>
        <w:t xml:space="preserve"> </w:t>
      </w:r>
      <w:r w:rsidR="008260ED" w:rsidRPr="00AA6144">
        <w:rPr>
          <w:rFonts w:eastAsia="Times-Roman" w:cs="Times-Roman"/>
          <w:bCs/>
          <w:color w:val="auto"/>
          <w:szCs w:val="18"/>
          <w:lang w:val="en-CA"/>
        </w:rPr>
        <w:t>The Court</w:t>
      </w:r>
      <w:r w:rsidR="004E2AF3" w:rsidRPr="00AA6144">
        <w:rPr>
          <w:rFonts w:eastAsia="Times-Roman" w:cs="Times-Roman"/>
          <w:bCs/>
          <w:color w:val="auto"/>
          <w:szCs w:val="18"/>
          <w:lang w:val="en-CA"/>
        </w:rPr>
        <w:t xml:space="preserve"> further noted that </w:t>
      </w:r>
      <w:r w:rsidRPr="00AA6144">
        <w:rPr>
          <w:rFonts w:eastAsia="Times-Roman" w:cs="Times-Roman"/>
          <w:bCs/>
          <w:color w:val="auto"/>
          <w:szCs w:val="18"/>
          <w:lang w:val="en-CA"/>
        </w:rPr>
        <w:t>“the inflexibility of this rule is cause for concern where the error in law of the accused arises out of an error of an authorized representative of the state and the state then demands, through other officials, that the criminal law be applied strictly to punish the conduct of the accused”.</w:t>
      </w:r>
      <w:r w:rsidRPr="00AA6144">
        <w:rPr>
          <w:rFonts w:eastAsia="Times-Roman" w:cs="Times-Roman"/>
          <w:bCs/>
          <w:color w:val="auto"/>
          <w:szCs w:val="18"/>
          <w:vertAlign w:val="superscript"/>
          <w:lang w:val="en-CA"/>
        </w:rPr>
        <w:footnoteReference w:id="336"/>
      </w:r>
      <w:r w:rsidRPr="00AA6144">
        <w:rPr>
          <w:rFonts w:eastAsia="Times-Roman" w:cs="Times-Roman"/>
          <w:bCs/>
          <w:color w:val="auto"/>
          <w:szCs w:val="18"/>
          <w:lang w:val="en-CA"/>
        </w:rPr>
        <w:t xml:space="preserve"> </w:t>
      </w:r>
    </w:p>
    <w:p w14:paraId="54084358" w14:textId="77777777" w:rsidR="00392A67" w:rsidRPr="00AA6144" w:rsidRDefault="00392A67" w:rsidP="00392A67">
      <w:pPr>
        <w:pStyle w:val="AIBodyText"/>
        <w:rPr>
          <w:rFonts w:eastAsia="Times-Roman" w:cs="Times-Roman"/>
          <w:bCs/>
          <w:color w:val="auto"/>
          <w:szCs w:val="18"/>
          <w:lang w:val="en-CA"/>
        </w:rPr>
      </w:pPr>
      <w:r w:rsidRPr="00AA6144">
        <w:rPr>
          <w:rFonts w:eastAsia="Times-Roman" w:cs="Times-Roman"/>
          <w:bCs/>
          <w:color w:val="auto"/>
          <w:szCs w:val="18"/>
          <w:lang w:val="en-CA"/>
        </w:rPr>
        <w:t xml:space="preserve">This defence seems to be narrower than the defence of mistake of law in Article 32(2) of the </w:t>
      </w:r>
      <w:r w:rsidR="005C5FF0" w:rsidRPr="00AA6144">
        <w:rPr>
          <w:rFonts w:eastAsia="Times-Roman" w:cs="Times-Roman"/>
          <w:bCs/>
          <w:color w:val="auto"/>
          <w:szCs w:val="18"/>
          <w:lang w:val="en-CA"/>
        </w:rPr>
        <w:t>Rome Statute</w:t>
      </w:r>
      <w:r w:rsidRPr="00AA6144">
        <w:rPr>
          <w:rFonts w:eastAsia="Times-Roman" w:cs="Times-Roman"/>
          <w:bCs/>
          <w:color w:val="auto"/>
          <w:szCs w:val="18"/>
          <w:lang w:val="en-CA"/>
        </w:rPr>
        <w:t xml:space="preserve">. </w:t>
      </w:r>
      <w:r w:rsidR="00DF1286" w:rsidRPr="00AA6144">
        <w:rPr>
          <w:rFonts w:eastAsia="Times-Roman" w:cs="Times-Roman"/>
          <w:bCs/>
          <w:color w:val="auto"/>
          <w:szCs w:val="18"/>
          <w:lang w:val="en-CA"/>
        </w:rPr>
        <w:t>In Canada, the defence is only available in limited circumstances</w:t>
      </w:r>
      <w:r w:rsidRPr="00AA6144">
        <w:rPr>
          <w:rFonts w:eastAsia="Times-Roman" w:cs="Times-Roman"/>
          <w:bCs/>
          <w:color w:val="auto"/>
          <w:szCs w:val="18"/>
          <w:lang w:val="en-CA"/>
        </w:rPr>
        <w:t xml:space="preserve">, whereas it can be used at the International Criminal Court </w:t>
      </w:r>
      <w:r w:rsidR="007A15DF" w:rsidRPr="00AA6144">
        <w:rPr>
          <w:rFonts w:eastAsia="Times-Roman" w:cs="Times-Roman"/>
          <w:bCs/>
          <w:color w:val="auto"/>
          <w:szCs w:val="18"/>
          <w:lang w:val="en-CA"/>
        </w:rPr>
        <w:t xml:space="preserve">for </w:t>
      </w:r>
      <w:r w:rsidR="00D234B9" w:rsidRPr="00AA6144">
        <w:rPr>
          <w:rFonts w:eastAsia="Times-Roman" w:cs="Times-Roman"/>
          <w:bCs/>
          <w:color w:val="auto"/>
          <w:szCs w:val="18"/>
          <w:lang w:val="en-CA"/>
        </w:rPr>
        <w:t>excluding</w:t>
      </w:r>
      <w:r w:rsidR="007A15DF" w:rsidRPr="00AA6144">
        <w:rPr>
          <w:rFonts w:eastAsia="Times-Roman" w:cs="Times-Roman"/>
          <w:bCs/>
          <w:color w:val="auto"/>
          <w:szCs w:val="18"/>
          <w:lang w:val="en-CA"/>
        </w:rPr>
        <w:t xml:space="preserve"> criminal responsibility </w:t>
      </w:r>
      <w:r w:rsidR="00A467A3" w:rsidRPr="00AA6144">
        <w:rPr>
          <w:rFonts w:eastAsia="Times-Roman" w:cs="Times-Roman"/>
          <w:bCs/>
          <w:color w:val="auto"/>
          <w:szCs w:val="18"/>
          <w:lang w:val="en-CA"/>
        </w:rPr>
        <w:t>if the mistake of law</w:t>
      </w:r>
      <w:r w:rsidRPr="00AA6144">
        <w:rPr>
          <w:rFonts w:eastAsia="Times-Roman" w:cs="Times-Roman"/>
          <w:bCs/>
          <w:color w:val="auto"/>
          <w:szCs w:val="18"/>
          <w:lang w:val="en-CA"/>
        </w:rPr>
        <w:t xml:space="preserve"> negate</w:t>
      </w:r>
      <w:r w:rsidR="00A467A3" w:rsidRPr="00AA6144">
        <w:rPr>
          <w:rFonts w:eastAsia="Times-Roman" w:cs="Times-Roman"/>
          <w:bCs/>
          <w:color w:val="auto"/>
          <w:szCs w:val="18"/>
          <w:lang w:val="en-CA"/>
        </w:rPr>
        <w:t>s</w:t>
      </w:r>
      <w:r w:rsidRPr="00AA6144">
        <w:rPr>
          <w:rFonts w:eastAsia="Times-Roman" w:cs="Times-Roman"/>
          <w:bCs/>
          <w:color w:val="auto"/>
          <w:szCs w:val="18"/>
          <w:lang w:val="en-CA"/>
        </w:rPr>
        <w:t xml:space="preserve"> the</w:t>
      </w:r>
      <w:r w:rsidRPr="00AA6144">
        <w:rPr>
          <w:rFonts w:eastAsia="Times-Roman" w:cs="Times-Roman"/>
          <w:bCs/>
          <w:i/>
          <w:color w:val="auto"/>
          <w:szCs w:val="18"/>
          <w:lang w:val="en-CA"/>
        </w:rPr>
        <w:t xml:space="preserve"> </w:t>
      </w:r>
      <w:proofErr w:type="spellStart"/>
      <w:r w:rsidRPr="00AA6144">
        <w:rPr>
          <w:rFonts w:eastAsia="Times-Roman" w:cs="Times-Roman"/>
          <w:bCs/>
          <w:i/>
          <w:color w:val="auto"/>
          <w:szCs w:val="18"/>
          <w:lang w:val="en-CA"/>
        </w:rPr>
        <w:t>mens</w:t>
      </w:r>
      <w:proofErr w:type="spellEnd"/>
      <w:r w:rsidRPr="00AA6144">
        <w:rPr>
          <w:rFonts w:eastAsia="Times-Roman" w:cs="Times-Roman"/>
          <w:bCs/>
          <w:i/>
          <w:color w:val="auto"/>
          <w:szCs w:val="18"/>
          <w:lang w:val="en-CA"/>
        </w:rPr>
        <w:t xml:space="preserve"> rea</w:t>
      </w:r>
      <w:r w:rsidR="00A467A3" w:rsidRPr="00AA6144">
        <w:rPr>
          <w:rFonts w:eastAsia="Times-Roman" w:cs="Times-Roman"/>
          <w:bCs/>
          <w:color w:val="auto"/>
          <w:szCs w:val="18"/>
          <w:lang w:val="en-CA"/>
        </w:rPr>
        <w:t xml:space="preserve"> element of the crime</w:t>
      </w:r>
      <w:r w:rsidR="00B57E07" w:rsidRPr="00AA6144">
        <w:rPr>
          <w:rFonts w:eastAsia="Times-Roman" w:cs="Times-Roman"/>
          <w:bCs/>
          <w:color w:val="auto"/>
          <w:szCs w:val="18"/>
          <w:lang w:val="en-CA"/>
        </w:rPr>
        <w:t xml:space="preserve"> or as provided for in article 33</w:t>
      </w:r>
      <w:r w:rsidR="00A467A3" w:rsidRPr="00AA6144">
        <w:rPr>
          <w:rFonts w:eastAsia="Times-Roman" w:cs="Times-Roman"/>
          <w:bCs/>
          <w:color w:val="auto"/>
          <w:szCs w:val="18"/>
          <w:lang w:val="en-CA"/>
        </w:rPr>
        <w:t>.</w:t>
      </w:r>
      <w:r w:rsidR="00D276F3" w:rsidRPr="00AA6144">
        <w:rPr>
          <w:rStyle w:val="FootnoteReference"/>
          <w:rFonts w:eastAsia="Times-Roman" w:cs="Times-Roman"/>
          <w:bCs/>
          <w:color w:val="auto"/>
          <w:szCs w:val="18"/>
          <w:lang w:val="en-CA"/>
        </w:rPr>
        <w:footnoteReference w:id="337"/>
      </w:r>
    </w:p>
    <w:p w14:paraId="5C0C769C" w14:textId="77777777" w:rsidR="00F84A21" w:rsidRPr="00AA6144" w:rsidRDefault="00F84A21" w:rsidP="00352022">
      <w:pPr>
        <w:pStyle w:val="AIBodyText"/>
        <w:rPr>
          <w:b/>
          <w:bCs/>
          <w:i/>
          <w:iCs/>
          <w:color w:val="auto"/>
          <w:szCs w:val="18"/>
          <w:lang w:val="en-CA"/>
        </w:rPr>
      </w:pPr>
      <w:r w:rsidRPr="00AA6144">
        <w:rPr>
          <w:b/>
          <w:bCs/>
          <w:i/>
          <w:iCs/>
          <w:color w:val="auto"/>
          <w:szCs w:val="18"/>
          <w:lang w:val="en-CA"/>
        </w:rPr>
        <w:t xml:space="preserve">Defences – insanity and mental disease or defect  </w:t>
      </w:r>
    </w:p>
    <w:p w14:paraId="652F313C" w14:textId="77777777" w:rsidR="006F4B27" w:rsidRPr="00AA6144" w:rsidRDefault="00392A67" w:rsidP="00392A67">
      <w:pPr>
        <w:pStyle w:val="AIBodyText"/>
        <w:rPr>
          <w:rFonts w:eastAsia="Times-Roman" w:cs="Times-Roman"/>
          <w:bCs/>
          <w:color w:val="auto"/>
          <w:szCs w:val="18"/>
          <w:lang w:val="en-CA"/>
        </w:rPr>
      </w:pPr>
      <w:r w:rsidRPr="00AA6144">
        <w:rPr>
          <w:rFonts w:eastAsia="Times-Roman" w:cs="Times-Roman"/>
          <w:bCs/>
          <w:color w:val="auto"/>
          <w:szCs w:val="18"/>
          <w:lang w:val="en-CA"/>
        </w:rPr>
        <w:t xml:space="preserve">The defence of mental disorder in </w:t>
      </w:r>
      <w:r w:rsidR="002A24E7" w:rsidRPr="00AA6144">
        <w:rPr>
          <w:rFonts w:eastAsia="Times-Roman" w:cs="Times-Roman"/>
          <w:bCs/>
          <w:color w:val="auto"/>
          <w:szCs w:val="18"/>
          <w:lang w:val="en-CA"/>
        </w:rPr>
        <w:t xml:space="preserve">section </w:t>
      </w:r>
      <w:r w:rsidRPr="00AA6144">
        <w:rPr>
          <w:rFonts w:eastAsia="Times-Roman" w:cs="Times-Roman"/>
          <w:bCs/>
          <w:color w:val="auto"/>
          <w:szCs w:val="18"/>
          <w:lang w:val="en-CA"/>
        </w:rPr>
        <w:t xml:space="preserve">16 of the </w:t>
      </w:r>
      <w:r w:rsidRPr="00AA6144">
        <w:rPr>
          <w:rFonts w:eastAsia="Times-Roman" w:cs="Times-Roman"/>
          <w:bCs/>
          <w:i/>
          <w:color w:val="auto"/>
          <w:szCs w:val="18"/>
          <w:lang w:val="en-CA"/>
        </w:rPr>
        <w:t>Criminal Code</w:t>
      </w:r>
      <w:r w:rsidRPr="00AA6144">
        <w:rPr>
          <w:rFonts w:eastAsia="Times-Roman" w:cs="Times-Roman"/>
          <w:bCs/>
          <w:color w:val="auto"/>
          <w:szCs w:val="18"/>
          <w:lang w:val="en-CA"/>
        </w:rPr>
        <w:t xml:space="preserve"> is </w:t>
      </w:r>
      <w:r w:rsidR="006A142A" w:rsidRPr="00AA6144">
        <w:rPr>
          <w:rFonts w:eastAsia="Times-Roman" w:cs="Times-Roman"/>
          <w:bCs/>
          <w:color w:val="auto"/>
          <w:szCs w:val="18"/>
          <w:lang w:val="en-CA"/>
        </w:rPr>
        <w:t>very similar to the</w:t>
      </w:r>
      <w:r w:rsidRPr="00AA6144">
        <w:rPr>
          <w:rFonts w:eastAsia="Times-Roman" w:cs="Times-Roman"/>
          <w:bCs/>
          <w:color w:val="auto"/>
          <w:szCs w:val="18"/>
          <w:lang w:val="en-CA"/>
        </w:rPr>
        <w:t xml:space="preserve"> defence</w:t>
      </w:r>
      <w:r w:rsidR="006A142A" w:rsidRPr="00AA6144">
        <w:rPr>
          <w:rFonts w:eastAsia="Times-Roman" w:cs="Times-Roman"/>
          <w:bCs/>
          <w:color w:val="auto"/>
          <w:szCs w:val="18"/>
          <w:lang w:val="en-CA"/>
        </w:rPr>
        <w:t xml:space="preserve"> available</w:t>
      </w:r>
      <w:r w:rsidRPr="00AA6144">
        <w:rPr>
          <w:rFonts w:eastAsia="Times-Roman" w:cs="Times-Roman"/>
          <w:bCs/>
          <w:color w:val="auto"/>
          <w:szCs w:val="18"/>
          <w:lang w:val="en-CA"/>
        </w:rPr>
        <w:t xml:space="preserve"> in </w:t>
      </w:r>
      <w:r w:rsidR="002A24E7" w:rsidRPr="00AA6144">
        <w:rPr>
          <w:rFonts w:eastAsia="Times-Roman" w:cs="Times-Roman"/>
          <w:bCs/>
          <w:color w:val="auto"/>
          <w:szCs w:val="18"/>
          <w:lang w:val="en-CA"/>
        </w:rPr>
        <w:t xml:space="preserve">article 31(1)(a) of the </w:t>
      </w:r>
      <w:r w:rsidR="005C5FF0" w:rsidRPr="00AA6144">
        <w:rPr>
          <w:rFonts w:eastAsia="Times-Roman" w:cs="Times-Roman"/>
          <w:bCs/>
          <w:color w:val="auto"/>
          <w:szCs w:val="18"/>
          <w:lang w:val="en-CA"/>
        </w:rPr>
        <w:t>Rome Statute</w:t>
      </w:r>
      <w:r w:rsidR="006F4B27" w:rsidRPr="00AA6144">
        <w:rPr>
          <w:rFonts w:eastAsia="Times-Roman" w:cs="Times-Roman"/>
          <w:bCs/>
          <w:color w:val="auto"/>
          <w:szCs w:val="18"/>
          <w:lang w:val="en-CA"/>
        </w:rPr>
        <w:t>.</w:t>
      </w:r>
      <w:r w:rsidRPr="00AA6144">
        <w:rPr>
          <w:rFonts w:eastAsia="Times-Roman" w:cs="Times-Roman"/>
          <w:bCs/>
          <w:color w:val="auto"/>
          <w:szCs w:val="18"/>
          <w:lang w:val="en-CA"/>
        </w:rPr>
        <w:t xml:space="preserve"> </w:t>
      </w:r>
      <w:r w:rsidR="006F4B27" w:rsidRPr="00AA6144">
        <w:rPr>
          <w:rFonts w:eastAsia="Times-Roman" w:cs="Times-Roman"/>
          <w:bCs/>
          <w:color w:val="auto"/>
          <w:szCs w:val="18"/>
          <w:lang w:val="en-CA"/>
        </w:rPr>
        <w:t xml:space="preserve">Section 16 of the </w:t>
      </w:r>
      <w:r w:rsidR="006F4B27" w:rsidRPr="00AA6144">
        <w:rPr>
          <w:rFonts w:eastAsia="Times-Roman" w:cs="Times-Roman"/>
          <w:bCs/>
          <w:i/>
          <w:color w:val="auto"/>
          <w:szCs w:val="18"/>
          <w:lang w:val="en-CA"/>
        </w:rPr>
        <w:t>Criminal Code</w:t>
      </w:r>
      <w:r w:rsidR="006F4B27" w:rsidRPr="00AA6144">
        <w:rPr>
          <w:rFonts w:eastAsia="Times-Roman" w:cs="Times-Roman"/>
          <w:bCs/>
          <w:color w:val="auto"/>
          <w:szCs w:val="18"/>
          <w:lang w:val="en-CA"/>
        </w:rPr>
        <w:t xml:space="preserve"> states</w:t>
      </w:r>
      <w:r w:rsidRPr="00AA6144">
        <w:rPr>
          <w:rFonts w:eastAsia="Times-Roman" w:cs="Times-Roman"/>
          <w:bCs/>
          <w:color w:val="auto"/>
          <w:szCs w:val="18"/>
          <w:lang w:val="en-CA"/>
        </w:rPr>
        <w:t xml:space="preserve">: </w:t>
      </w:r>
      <w:r w:rsidR="006F4B27" w:rsidRPr="00AA6144">
        <w:rPr>
          <w:rFonts w:eastAsia="Times-Roman" w:cs="Times-Roman"/>
          <w:bCs/>
          <w:color w:val="auto"/>
          <w:szCs w:val="18"/>
          <w:lang w:val="en-CA"/>
        </w:rPr>
        <w:tab/>
      </w:r>
    </w:p>
    <w:p w14:paraId="5E80C095" w14:textId="77777777" w:rsidR="00392A67" w:rsidRPr="00AA6144" w:rsidRDefault="00392A67" w:rsidP="00D54EE5">
      <w:pPr>
        <w:pStyle w:val="AIBodyText"/>
        <w:ind w:left="357" w:right="567"/>
        <w:rPr>
          <w:rFonts w:eastAsia="Times-Roman" w:cs="Times-Roman"/>
          <w:bCs/>
          <w:color w:val="auto"/>
          <w:szCs w:val="18"/>
          <w:lang w:val="en-CA"/>
        </w:rPr>
      </w:pPr>
      <w:r w:rsidRPr="00AA6144">
        <w:rPr>
          <w:rFonts w:eastAsia="Times-Roman" w:cs="Times-Roman"/>
          <w:bCs/>
          <w:color w:val="auto"/>
          <w:szCs w:val="18"/>
          <w:lang w:val="en-CA"/>
        </w:rPr>
        <w:t>No person is criminally responsible for an act committed or an omission made while suffering from a mental disorder that rendered the person incapable of appreciating the nature and quality of the act or omission or of knowing that it was wrong.</w:t>
      </w:r>
      <w:r w:rsidR="006F4B27" w:rsidRPr="00AA6144">
        <w:rPr>
          <w:rStyle w:val="FootnoteReference"/>
          <w:rFonts w:eastAsia="Times-Roman" w:cs="Times-Roman"/>
          <w:bCs/>
          <w:color w:val="auto"/>
          <w:szCs w:val="18"/>
          <w:lang w:val="en-CA"/>
        </w:rPr>
        <w:footnoteReference w:id="338"/>
      </w:r>
    </w:p>
    <w:p w14:paraId="0C6902A7" w14:textId="77777777" w:rsidR="00392A67" w:rsidRPr="00AA6144" w:rsidRDefault="00392A67" w:rsidP="00392A67">
      <w:pPr>
        <w:pStyle w:val="AIBodyText"/>
        <w:rPr>
          <w:rFonts w:eastAsia="Times-Roman" w:cs="Times-Roman"/>
          <w:bCs/>
          <w:color w:val="auto"/>
          <w:szCs w:val="18"/>
          <w:lang w:val="en-CA"/>
        </w:rPr>
      </w:pPr>
      <w:r w:rsidRPr="00AA6144">
        <w:rPr>
          <w:rFonts w:eastAsia="Times-Roman" w:cs="Times-Roman"/>
          <w:bCs/>
          <w:color w:val="auto"/>
          <w:szCs w:val="18"/>
          <w:lang w:val="en-CA"/>
        </w:rPr>
        <w:t>Mental disorders are a cause of non-penal liability in some cases and</w:t>
      </w:r>
      <w:r w:rsidR="0031692A" w:rsidRPr="00AA6144">
        <w:rPr>
          <w:rFonts w:eastAsia="Times-Roman" w:cs="Times-Roman"/>
          <w:bCs/>
          <w:color w:val="auto"/>
          <w:szCs w:val="18"/>
          <w:lang w:val="en-CA"/>
        </w:rPr>
        <w:t>,</w:t>
      </w:r>
      <w:r w:rsidRPr="00AA6144">
        <w:rPr>
          <w:rFonts w:eastAsia="Times-Roman" w:cs="Times-Roman"/>
          <w:bCs/>
          <w:color w:val="auto"/>
          <w:szCs w:val="18"/>
          <w:lang w:val="en-CA"/>
        </w:rPr>
        <w:t xml:space="preserve"> as was noted in </w:t>
      </w:r>
      <w:r w:rsidRPr="00AA6144">
        <w:rPr>
          <w:rFonts w:eastAsia="Times-Roman" w:cs="Times-Roman"/>
          <w:bCs/>
          <w:i/>
          <w:color w:val="auto"/>
          <w:szCs w:val="18"/>
          <w:lang w:val="en-CA"/>
        </w:rPr>
        <w:t>R</w:t>
      </w:r>
      <w:r w:rsidRPr="00AA6144">
        <w:rPr>
          <w:rFonts w:eastAsia="Times-Roman" w:cs="Times-Roman"/>
          <w:bCs/>
          <w:color w:val="auto"/>
          <w:szCs w:val="18"/>
          <w:lang w:val="en-CA"/>
        </w:rPr>
        <w:t xml:space="preserve"> v </w:t>
      </w:r>
      <w:r w:rsidRPr="00AA6144">
        <w:rPr>
          <w:rFonts w:eastAsia="Times-Roman" w:cs="Times-Roman"/>
          <w:bCs/>
          <w:i/>
          <w:color w:val="auto"/>
          <w:szCs w:val="18"/>
          <w:lang w:val="en-CA"/>
        </w:rPr>
        <w:t>Swain,</w:t>
      </w:r>
      <w:r w:rsidRPr="00AA6144">
        <w:rPr>
          <w:rFonts w:eastAsia="Times-Roman" w:cs="Times-Roman"/>
          <w:bCs/>
          <w:color w:val="auto"/>
          <w:szCs w:val="18"/>
          <w:lang w:val="en-CA"/>
        </w:rPr>
        <w:t xml:space="preserve"> “[t]he insanity defence is an exemption to criminal liability which is based on an incapacity for criminal intent”.</w:t>
      </w:r>
      <w:bookmarkStart w:id="144" w:name="_Ref267053215"/>
      <w:r w:rsidR="00A812ED" w:rsidRPr="00AA6144">
        <w:rPr>
          <w:rFonts w:eastAsia="Times-Roman" w:cs="Times-Roman"/>
          <w:bCs/>
          <w:color w:val="auto"/>
          <w:szCs w:val="18"/>
          <w:vertAlign w:val="superscript"/>
          <w:lang w:val="en-CA"/>
        </w:rPr>
        <w:footnoteReference w:id="339"/>
      </w:r>
      <w:bookmarkEnd w:id="144"/>
    </w:p>
    <w:p w14:paraId="33977113" w14:textId="77777777" w:rsidR="00E054C7" w:rsidRPr="00AA6144" w:rsidRDefault="00E054C7" w:rsidP="00E054C7">
      <w:pPr>
        <w:pStyle w:val="AIBodyText"/>
        <w:rPr>
          <w:rFonts w:eastAsia="Times-Roman"/>
          <w:color w:val="auto"/>
          <w:szCs w:val="18"/>
          <w:lang w:val="en-CA"/>
        </w:rPr>
      </w:pPr>
      <w:r w:rsidRPr="00AA6144">
        <w:rPr>
          <w:rFonts w:eastAsia="Times-Roman"/>
          <w:color w:val="auto"/>
          <w:szCs w:val="18"/>
          <w:lang w:val="en-CA"/>
        </w:rPr>
        <w:t>Article 31 (1)(a) of the Rome Statute states:</w:t>
      </w:r>
    </w:p>
    <w:p w14:paraId="53D9A66A" w14:textId="77777777" w:rsidR="00E054C7" w:rsidRPr="00AA6144" w:rsidRDefault="00E054C7" w:rsidP="00E054C7">
      <w:pPr>
        <w:pStyle w:val="AIBodyText"/>
        <w:ind w:left="357"/>
        <w:rPr>
          <w:color w:val="auto"/>
          <w:szCs w:val="18"/>
          <w:lang w:val="en-CA"/>
        </w:rPr>
      </w:pPr>
      <w:r w:rsidRPr="00AA6144">
        <w:rPr>
          <w:color w:val="auto"/>
          <w:szCs w:val="18"/>
          <w:lang w:val="en-CA"/>
        </w:rPr>
        <w:t>[</w:t>
      </w:r>
      <w:proofErr w:type="spellStart"/>
      <w:r w:rsidRPr="00AA6144">
        <w:rPr>
          <w:color w:val="auto"/>
          <w:szCs w:val="18"/>
          <w:lang w:val="en-CA"/>
        </w:rPr>
        <w:t>i</w:t>
      </w:r>
      <w:proofErr w:type="spellEnd"/>
      <w:r w:rsidRPr="00AA6144">
        <w:rPr>
          <w:color w:val="auto"/>
          <w:szCs w:val="18"/>
          <w:lang w:val="en-CA"/>
        </w:rPr>
        <w:t>]n addition to other grounds for excluding criminal responsibility provided for in this Statute, a person shall not be criminally responsible if, at the time of that person’s conduct:</w:t>
      </w:r>
    </w:p>
    <w:p w14:paraId="5FD21968" w14:textId="77777777" w:rsidR="00E054C7" w:rsidRPr="00AA6144" w:rsidRDefault="00E054C7" w:rsidP="00E054C7">
      <w:pPr>
        <w:pStyle w:val="AIBodyText"/>
        <w:ind w:left="357"/>
        <w:rPr>
          <w:rFonts w:eastAsia="Times-Roman" w:cs="Times-Roman"/>
          <w:bCs/>
          <w:color w:val="auto"/>
          <w:szCs w:val="18"/>
          <w:lang w:val="en-CA"/>
        </w:rPr>
      </w:pPr>
      <w:r w:rsidRPr="00AA6144">
        <w:rPr>
          <w:color w:val="auto"/>
          <w:szCs w:val="18"/>
          <w:lang w:val="en-CA"/>
        </w:rPr>
        <w:t>(a) The person suffers from a mental disease or defect that destroys that person’s capacity to appreciate the unlawfulness or nature of his or her conduct, or capacity to control his or her conduct to conform to the requirements of law[.]</w:t>
      </w:r>
      <w:r w:rsidRPr="00AA6144">
        <w:rPr>
          <w:rStyle w:val="FootnoteReference"/>
          <w:rFonts w:eastAsia="Times-Roman" w:cs="Times-Roman"/>
          <w:bCs/>
          <w:color w:val="auto"/>
          <w:szCs w:val="18"/>
          <w:lang w:val="en-CA"/>
        </w:rPr>
        <w:footnoteReference w:id="340"/>
      </w:r>
      <w:r w:rsidRPr="00AA6144">
        <w:rPr>
          <w:rFonts w:eastAsia="Times-Roman" w:cs="Times-Roman"/>
          <w:bCs/>
          <w:color w:val="auto"/>
          <w:szCs w:val="18"/>
          <w:lang w:val="en-CA"/>
        </w:rPr>
        <w:t xml:space="preserve">                                                                                                                                                                                                                                                                                                                                                                                                                                                                                                                                                                                                                 </w:t>
      </w:r>
    </w:p>
    <w:p w14:paraId="1A259003" w14:textId="77777777" w:rsidR="00392A67" w:rsidRPr="00AA6144" w:rsidRDefault="00392A67" w:rsidP="00392A67">
      <w:pPr>
        <w:pStyle w:val="AIBodyText"/>
        <w:rPr>
          <w:rFonts w:eastAsia="Times-Roman" w:cs="Times-Roman"/>
          <w:bCs/>
          <w:color w:val="auto"/>
          <w:szCs w:val="18"/>
          <w:lang w:val="en-CA"/>
        </w:rPr>
      </w:pPr>
      <w:r w:rsidRPr="00AA6144">
        <w:rPr>
          <w:rFonts w:eastAsia="Times-Roman" w:cs="Times-Roman"/>
          <w:bCs/>
          <w:color w:val="auto"/>
          <w:szCs w:val="18"/>
          <w:lang w:val="en-CA"/>
        </w:rPr>
        <w:t>The difference</w:t>
      </w:r>
      <w:r w:rsidR="00E054C7" w:rsidRPr="00AA6144">
        <w:rPr>
          <w:rFonts w:eastAsia="Times-Roman" w:cs="Times-Roman"/>
          <w:bCs/>
          <w:color w:val="auto"/>
          <w:szCs w:val="18"/>
          <w:lang w:val="en-CA"/>
        </w:rPr>
        <w:t xml:space="preserve"> between the defence in Canadian law and </w:t>
      </w:r>
      <w:r w:rsidR="00FA1762" w:rsidRPr="00AA6144">
        <w:rPr>
          <w:rFonts w:eastAsia="Times-Roman" w:cs="Times-Roman"/>
          <w:bCs/>
          <w:color w:val="auto"/>
          <w:szCs w:val="18"/>
          <w:lang w:val="en-CA"/>
        </w:rPr>
        <w:t>the defence</w:t>
      </w:r>
      <w:r w:rsidR="00E054C7" w:rsidRPr="00AA6144">
        <w:rPr>
          <w:rFonts w:eastAsia="Times-Roman" w:cs="Times-Roman"/>
          <w:bCs/>
          <w:color w:val="auto"/>
          <w:szCs w:val="18"/>
          <w:lang w:val="en-CA"/>
        </w:rPr>
        <w:t xml:space="preserve"> under the Rome Statute</w:t>
      </w:r>
      <w:r w:rsidRPr="00AA6144">
        <w:rPr>
          <w:rFonts w:eastAsia="Times-Roman" w:cs="Times-Roman"/>
          <w:bCs/>
          <w:color w:val="auto"/>
          <w:szCs w:val="18"/>
          <w:lang w:val="en-CA"/>
        </w:rPr>
        <w:t xml:space="preserve"> would be the presumption </w:t>
      </w:r>
      <w:r w:rsidR="00EC5B1A" w:rsidRPr="00AA6144">
        <w:rPr>
          <w:rFonts w:eastAsia="Times-Roman" w:cs="Times-Roman"/>
          <w:bCs/>
          <w:color w:val="auto"/>
          <w:szCs w:val="18"/>
          <w:lang w:val="en-CA"/>
        </w:rPr>
        <w:t xml:space="preserve">in section 16(2) of the </w:t>
      </w:r>
      <w:r w:rsidR="00EC5B1A" w:rsidRPr="00AA6144">
        <w:rPr>
          <w:rFonts w:eastAsia="Times-Roman" w:cs="Times-Roman"/>
          <w:bCs/>
          <w:i/>
          <w:color w:val="auto"/>
          <w:szCs w:val="18"/>
          <w:lang w:val="en-CA"/>
        </w:rPr>
        <w:t>Criminal Code</w:t>
      </w:r>
      <w:r w:rsidR="00EC5B1A" w:rsidRPr="00AA6144">
        <w:rPr>
          <w:rFonts w:eastAsia="Times-Roman" w:cs="Times-Roman"/>
          <w:bCs/>
          <w:color w:val="auto"/>
          <w:szCs w:val="18"/>
          <w:lang w:val="en-CA"/>
        </w:rPr>
        <w:t xml:space="preserve">, whereby </w:t>
      </w:r>
      <w:r w:rsidR="004F06F5" w:rsidRPr="00AA6144">
        <w:rPr>
          <w:rFonts w:eastAsia="Times-Roman" w:cs="Times-Roman"/>
          <w:bCs/>
          <w:color w:val="auto"/>
          <w:szCs w:val="18"/>
          <w:lang w:val="en-CA"/>
        </w:rPr>
        <w:t>every person is presumed not to have a mental disorder until proved on a balance of probabilities.</w:t>
      </w:r>
      <w:r w:rsidR="00EC5B1A" w:rsidRPr="00AA6144">
        <w:rPr>
          <w:rFonts w:eastAsia="Times-Roman" w:cs="Times-Roman"/>
          <w:bCs/>
          <w:color w:val="auto"/>
          <w:szCs w:val="18"/>
          <w:lang w:val="en-CA"/>
        </w:rPr>
        <w:t xml:space="preserve"> </w:t>
      </w:r>
      <w:r w:rsidRPr="00AA6144">
        <w:rPr>
          <w:rFonts w:eastAsia="Times-Roman" w:cs="Times-Roman"/>
          <w:bCs/>
          <w:color w:val="auto"/>
          <w:szCs w:val="18"/>
          <w:lang w:val="en-CA"/>
        </w:rPr>
        <w:t xml:space="preserve">The </w:t>
      </w:r>
      <w:r w:rsidR="005C5FF0" w:rsidRPr="00AA6144">
        <w:rPr>
          <w:rFonts w:eastAsia="Times-Roman" w:cs="Times-Roman"/>
          <w:bCs/>
          <w:color w:val="auto"/>
          <w:szCs w:val="18"/>
          <w:lang w:val="en-CA"/>
        </w:rPr>
        <w:t>Rome Statute</w:t>
      </w:r>
      <w:r w:rsidRPr="00AA6144">
        <w:rPr>
          <w:rFonts w:eastAsia="Times-Roman" w:cs="Times-Roman"/>
          <w:bCs/>
          <w:color w:val="auto"/>
          <w:szCs w:val="18"/>
          <w:lang w:val="en-CA"/>
        </w:rPr>
        <w:t xml:space="preserve"> does not specify if the </w:t>
      </w:r>
      <w:r w:rsidR="000513C0" w:rsidRPr="00AA6144">
        <w:rPr>
          <w:rFonts w:eastAsia="Times-Roman" w:cs="Times-Roman"/>
          <w:bCs/>
          <w:color w:val="auto"/>
          <w:szCs w:val="18"/>
          <w:lang w:val="en-CA"/>
        </w:rPr>
        <w:t>person invoking the defence</w:t>
      </w:r>
      <w:r w:rsidR="004F06F5" w:rsidRPr="00AA6144">
        <w:rPr>
          <w:rFonts w:eastAsia="Times-Roman" w:cs="Times-Roman"/>
          <w:bCs/>
          <w:color w:val="auto"/>
          <w:szCs w:val="18"/>
          <w:lang w:val="en-CA"/>
        </w:rPr>
        <w:t xml:space="preserve"> </w:t>
      </w:r>
      <w:r w:rsidRPr="00AA6144">
        <w:rPr>
          <w:rFonts w:eastAsia="Times-Roman" w:cs="Times-Roman"/>
          <w:bCs/>
          <w:color w:val="auto"/>
          <w:szCs w:val="18"/>
          <w:lang w:val="en-CA"/>
        </w:rPr>
        <w:t xml:space="preserve">is presumed not to suffer from a mental disorder. Also, in </w:t>
      </w:r>
      <w:r w:rsidR="0037341A" w:rsidRPr="00AA6144">
        <w:rPr>
          <w:rFonts w:eastAsia="Times-Roman" w:cs="Times-Roman"/>
          <w:bCs/>
          <w:color w:val="auto"/>
          <w:szCs w:val="18"/>
          <w:lang w:val="en-CA"/>
        </w:rPr>
        <w:t xml:space="preserve">the </w:t>
      </w:r>
      <w:r w:rsidRPr="00AA6144">
        <w:rPr>
          <w:rFonts w:eastAsia="Times-Roman" w:cs="Times-Roman"/>
          <w:bCs/>
          <w:color w:val="auto"/>
          <w:szCs w:val="18"/>
          <w:lang w:val="en-CA"/>
        </w:rPr>
        <w:t xml:space="preserve">Canadian </w:t>
      </w:r>
      <w:r w:rsidR="0037341A" w:rsidRPr="00AA6144">
        <w:rPr>
          <w:rFonts w:eastAsia="Times-Roman" w:cs="Times-Roman"/>
          <w:bCs/>
          <w:color w:val="auto"/>
          <w:szCs w:val="18"/>
          <w:lang w:val="en-CA"/>
        </w:rPr>
        <w:t>context</w:t>
      </w:r>
      <w:r w:rsidRPr="00AA6144">
        <w:rPr>
          <w:rFonts w:eastAsia="Times-Roman" w:cs="Times-Roman"/>
          <w:bCs/>
          <w:color w:val="auto"/>
          <w:szCs w:val="18"/>
          <w:lang w:val="en-CA"/>
        </w:rPr>
        <w:t xml:space="preserve">, the </w:t>
      </w:r>
      <w:r w:rsidR="0037341A" w:rsidRPr="00AA6144">
        <w:rPr>
          <w:rFonts w:eastAsia="Times-Roman" w:cs="Times-Roman"/>
          <w:bCs/>
          <w:color w:val="auto"/>
          <w:szCs w:val="18"/>
          <w:lang w:val="en-CA"/>
        </w:rPr>
        <w:t xml:space="preserve">accused </w:t>
      </w:r>
      <w:r w:rsidRPr="00AA6144">
        <w:rPr>
          <w:rFonts w:eastAsia="Times-Roman" w:cs="Times-Roman"/>
          <w:bCs/>
          <w:color w:val="auto"/>
          <w:szCs w:val="18"/>
          <w:lang w:val="en-CA"/>
        </w:rPr>
        <w:t xml:space="preserve">has the choice </w:t>
      </w:r>
      <w:proofErr w:type="gramStart"/>
      <w:r w:rsidRPr="00AA6144">
        <w:rPr>
          <w:rFonts w:eastAsia="Times-Roman" w:cs="Times-Roman"/>
          <w:bCs/>
          <w:color w:val="auto"/>
          <w:szCs w:val="18"/>
          <w:lang w:val="en-CA"/>
        </w:rPr>
        <w:t>whether or not</w:t>
      </w:r>
      <w:proofErr w:type="gramEnd"/>
      <w:r w:rsidRPr="00AA6144">
        <w:rPr>
          <w:rFonts w:eastAsia="Times-Roman" w:cs="Times-Roman"/>
          <w:bCs/>
          <w:color w:val="auto"/>
          <w:szCs w:val="18"/>
          <w:lang w:val="en-CA"/>
        </w:rPr>
        <w:t xml:space="preserve"> to invoke </w:t>
      </w:r>
      <w:r w:rsidR="004F691D" w:rsidRPr="00AA6144">
        <w:rPr>
          <w:rFonts w:eastAsia="Times-Roman" w:cs="Times-Roman"/>
          <w:bCs/>
          <w:color w:val="auto"/>
          <w:szCs w:val="18"/>
          <w:lang w:val="en-CA"/>
        </w:rPr>
        <w:t>the defence</w:t>
      </w:r>
      <w:r w:rsidRPr="00AA6144">
        <w:rPr>
          <w:rFonts w:eastAsia="Times-Roman" w:cs="Times-Roman"/>
          <w:bCs/>
          <w:color w:val="auto"/>
          <w:szCs w:val="18"/>
          <w:lang w:val="en-CA"/>
        </w:rPr>
        <w:t>.</w:t>
      </w:r>
      <w:r w:rsidRPr="00AA6144">
        <w:rPr>
          <w:rFonts w:eastAsia="Times-Roman" w:cs="Times-Roman"/>
          <w:bCs/>
          <w:color w:val="auto"/>
          <w:szCs w:val="18"/>
          <w:vertAlign w:val="superscript"/>
          <w:lang w:val="en-CA"/>
        </w:rPr>
        <w:footnoteReference w:id="341"/>
      </w:r>
    </w:p>
    <w:p w14:paraId="2E1285C7" w14:textId="77777777" w:rsidR="00F84A21" w:rsidRPr="00AA6144" w:rsidRDefault="00F84A21" w:rsidP="00352022">
      <w:pPr>
        <w:pStyle w:val="AIBodyText"/>
        <w:rPr>
          <w:b/>
          <w:bCs/>
          <w:i/>
          <w:iCs/>
          <w:color w:val="auto"/>
          <w:szCs w:val="18"/>
          <w:lang w:val="en-CA"/>
        </w:rPr>
      </w:pPr>
      <w:r w:rsidRPr="00AA6144">
        <w:rPr>
          <w:b/>
          <w:bCs/>
          <w:i/>
          <w:iCs/>
          <w:color w:val="auto"/>
          <w:szCs w:val="18"/>
          <w:lang w:val="en-CA"/>
        </w:rPr>
        <w:t xml:space="preserve">Defences – intoxication  </w:t>
      </w:r>
    </w:p>
    <w:p w14:paraId="17A2F019" w14:textId="77777777" w:rsidR="00CB0F40" w:rsidRPr="00AA6144" w:rsidRDefault="0026689E" w:rsidP="00A95830">
      <w:pPr>
        <w:pStyle w:val="AIBodyText"/>
        <w:rPr>
          <w:rFonts w:eastAsia="Times-Roman" w:cs="Times-Roman"/>
          <w:bCs/>
          <w:color w:val="auto"/>
          <w:szCs w:val="18"/>
          <w:lang w:val="en-CA"/>
        </w:rPr>
      </w:pPr>
      <w:r w:rsidRPr="00AA6144">
        <w:rPr>
          <w:rFonts w:eastAsia="Times-Roman" w:cs="Times-Roman"/>
          <w:bCs/>
          <w:color w:val="auto"/>
          <w:szCs w:val="18"/>
          <w:lang w:val="en-CA"/>
        </w:rPr>
        <w:t>Both section 33.1 of the Criminal Code and article 31(1)(b) of the Rome Statute preclude the defen</w:t>
      </w:r>
      <w:r w:rsidR="00A95830" w:rsidRPr="00AA6144">
        <w:rPr>
          <w:rFonts w:eastAsia="Times-Roman" w:cs="Times-Roman"/>
          <w:bCs/>
          <w:color w:val="auto"/>
          <w:szCs w:val="18"/>
          <w:lang w:val="en-CA"/>
        </w:rPr>
        <w:t>c</w:t>
      </w:r>
      <w:r w:rsidRPr="00AA6144">
        <w:rPr>
          <w:rFonts w:eastAsia="Times-Roman" w:cs="Times-Roman"/>
          <w:bCs/>
          <w:color w:val="auto"/>
          <w:szCs w:val="18"/>
          <w:lang w:val="en-CA"/>
        </w:rPr>
        <w:t xml:space="preserve">e of self-induced intoxication. Under the Rome </w:t>
      </w:r>
      <w:r w:rsidR="00CB0F40" w:rsidRPr="00AA6144">
        <w:rPr>
          <w:rFonts w:eastAsia="Times-Roman" w:cs="Times-Roman"/>
          <w:bCs/>
          <w:color w:val="auto"/>
          <w:szCs w:val="18"/>
          <w:lang w:val="en-CA"/>
        </w:rPr>
        <w:t xml:space="preserve">Statute, </w:t>
      </w:r>
      <w:r w:rsidRPr="00AA6144">
        <w:rPr>
          <w:rFonts w:eastAsia="Times-Roman" w:cs="Times-Roman"/>
          <w:bCs/>
          <w:color w:val="auto"/>
          <w:szCs w:val="18"/>
          <w:lang w:val="en-CA"/>
        </w:rPr>
        <w:t xml:space="preserve">a person shall not be criminally responsible if, at the time of that person’s conduct, </w:t>
      </w:r>
    </w:p>
    <w:p w14:paraId="60E1A986" w14:textId="77777777" w:rsidR="0026689E" w:rsidRPr="00AA6144" w:rsidRDefault="0026689E" w:rsidP="00A95830">
      <w:pPr>
        <w:pStyle w:val="AIBodyText"/>
        <w:ind w:left="357"/>
        <w:rPr>
          <w:rFonts w:eastAsia="Times-Roman" w:cs="Times-Roman"/>
          <w:bCs/>
          <w:color w:val="auto"/>
          <w:szCs w:val="18"/>
          <w:lang w:val="en-CA"/>
        </w:rPr>
      </w:pPr>
      <w:r w:rsidRPr="00AA6144">
        <w:rPr>
          <w:rFonts w:eastAsia="Times-Roman" w:cs="Times-Roman"/>
          <w:bCs/>
          <w:color w:val="auto"/>
          <w:szCs w:val="18"/>
          <w:lang w:val="en-CA"/>
        </w:rPr>
        <w:t xml:space="preserve">The person is in a state of intoxication that destroys that person's capacity to appreciate the unlawfulness or nature of his or her conduct, or capacity to control his or her conduct to conform to the requirements of law, unless the person has become voluntarily intoxicated under such circumstances that the person knew, or disregarded the risk, that, as a result of the intoxication, he or she was likely to engage in conduct constituting a crime within the jurisdiction of the Court; </w:t>
      </w:r>
    </w:p>
    <w:p w14:paraId="4C316D98" w14:textId="77777777" w:rsidR="007B1236" w:rsidRPr="00AA6144" w:rsidRDefault="00CB0F40" w:rsidP="007B1236">
      <w:pPr>
        <w:pStyle w:val="AIBodyText"/>
        <w:rPr>
          <w:rFonts w:eastAsia="Times-Roman" w:cs="Times-Roman"/>
          <w:bCs/>
          <w:color w:val="auto"/>
          <w:szCs w:val="18"/>
          <w:lang w:val="en-CA"/>
        </w:rPr>
      </w:pPr>
      <w:r w:rsidRPr="00AA6144">
        <w:rPr>
          <w:rFonts w:eastAsia="Times-Roman" w:cs="Times-Roman"/>
          <w:bCs/>
          <w:color w:val="auto"/>
          <w:szCs w:val="18"/>
          <w:lang w:val="en-CA"/>
        </w:rPr>
        <w:t>Similarly, Parliament amended the Criminal Code following the controversial decision of the Supreme Court</w:t>
      </w:r>
      <w:r w:rsidR="007B1236" w:rsidRPr="00AA6144">
        <w:rPr>
          <w:rFonts w:eastAsia="Times-Roman" w:cs="Times-Roman"/>
          <w:bCs/>
          <w:color w:val="auto"/>
          <w:szCs w:val="18"/>
          <w:lang w:val="en-CA"/>
        </w:rPr>
        <w:t xml:space="preserve"> of Canada in </w:t>
      </w:r>
      <w:r w:rsidR="007B1236" w:rsidRPr="00AA6144">
        <w:rPr>
          <w:rFonts w:eastAsia="Times-Roman" w:cs="Times-Roman"/>
          <w:bCs/>
          <w:i/>
          <w:color w:val="auto"/>
          <w:szCs w:val="18"/>
          <w:lang w:val="en-CA"/>
        </w:rPr>
        <w:t xml:space="preserve">R v </w:t>
      </w:r>
      <w:proofErr w:type="spellStart"/>
      <w:r w:rsidR="007B1236" w:rsidRPr="00AA6144">
        <w:rPr>
          <w:rFonts w:eastAsia="Times-Roman" w:cs="Times-Roman"/>
          <w:bCs/>
          <w:i/>
          <w:color w:val="auto"/>
          <w:szCs w:val="18"/>
          <w:lang w:val="en-CA"/>
        </w:rPr>
        <w:t>Daviault</w:t>
      </w:r>
      <w:proofErr w:type="spellEnd"/>
      <w:r w:rsidRPr="00AA6144">
        <w:rPr>
          <w:rFonts w:eastAsia="Times-Roman" w:cs="Times-Roman"/>
          <w:bCs/>
          <w:color w:val="auto"/>
          <w:szCs w:val="18"/>
          <w:lang w:val="en-CA"/>
        </w:rPr>
        <w:t xml:space="preserve"> where </w:t>
      </w:r>
      <w:r w:rsidR="007B1236" w:rsidRPr="00AA6144">
        <w:rPr>
          <w:rFonts w:eastAsia="Times-Roman" w:cs="Times-Roman"/>
          <w:bCs/>
          <w:color w:val="auto"/>
          <w:szCs w:val="18"/>
          <w:lang w:val="en-CA"/>
        </w:rPr>
        <w:t xml:space="preserve">the Supreme Court found that a self-induced state of intoxication akin to automatism or insanity can be considered in determining whether the accused possesses the minimal mental element required for crimes of general intent. </w:t>
      </w:r>
      <w:r w:rsidR="00427D70" w:rsidRPr="00AA6144">
        <w:rPr>
          <w:rFonts w:eastAsia="Times-Roman" w:cs="Times-Roman"/>
          <w:bCs/>
          <w:color w:val="auto"/>
          <w:szCs w:val="18"/>
          <w:lang w:val="en-CA"/>
        </w:rPr>
        <w:t xml:space="preserve"> Justice Cory, writing for the majority of the</w:t>
      </w:r>
      <w:r w:rsidR="007B1236" w:rsidRPr="00AA6144">
        <w:rPr>
          <w:rFonts w:eastAsia="Times-Roman" w:cs="Times-Roman"/>
          <w:bCs/>
          <w:color w:val="auto"/>
          <w:szCs w:val="18"/>
          <w:lang w:val="en-CA"/>
        </w:rPr>
        <w:t xml:space="preserve"> Supreme Court</w:t>
      </w:r>
      <w:r w:rsidR="00427D70" w:rsidRPr="00AA6144">
        <w:rPr>
          <w:rFonts w:eastAsia="Times-Roman" w:cs="Times-Roman"/>
          <w:bCs/>
          <w:color w:val="auto"/>
          <w:szCs w:val="18"/>
          <w:lang w:val="en-CA"/>
        </w:rPr>
        <w:t>, stated that</w:t>
      </w:r>
      <w:r w:rsidR="007B1236" w:rsidRPr="00AA6144">
        <w:rPr>
          <w:rFonts w:eastAsia="Times-Roman" w:cs="Times-Roman"/>
          <w:bCs/>
          <w:color w:val="auto"/>
          <w:szCs w:val="18"/>
          <w:lang w:val="en-CA"/>
        </w:rPr>
        <w:t>:</w:t>
      </w:r>
    </w:p>
    <w:p w14:paraId="1F4639FC" w14:textId="77777777" w:rsidR="007B1236" w:rsidRPr="00AA6144" w:rsidRDefault="007B1236" w:rsidP="00A95830">
      <w:pPr>
        <w:pStyle w:val="AIBodyText"/>
        <w:ind w:left="357" w:right="567"/>
        <w:rPr>
          <w:rFonts w:eastAsia="Times-Roman" w:cs="Times-Roman"/>
          <w:bCs/>
          <w:color w:val="auto"/>
          <w:szCs w:val="18"/>
          <w:lang w:val="en-CA"/>
        </w:rPr>
      </w:pPr>
      <w:r w:rsidRPr="00AA6144">
        <w:rPr>
          <w:rFonts w:eastAsia="Times-Roman" w:cs="Times-Roman"/>
          <w:bCs/>
          <w:color w:val="auto"/>
          <w:szCs w:val="18"/>
          <w:lang w:val="en-CA"/>
        </w:rPr>
        <w:t>[</w:t>
      </w:r>
      <w:proofErr w:type="spellStart"/>
      <w:r w:rsidRPr="00AA6144">
        <w:rPr>
          <w:rFonts w:eastAsia="Times-Roman" w:cs="Times-Roman"/>
          <w:bCs/>
          <w:color w:val="auto"/>
          <w:szCs w:val="18"/>
          <w:lang w:val="en-CA"/>
        </w:rPr>
        <w:t>i</w:t>
      </w:r>
      <w:proofErr w:type="spellEnd"/>
      <w:r w:rsidRPr="00AA6144">
        <w:rPr>
          <w:rFonts w:eastAsia="Times-Roman" w:cs="Times-Roman"/>
          <w:bCs/>
          <w:color w:val="auto"/>
          <w:szCs w:val="18"/>
          <w:lang w:val="en-CA"/>
        </w:rPr>
        <w:t>]t is obvious that it will only be on rare occasions that evidence of such an extreme state of intoxication can be advanced and perhaps only on still rarer occasions is it likely to be successful. Nonetheless, the adoption of this alternative would avoid infringement of the Charter. [I]n those rare situations where the degree of intoxication is so severe it is akin to automatism, drunkenness will not be a defence to crimes of general intent.</w:t>
      </w:r>
      <w:r w:rsidRPr="00AA6144">
        <w:rPr>
          <w:rFonts w:eastAsia="Times-Roman" w:cs="Times-Roman"/>
          <w:bCs/>
          <w:color w:val="auto"/>
          <w:szCs w:val="18"/>
          <w:vertAlign w:val="superscript"/>
          <w:lang w:val="en-CA"/>
        </w:rPr>
        <w:footnoteReference w:id="342"/>
      </w:r>
      <w:r w:rsidRPr="00AA6144">
        <w:rPr>
          <w:rFonts w:eastAsia="Times-Roman" w:cs="Times-Roman"/>
          <w:bCs/>
          <w:color w:val="auto"/>
          <w:szCs w:val="18"/>
          <w:lang w:val="en-CA"/>
        </w:rPr>
        <w:t xml:space="preserve"> </w:t>
      </w:r>
    </w:p>
    <w:p w14:paraId="642B4340" w14:textId="77777777" w:rsidR="0026689E" w:rsidRPr="00AA6144" w:rsidRDefault="00CB0F40" w:rsidP="00392A67">
      <w:pPr>
        <w:pStyle w:val="AIBodyText"/>
        <w:rPr>
          <w:rFonts w:eastAsia="Times-Roman" w:cs="Times-Roman"/>
          <w:bCs/>
          <w:color w:val="auto"/>
          <w:szCs w:val="18"/>
          <w:lang w:val="en-CA"/>
        </w:rPr>
      </w:pPr>
      <w:r w:rsidRPr="00AA6144">
        <w:rPr>
          <w:rFonts w:eastAsia="Times-Roman" w:cs="Times-Roman"/>
          <w:bCs/>
          <w:color w:val="auto"/>
          <w:szCs w:val="18"/>
          <w:lang w:val="en-CA"/>
        </w:rPr>
        <w:t>The new provision, section 33.1,</w:t>
      </w:r>
      <w:r w:rsidR="00171EC5" w:rsidRPr="00AA6144">
        <w:rPr>
          <w:rFonts w:eastAsia="Times-Roman" w:cs="Times-Roman"/>
          <w:bCs/>
          <w:color w:val="auto"/>
          <w:szCs w:val="18"/>
          <w:lang w:val="en-CA"/>
        </w:rPr>
        <w:t xml:space="preserve"> </w:t>
      </w:r>
      <w:r w:rsidR="007B1236" w:rsidRPr="00AA6144">
        <w:rPr>
          <w:rFonts w:eastAsia="Times-Roman" w:cs="Times-Roman"/>
          <w:bCs/>
          <w:color w:val="auto"/>
          <w:szCs w:val="18"/>
          <w:lang w:val="en-CA"/>
        </w:rPr>
        <w:t xml:space="preserve">of the </w:t>
      </w:r>
      <w:r w:rsidR="007B1236" w:rsidRPr="00AA6144">
        <w:rPr>
          <w:rFonts w:eastAsia="Times-Roman" w:cs="Times-Roman"/>
          <w:bCs/>
          <w:i/>
          <w:color w:val="auto"/>
          <w:szCs w:val="18"/>
          <w:lang w:val="en-CA"/>
        </w:rPr>
        <w:t xml:space="preserve">Criminal Code </w:t>
      </w:r>
      <w:r w:rsidR="006B0A8D" w:rsidRPr="00AA6144">
        <w:rPr>
          <w:rFonts w:eastAsia="Times-Roman" w:cs="Times-Roman"/>
          <w:bCs/>
          <w:color w:val="auto"/>
          <w:szCs w:val="18"/>
          <w:lang w:val="en-CA"/>
        </w:rPr>
        <w:t>limits the ability to claim a</w:t>
      </w:r>
      <w:r w:rsidR="00392A67" w:rsidRPr="00AA6144">
        <w:rPr>
          <w:rFonts w:eastAsia="Times-Roman" w:cs="Times-Roman"/>
          <w:bCs/>
          <w:color w:val="auto"/>
          <w:szCs w:val="18"/>
          <w:lang w:val="en-CA"/>
        </w:rPr>
        <w:t xml:space="preserve"> defence of </w:t>
      </w:r>
      <w:r w:rsidR="00517A46" w:rsidRPr="00AA6144">
        <w:rPr>
          <w:rFonts w:eastAsia="Times-Roman" w:cs="Times-Roman"/>
          <w:bCs/>
          <w:color w:val="auto"/>
          <w:szCs w:val="18"/>
          <w:lang w:val="en-CA"/>
        </w:rPr>
        <w:t xml:space="preserve">self-induced </w:t>
      </w:r>
      <w:r w:rsidR="00392A67" w:rsidRPr="00AA6144">
        <w:rPr>
          <w:rFonts w:eastAsia="Times-Roman" w:cs="Times-Roman"/>
          <w:bCs/>
          <w:color w:val="auto"/>
          <w:szCs w:val="18"/>
          <w:lang w:val="en-CA"/>
        </w:rPr>
        <w:t>intoxication</w:t>
      </w:r>
      <w:r w:rsidR="00171EC5" w:rsidRPr="00AA6144">
        <w:rPr>
          <w:rFonts w:eastAsia="Times-Roman" w:cs="Times-Roman"/>
          <w:bCs/>
          <w:color w:val="auto"/>
          <w:szCs w:val="18"/>
          <w:lang w:val="en-CA"/>
        </w:rPr>
        <w:t>. It provides that the defense is not available for offences that have assault or interference or threat of interference with the bodily integrity of another person where the person “departs markedly from the standard of reasonable care generally recognized in Canadian society and is thereby criminally at fault where the person”.</w:t>
      </w:r>
      <w:r w:rsidR="00171EC5" w:rsidRPr="00AA6144">
        <w:rPr>
          <w:rStyle w:val="FootnoteReference"/>
          <w:rFonts w:eastAsia="Times-Roman" w:cs="Times-Roman"/>
          <w:bCs/>
          <w:color w:val="auto"/>
          <w:szCs w:val="18"/>
          <w:lang w:val="en-CA"/>
        </w:rPr>
        <w:footnoteReference w:id="343"/>
      </w:r>
      <w:r w:rsidR="00171EC5" w:rsidRPr="00AA6144">
        <w:rPr>
          <w:rFonts w:eastAsia="Times-Roman" w:cs="Times-Roman"/>
          <w:bCs/>
          <w:color w:val="auto"/>
          <w:szCs w:val="18"/>
          <w:lang w:val="en-CA"/>
        </w:rPr>
        <w:t>.</w:t>
      </w:r>
    </w:p>
    <w:p w14:paraId="6ABFCBC2" w14:textId="77777777" w:rsidR="00517A46" w:rsidRPr="00AA6144" w:rsidRDefault="00392A67" w:rsidP="00517A46">
      <w:pPr>
        <w:pStyle w:val="AIBodyText"/>
        <w:rPr>
          <w:rFonts w:eastAsia="Times-Roman" w:cs="Times-Roman"/>
          <w:bCs/>
          <w:color w:val="auto"/>
          <w:szCs w:val="18"/>
          <w:lang w:val="en-CA"/>
        </w:rPr>
      </w:pPr>
      <w:r w:rsidRPr="00AA6144">
        <w:rPr>
          <w:rFonts w:eastAsia="Times-Roman" w:cs="Times-Roman"/>
          <w:bCs/>
          <w:color w:val="auto"/>
          <w:szCs w:val="18"/>
          <w:lang w:val="en-CA"/>
        </w:rPr>
        <w:t>Th</w:t>
      </w:r>
      <w:r w:rsidR="00A3259C" w:rsidRPr="00AA6144">
        <w:rPr>
          <w:rFonts w:eastAsia="Times-Roman" w:cs="Times-Roman"/>
          <w:bCs/>
          <w:color w:val="auto"/>
          <w:szCs w:val="18"/>
          <w:lang w:val="en-CA"/>
        </w:rPr>
        <w:t xml:space="preserve">is </w:t>
      </w:r>
      <w:r w:rsidR="007B1236" w:rsidRPr="00AA6144">
        <w:rPr>
          <w:rFonts w:eastAsia="Times-Roman" w:cs="Times-Roman"/>
          <w:bCs/>
          <w:color w:val="auto"/>
          <w:szCs w:val="18"/>
          <w:lang w:val="en-CA"/>
        </w:rPr>
        <w:t xml:space="preserve">provision </w:t>
      </w:r>
      <w:r w:rsidR="00A3259C" w:rsidRPr="00AA6144">
        <w:rPr>
          <w:rFonts w:eastAsia="Times-Roman" w:cs="Times-Roman"/>
          <w:bCs/>
          <w:color w:val="auto"/>
          <w:szCs w:val="18"/>
          <w:lang w:val="en-CA"/>
        </w:rPr>
        <w:t xml:space="preserve">is relatively new in the </w:t>
      </w:r>
      <w:r w:rsidR="00A3259C" w:rsidRPr="00AA6144">
        <w:rPr>
          <w:rFonts w:eastAsia="Times-Roman" w:cs="Times-Roman"/>
          <w:bCs/>
          <w:i/>
          <w:color w:val="auto"/>
          <w:szCs w:val="18"/>
          <w:lang w:val="en-CA"/>
        </w:rPr>
        <w:t>Criminal Code</w:t>
      </w:r>
      <w:r w:rsidRPr="00AA6144">
        <w:rPr>
          <w:rFonts w:eastAsia="Times-Roman" w:cs="Times-Roman"/>
          <w:bCs/>
          <w:color w:val="auto"/>
          <w:szCs w:val="18"/>
          <w:lang w:val="en-CA"/>
        </w:rPr>
        <w:t xml:space="preserve"> and</w:t>
      </w:r>
      <w:r w:rsidR="00A812ED" w:rsidRPr="00AA6144">
        <w:rPr>
          <w:rFonts w:eastAsia="Times-Roman" w:cs="Times-Roman"/>
          <w:bCs/>
          <w:color w:val="auto"/>
          <w:szCs w:val="18"/>
          <w:lang w:val="en-CA"/>
        </w:rPr>
        <w:t xml:space="preserve"> as Roach notes,</w:t>
      </w:r>
      <w:r w:rsidRPr="00AA6144">
        <w:rPr>
          <w:rFonts w:eastAsia="Times-Roman" w:cs="Times-Roman"/>
          <w:bCs/>
          <w:color w:val="auto"/>
          <w:szCs w:val="18"/>
          <w:lang w:val="en-CA"/>
        </w:rPr>
        <w:t xml:space="preserve"> some </w:t>
      </w:r>
      <w:r w:rsidR="00A3259C" w:rsidRPr="00AA6144">
        <w:rPr>
          <w:rFonts w:eastAsia="Times-Roman" w:cs="Times-Roman"/>
          <w:bCs/>
          <w:color w:val="auto"/>
          <w:szCs w:val="18"/>
          <w:lang w:val="en-CA"/>
        </w:rPr>
        <w:t xml:space="preserve">trial </w:t>
      </w:r>
      <w:r w:rsidRPr="00AA6144">
        <w:rPr>
          <w:rFonts w:eastAsia="Times-Roman" w:cs="Times-Roman"/>
          <w:bCs/>
          <w:color w:val="auto"/>
          <w:szCs w:val="18"/>
          <w:lang w:val="en-CA"/>
        </w:rPr>
        <w:t>courts have concluded that it is an “unjustified violation of sections 7 and 11</w:t>
      </w:r>
      <w:r w:rsidR="00A3259C" w:rsidRPr="00AA6144">
        <w:rPr>
          <w:rFonts w:eastAsia="Times-Roman" w:cs="Times-Roman"/>
          <w:bCs/>
          <w:color w:val="auto"/>
          <w:szCs w:val="18"/>
          <w:lang w:val="en-CA"/>
        </w:rPr>
        <w:t>(</w:t>
      </w:r>
      <w:r w:rsidRPr="00AA6144">
        <w:rPr>
          <w:rFonts w:eastAsia="Times-Roman" w:cs="Times-Roman"/>
          <w:bCs/>
          <w:color w:val="auto"/>
          <w:szCs w:val="18"/>
          <w:lang w:val="en-CA"/>
        </w:rPr>
        <w:t>d) of the Canadian Charter</w:t>
      </w:r>
      <w:r w:rsidR="00A3259C" w:rsidRPr="00AA6144">
        <w:rPr>
          <w:rFonts w:eastAsia="Times-Roman" w:cs="Times-Roman"/>
          <w:bCs/>
          <w:color w:val="auto"/>
          <w:szCs w:val="18"/>
          <w:lang w:val="en-CA"/>
        </w:rPr>
        <w:t>.</w:t>
      </w:r>
      <w:r w:rsidRPr="00AA6144">
        <w:rPr>
          <w:rFonts w:eastAsia="Times-Roman" w:cs="Times-Roman"/>
          <w:bCs/>
          <w:color w:val="auto"/>
          <w:szCs w:val="18"/>
          <w:lang w:val="en-CA"/>
        </w:rPr>
        <w:t>”</w:t>
      </w:r>
      <w:r w:rsidRPr="00AA6144">
        <w:rPr>
          <w:rFonts w:eastAsia="Times-Roman" w:cs="Times-Roman"/>
          <w:bCs/>
          <w:color w:val="auto"/>
          <w:szCs w:val="18"/>
          <w:vertAlign w:val="superscript"/>
          <w:lang w:val="en-CA"/>
        </w:rPr>
        <w:footnoteReference w:id="344"/>
      </w:r>
      <w:r w:rsidRPr="00AA6144">
        <w:rPr>
          <w:rFonts w:eastAsia="Times-Roman" w:cs="Times-Roman"/>
          <w:bCs/>
          <w:color w:val="auto"/>
          <w:szCs w:val="18"/>
          <w:lang w:val="en-CA"/>
        </w:rPr>
        <w:t xml:space="preserve"> </w:t>
      </w:r>
      <w:r w:rsidR="00A3259C" w:rsidRPr="00AA6144">
        <w:rPr>
          <w:rFonts w:eastAsia="Times-Roman" w:cs="Times-Roman"/>
          <w:bCs/>
          <w:color w:val="auto"/>
          <w:szCs w:val="18"/>
          <w:lang w:val="en-CA"/>
        </w:rPr>
        <w:t>Th</w:t>
      </w:r>
      <w:r w:rsidRPr="00AA6144">
        <w:rPr>
          <w:rFonts w:eastAsia="Times-Roman" w:cs="Times-Roman"/>
          <w:bCs/>
          <w:color w:val="auto"/>
          <w:szCs w:val="18"/>
          <w:lang w:val="en-CA"/>
        </w:rPr>
        <w:t xml:space="preserve">e Supreme Court </w:t>
      </w:r>
      <w:r w:rsidR="00FA1762" w:rsidRPr="00AA6144">
        <w:rPr>
          <w:rFonts w:eastAsia="Times-Roman" w:cs="Times-Roman"/>
          <w:bCs/>
          <w:color w:val="auto"/>
          <w:szCs w:val="18"/>
          <w:lang w:val="en-CA"/>
        </w:rPr>
        <w:t xml:space="preserve">of Canada </w:t>
      </w:r>
      <w:r w:rsidRPr="00AA6144">
        <w:rPr>
          <w:rFonts w:eastAsia="Times-Roman" w:cs="Times-Roman"/>
          <w:bCs/>
          <w:color w:val="auto"/>
          <w:szCs w:val="18"/>
          <w:lang w:val="en-CA"/>
        </w:rPr>
        <w:t xml:space="preserve">has yet to pronounce on the matter. </w:t>
      </w:r>
    </w:p>
    <w:p w14:paraId="14C4E694" w14:textId="77777777" w:rsidR="00392A67" w:rsidRPr="00AA6144" w:rsidRDefault="00392A67" w:rsidP="00392A67">
      <w:pPr>
        <w:pStyle w:val="AIBodyText"/>
        <w:rPr>
          <w:rFonts w:eastAsia="Times-Roman" w:cs="Times-Roman"/>
          <w:bCs/>
          <w:color w:val="auto"/>
          <w:szCs w:val="18"/>
          <w:lang w:val="en-CA"/>
        </w:rPr>
      </w:pPr>
      <w:r w:rsidRPr="00AA6144">
        <w:rPr>
          <w:rFonts w:eastAsia="Times-Roman" w:cs="Times-Roman"/>
          <w:bCs/>
          <w:color w:val="auto"/>
          <w:szCs w:val="18"/>
          <w:lang w:val="en-CA"/>
        </w:rPr>
        <w:t>Article 31(1)(b)</w:t>
      </w:r>
      <w:r w:rsidR="00C76987" w:rsidRPr="00AA6144">
        <w:rPr>
          <w:rFonts w:eastAsia="Times-Roman" w:cs="Times-Roman"/>
          <w:bCs/>
          <w:color w:val="auto"/>
          <w:szCs w:val="18"/>
          <w:lang w:val="en-CA"/>
        </w:rPr>
        <w:t xml:space="preserve"> of the Rome Statute</w:t>
      </w:r>
      <w:r w:rsidRPr="00AA6144">
        <w:rPr>
          <w:rFonts w:eastAsia="Times-Roman" w:cs="Times-Roman"/>
          <w:bCs/>
          <w:color w:val="auto"/>
          <w:szCs w:val="18"/>
          <w:lang w:val="en-CA"/>
        </w:rPr>
        <w:t xml:space="preserve"> is broader than the defence in Canadian law since it provides an exclusion of criminal responsibility for crimes perpetrated by a “person in a state of intoxication that destroys that person’s capacity to appreciate the unlawfulness or nature of his or her conduct</w:t>
      </w:r>
      <w:r w:rsidR="00166D9E" w:rsidRPr="00AA6144">
        <w:rPr>
          <w:rFonts w:eastAsia="Times-Roman" w:cs="Times-Roman"/>
          <w:bCs/>
          <w:color w:val="auto"/>
          <w:szCs w:val="18"/>
          <w:lang w:val="en-CA"/>
        </w:rPr>
        <w:t>”</w:t>
      </w:r>
      <w:r w:rsidRPr="00AA6144">
        <w:rPr>
          <w:rFonts w:eastAsia="Times-Roman" w:cs="Times-Roman"/>
          <w:bCs/>
          <w:color w:val="auto"/>
          <w:szCs w:val="18"/>
          <w:lang w:val="en-CA"/>
        </w:rPr>
        <w:t>.</w:t>
      </w:r>
      <w:r w:rsidR="00166D9E" w:rsidRPr="00AA6144">
        <w:rPr>
          <w:rStyle w:val="FootnoteReference"/>
          <w:rFonts w:eastAsia="Times-Roman" w:cs="Times-Roman"/>
          <w:bCs/>
          <w:color w:val="auto"/>
          <w:szCs w:val="18"/>
          <w:lang w:val="en-CA"/>
        </w:rPr>
        <w:footnoteReference w:id="345"/>
      </w:r>
    </w:p>
    <w:p w14:paraId="60CE75FC" w14:textId="77777777" w:rsidR="00F84A21" w:rsidRPr="00AA6144" w:rsidRDefault="00F84A21" w:rsidP="00352022">
      <w:pPr>
        <w:pStyle w:val="AIBodyText"/>
        <w:rPr>
          <w:b/>
          <w:bCs/>
          <w:i/>
          <w:iCs/>
          <w:color w:val="auto"/>
          <w:szCs w:val="18"/>
          <w:lang w:val="en-CA"/>
        </w:rPr>
      </w:pPr>
      <w:r w:rsidRPr="00AA6144">
        <w:rPr>
          <w:b/>
          <w:bCs/>
          <w:i/>
          <w:iCs/>
          <w:color w:val="auto"/>
          <w:szCs w:val="18"/>
          <w:lang w:val="en-CA"/>
        </w:rPr>
        <w:t xml:space="preserve">Defences – compulsion, </w:t>
      </w:r>
      <w:proofErr w:type="gramStart"/>
      <w:r w:rsidRPr="00AA6144">
        <w:rPr>
          <w:b/>
          <w:bCs/>
          <w:i/>
          <w:iCs/>
          <w:color w:val="auto"/>
          <w:szCs w:val="18"/>
          <w:lang w:val="en-CA"/>
        </w:rPr>
        <w:t>duress</w:t>
      </w:r>
      <w:proofErr w:type="gramEnd"/>
      <w:r w:rsidRPr="00AA6144">
        <w:rPr>
          <w:b/>
          <w:bCs/>
          <w:i/>
          <w:iCs/>
          <w:color w:val="auto"/>
          <w:szCs w:val="18"/>
          <w:lang w:val="en-CA"/>
        </w:rPr>
        <w:t xml:space="preserve"> and necessity  </w:t>
      </w:r>
    </w:p>
    <w:p w14:paraId="6B91238E" w14:textId="77777777" w:rsidR="00616C51" w:rsidRPr="00AA6144" w:rsidRDefault="00616C51" w:rsidP="00616C51">
      <w:pPr>
        <w:pStyle w:val="AIBodyText"/>
        <w:rPr>
          <w:rFonts w:eastAsia="Times-Roman"/>
          <w:color w:val="auto"/>
          <w:szCs w:val="18"/>
          <w:lang w:val="en-CA"/>
        </w:rPr>
      </w:pPr>
      <w:r w:rsidRPr="00AA6144">
        <w:rPr>
          <w:rFonts w:eastAsia="Times-Roman"/>
          <w:color w:val="auto"/>
          <w:szCs w:val="18"/>
          <w:lang w:val="en-CA"/>
        </w:rPr>
        <w:t xml:space="preserve">As Amnesty International has argued, compulsion, duress and necessity should not be </w:t>
      </w:r>
      <w:r w:rsidRPr="00AA6144">
        <w:rPr>
          <w:rFonts w:eastAsia="Times-Roman"/>
          <w:i/>
          <w:iCs/>
          <w:color w:val="auto"/>
          <w:szCs w:val="18"/>
          <w:lang w:val="en-CA"/>
        </w:rPr>
        <w:t>defences</w:t>
      </w:r>
      <w:r w:rsidRPr="00AA6144">
        <w:rPr>
          <w:rFonts w:eastAsia="Times-Roman"/>
          <w:color w:val="auto"/>
          <w:szCs w:val="18"/>
          <w:lang w:val="en-CA"/>
        </w:rPr>
        <w:t xml:space="preserve"> to crimes under international law, but should simply be grounds for </w:t>
      </w:r>
      <w:r w:rsidRPr="00AA6144">
        <w:rPr>
          <w:rFonts w:eastAsia="Times-Roman"/>
          <w:i/>
          <w:iCs/>
          <w:color w:val="auto"/>
          <w:szCs w:val="18"/>
          <w:lang w:val="en-CA"/>
        </w:rPr>
        <w:t>mitigation</w:t>
      </w:r>
      <w:r w:rsidRPr="00AA6144">
        <w:rPr>
          <w:rFonts w:eastAsia="Times-Roman"/>
          <w:color w:val="auto"/>
          <w:szCs w:val="18"/>
          <w:lang w:val="en-CA"/>
        </w:rPr>
        <w:t xml:space="preserve"> of punishment</w:t>
      </w:r>
      <w:r w:rsidRPr="00AA6144">
        <w:rPr>
          <w:rFonts w:eastAsia="Times-Roman" w:cs="Times-Roman"/>
          <w:bCs/>
          <w:color w:val="auto"/>
          <w:szCs w:val="18"/>
          <w:lang w:val="en-CA"/>
        </w:rPr>
        <w:t>.</w:t>
      </w:r>
      <w:r w:rsidRPr="00AA6144">
        <w:rPr>
          <w:rStyle w:val="FootnoteReference"/>
          <w:rFonts w:eastAsia="Times-Roman" w:cs="Times-Roman"/>
          <w:bCs/>
          <w:color w:val="auto"/>
          <w:szCs w:val="18"/>
          <w:lang w:val="en-CA"/>
        </w:rPr>
        <w:footnoteReference w:id="346"/>
      </w:r>
      <w:r w:rsidRPr="00AA6144">
        <w:rPr>
          <w:rFonts w:eastAsia="Times-Roman" w:cs="Times-Roman"/>
          <w:bCs/>
          <w:color w:val="auto"/>
          <w:szCs w:val="18"/>
          <w:lang w:val="en-CA"/>
        </w:rPr>
        <w:t xml:space="preserve">  </w:t>
      </w:r>
      <w:r w:rsidRPr="00AA6144">
        <w:rPr>
          <w:rFonts w:eastAsia="Times-Roman"/>
          <w:color w:val="auto"/>
          <w:szCs w:val="18"/>
          <w:lang w:val="en-CA"/>
        </w:rPr>
        <w:t xml:space="preserve">However, in a regrettable political compromise, </w:t>
      </w:r>
      <w:r w:rsidR="00983623" w:rsidRPr="00AA6144">
        <w:rPr>
          <w:rFonts w:eastAsia="Times-Roman"/>
          <w:color w:val="auto"/>
          <w:szCs w:val="18"/>
          <w:lang w:val="en-CA"/>
        </w:rPr>
        <w:t xml:space="preserve">article </w:t>
      </w:r>
      <w:r w:rsidRPr="00AA6144">
        <w:rPr>
          <w:rFonts w:eastAsia="Times-Roman"/>
          <w:color w:val="auto"/>
          <w:szCs w:val="18"/>
          <w:lang w:val="en-CA"/>
        </w:rPr>
        <w:t xml:space="preserve">31(1)(d) of the </w:t>
      </w:r>
      <w:r w:rsidR="005C5FF0" w:rsidRPr="00AA6144">
        <w:rPr>
          <w:rFonts w:eastAsia="Times-Roman"/>
          <w:color w:val="auto"/>
          <w:szCs w:val="18"/>
          <w:lang w:val="en-CA"/>
        </w:rPr>
        <w:t>Rome Statute</w:t>
      </w:r>
      <w:r w:rsidRPr="00AA6144">
        <w:rPr>
          <w:rFonts w:eastAsia="Times-Roman"/>
          <w:color w:val="auto"/>
          <w:szCs w:val="18"/>
          <w:lang w:val="en-CA"/>
        </w:rPr>
        <w:t xml:space="preserve"> permits, in strictly limited circumstances, defences of duress in response to threats from another person and of necessity</w:t>
      </w:r>
      <w:r w:rsidR="009167D8" w:rsidRPr="00AA6144">
        <w:rPr>
          <w:rFonts w:eastAsia="Times-Roman"/>
          <w:color w:val="auto"/>
          <w:szCs w:val="18"/>
          <w:lang w:val="en-CA"/>
        </w:rPr>
        <w:t xml:space="preserve"> </w:t>
      </w:r>
      <w:r w:rsidRPr="00AA6144">
        <w:rPr>
          <w:rFonts w:eastAsia="Times-Roman"/>
          <w:color w:val="auto"/>
          <w:szCs w:val="18"/>
          <w:lang w:val="en-CA"/>
        </w:rPr>
        <w:t>in response to threats from circumstances beyond a person’s control.</w:t>
      </w:r>
      <w:r w:rsidRPr="00AA6144">
        <w:rPr>
          <w:rStyle w:val="FootnoteReference"/>
          <w:rFonts w:eastAsia="Times-Roman"/>
          <w:color w:val="auto"/>
          <w:szCs w:val="18"/>
          <w:lang w:val="en-CA"/>
        </w:rPr>
        <w:footnoteReference w:id="347"/>
      </w:r>
      <w:r w:rsidRPr="00AA6144">
        <w:rPr>
          <w:rFonts w:eastAsia="Times-Roman"/>
          <w:color w:val="auto"/>
          <w:szCs w:val="18"/>
          <w:lang w:val="en-CA"/>
        </w:rPr>
        <w:t xml:space="preserve"> </w:t>
      </w:r>
    </w:p>
    <w:p w14:paraId="3A0DE4B7" w14:textId="77777777" w:rsidR="009227D7" w:rsidRPr="00AA6144" w:rsidRDefault="00F84A21" w:rsidP="00392A67">
      <w:pPr>
        <w:pStyle w:val="AIBodyText"/>
        <w:rPr>
          <w:rFonts w:eastAsia="Times-Roman"/>
          <w:color w:val="auto"/>
          <w:szCs w:val="18"/>
          <w:lang w:val="en-CA"/>
        </w:rPr>
      </w:pPr>
      <w:r w:rsidRPr="00AA6144">
        <w:rPr>
          <w:rFonts w:eastAsia="Times-Roman"/>
          <w:b/>
          <w:i/>
          <w:color w:val="auto"/>
          <w:szCs w:val="18"/>
          <w:lang w:val="en-CA"/>
        </w:rPr>
        <w:t>Compulsion or duress.</w:t>
      </w:r>
      <w:r w:rsidRPr="00AA6144">
        <w:rPr>
          <w:rFonts w:eastAsia="Times-Roman"/>
          <w:color w:val="auto"/>
          <w:szCs w:val="18"/>
          <w:lang w:val="en-CA"/>
        </w:rPr>
        <w:t xml:space="preserve"> </w:t>
      </w:r>
    </w:p>
    <w:p w14:paraId="420C0A23" w14:textId="77777777" w:rsidR="00392A67" w:rsidRPr="00AA6144" w:rsidRDefault="00392A67" w:rsidP="00392A67">
      <w:pPr>
        <w:pStyle w:val="AIBodyText"/>
        <w:rPr>
          <w:rFonts w:eastAsia="Times-Roman"/>
          <w:color w:val="auto"/>
          <w:szCs w:val="18"/>
          <w:lang w:val="en-CA"/>
        </w:rPr>
      </w:pPr>
      <w:r w:rsidRPr="00AA6144">
        <w:rPr>
          <w:rFonts w:eastAsia="Times-Roman"/>
          <w:color w:val="auto"/>
          <w:szCs w:val="18"/>
          <w:lang w:val="en-CA"/>
        </w:rPr>
        <w:t>Duress</w:t>
      </w:r>
      <w:bookmarkStart w:id="145" w:name="_Ref267054109"/>
      <w:r w:rsidRPr="00AA6144">
        <w:rPr>
          <w:rFonts w:eastAsia="Times-Roman"/>
          <w:color w:val="auto"/>
          <w:szCs w:val="18"/>
          <w:vertAlign w:val="superscript"/>
          <w:lang w:val="en-CA"/>
        </w:rPr>
        <w:footnoteReference w:id="348"/>
      </w:r>
      <w:bookmarkEnd w:id="145"/>
      <w:r w:rsidRPr="00AA6144">
        <w:rPr>
          <w:rFonts w:eastAsia="Times-Roman"/>
          <w:color w:val="auto"/>
          <w:szCs w:val="18"/>
          <w:lang w:val="en-CA"/>
        </w:rPr>
        <w:t xml:space="preserve"> is a defence to crimes under international law in Canada and is recognized as an excuse. Section 17 of the </w:t>
      </w:r>
      <w:r w:rsidRPr="00AA6144">
        <w:rPr>
          <w:rFonts w:eastAsia="Times-Roman"/>
          <w:i/>
          <w:color w:val="auto"/>
          <w:szCs w:val="18"/>
          <w:lang w:val="en-CA"/>
        </w:rPr>
        <w:t>Criminal Code</w:t>
      </w:r>
      <w:r w:rsidRPr="00AA6144">
        <w:rPr>
          <w:rFonts w:eastAsia="Times-Roman"/>
          <w:color w:val="auto"/>
          <w:szCs w:val="18"/>
          <w:lang w:val="en-CA"/>
        </w:rPr>
        <w:t xml:space="preserve"> provides: </w:t>
      </w:r>
    </w:p>
    <w:p w14:paraId="62EDA965" w14:textId="77777777" w:rsidR="00392A67" w:rsidRPr="00AA6144" w:rsidRDefault="00300591" w:rsidP="00D54EE5">
      <w:pPr>
        <w:pStyle w:val="AIBodyText"/>
        <w:ind w:left="357" w:right="567"/>
        <w:rPr>
          <w:rFonts w:eastAsia="Times-Roman"/>
          <w:color w:val="auto"/>
          <w:szCs w:val="18"/>
          <w:lang w:val="en-CA"/>
        </w:rPr>
      </w:pPr>
      <w:r w:rsidRPr="00AA6144">
        <w:rPr>
          <w:rFonts w:eastAsia="Times-Roman"/>
          <w:color w:val="auto"/>
          <w:szCs w:val="18"/>
          <w:lang w:val="en-CA"/>
        </w:rPr>
        <w:t xml:space="preserve">A </w:t>
      </w:r>
      <w:r w:rsidR="00392A67" w:rsidRPr="00AA6144">
        <w:rPr>
          <w:rFonts w:eastAsia="Times-Roman"/>
          <w:color w:val="auto"/>
          <w:szCs w:val="18"/>
          <w:lang w:val="en-CA"/>
        </w:rPr>
        <w:t xml:space="preserve">person who commits an offence under compulsion by threats of immediate death or bodily harm from a person who is present when the offence is committed </w:t>
      </w:r>
      <w:r w:rsidR="00392A67" w:rsidRPr="00AA6144">
        <w:rPr>
          <w:rFonts w:eastAsia="Times-Roman"/>
          <w:color w:val="auto"/>
          <w:szCs w:val="18"/>
          <w:u w:val="single"/>
          <w:lang w:val="en-CA"/>
        </w:rPr>
        <w:t>is excused</w:t>
      </w:r>
      <w:r w:rsidR="00392A67" w:rsidRPr="00AA6144">
        <w:rPr>
          <w:rFonts w:eastAsia="Times-Roman"/>
          <w:color w:val="auto"/>
          <w:szCs w:val="18"/>
          <w:lang w:val="en-CA"/>
        </w:rPr>
        <w:t xml:space="preserve"> for committing the offence if the person believes that the threats will be carried out and if the person is not a party to a conspiracy or association whereby the person is subject to compulsion, but this section does not apply where the offence that is committed is high treason or treason, murder, piracy, attempted murder, sexual assault, sexual assault with a weapon, threats to a third party or causing bodily harm, aggravated sexual assault, forcible abduction, hostage taking, robbery, assault with a weapon or causing bodily harm, aggravated assault, unlawfully causing bodily harm, arson or an offence under sections 280 to 283 (abduction and detention of young persons).</w:t>
      </w:r>
      <w:r w:rsidR="009167D8" w:rsidRPr="00AA6144">
        <w:rPr>
          <w:rStyle w:val="FootnoteReference"/>
          <w:rFonts w:eastAsia="Times-Roman"/>
          <w:color w:val="auto"/>
          <w:szCs w:val="18"/>
          <w:lang w:val="en-CA"/>
        </w:rPr>
        <w:footnoteReference w:id="349"/>
      </w:r>
    </w:p>
    <w:p w14:paraId="282CE04E" w14:textId="1B7B79AA" w:rsidR="00FE0CD3" w:rsidRPr="00AA6144" w:rsidRDefault="00392A67" w:rsidP="00392A67">
      <w:pPr>
        <w:pStyle w:val="AIBodyText"/>
        <w:rPr>
          <w:rFonts w:eastAsia="Times-Roman"/>
          <w:bCs/>
          <w:color w:val="auto"/>
          <w:szCs w:val="18"/>
          <w:lang w:val="en-CA"/>
        </w:rPr>
      </w:pPr>
      <w:r w:rsidRPr="00AA6144">
        <w:rPr>
          <w:rFonts w:eastAsia="Times-Roman"/>
          <w:color w:val="auto"/>
          <w:szCs w:val="18"/>
          <w:lang w:val="en-CA"/>
        </w:rPr>
        <w:t xml:space="preserve">The expression “person who commits an offence” </w:t>
      </w:r>
      <w:r w:rsidR="008E694F" w:rsidRPr="00AA6144">
        <w:rPr>
          <w:rFonts w:eastAsia="Times-Roman"/>
          <w:color w:val="auto"/>
          <w:szCs w:val="18"/>
          <w:lang w:val="en-CA"/>
        </w:rPr>
        <w:t xml:space="preserve">has been </w:t>
      </w:r>
      <w:r w:rsidRPr="00AA6144">
        <w:rPr>
          <w:rFonts w:eastAsia="Times-Roman"/>
          <w:color w:val="auto"/>
          <w:szCs w:val="18"/>
          <w:lang w:val="en-CA"/>
        </w:rPr>
        <w:t>interpreted as meaning the principal author of the crime.</w:t>
      </w:r>
      <w:r w:rsidRPr="00AA6144">
        <w:rPr>
          <w:rFonts w:eastAsia="Times-Roman"/>
          <w:color w:val="auto"/>
          <w:szCs w:val="18"/>
          <w:vertAlign w:val="superscript"/>
          <w:lang w:val="en-CA"/>
        </w:rPr>
        <w:footnoteReference w:id="350"/>
      </w:r>
      <w:r w:rsidRPr="00AA6144">
        <w:rPr>
          <w:rFonts w:eastAsia="Times-Roman"/>
          <w:color w:val="auto"/>
          <w:szCs w:val="18"/>
          <w:lang w:val="en-CA"/>
        </w:rPr>
        <w:t xml:space="preserve"> Consequently, </w:t>
      </w:r>
      <w:r w:rsidR="00235E58" w:rsidRPr="00AA6144">
        <w:rPr>
          <w:rFonts w:eastAsia="Times-Roman"/>
          <w:color w:val="auto"/>
          <w:szCs w:val="18"/>
          <w:lang w:val="en-CA"/>
        </w:rPr>
        <w:t xml:space="preserve">duress </w:t>
      </w:r>
      <w:r w:rsidRPr="00AA6144">
        <w:rPr>
          <w:rFonts w:eastAsia="Times-Roman"/>
          <w:color w:val="auto"/>
          <w:szCs w:val="18"/>
          <w:lang w:val="en-CA"/>
        </w:rPr>
        <w:t xml:space="preserve">can be invoked by someone who is accused of complicity </w:t>
      </w:r>
      <w:r w:rsidR="00235E58" w:rsidRPr="00AA6144">
        <w:rPr>
          <w:rFonts w:eastAsia="Times-Roman"/>
          <w:color w:val="auto"/>
          <w:szCs w:val="18"/>
          <w:lang w:val="en-CA"/>
        </w:rPr>
        <w:t>in a crime</w:t>
      </w:r>
      <w:r w:rsidRPr="00AA6144">
        <w:rPr>
          <w:rFonts w:eastAsia="Times-Roman"/>
          <w:color w:val="auto"/>
          <w:szCs w:val="18"/>
          <w:lang w:val="en-CA"/>
        </w:rPr>
        <w:t>.</w:t>
      </w:r>
      <w:r w:rsidRPr="00AA6144">
        <w:rPr>
          <w:rFonts w:eastAsia="Times-Roman"/>
          <w:color w:val="auto"/>
          <w:szCs w:val="18"/>
          <w:vertAlign w:val="superscript"/>
          <w:lang w:val="en-CA"/>
        </w:rPr>
        <w:footnoteReference w:id="351"/>
      </w:r>
      <w:r w:rsidRPr="00AA6144">
        <w:rPr>
          <w:rFonts w:eastAsia="Times-Roman"/>
          <w:color w:val="auto"/>
          <w:szCs w:val="18"/>
          <w:lang w:val="en-CA"/>
        </w:rPr>
        <w:t xml:space="preserve"> </w:t>
      </w:r>
      <w:r w:rsidR="00326C79" w:rsidRPr="00AA6144">
        <w:rPr>
          <w:rFonts w:eastAsia="Times-Roman"/>
          <w:color w:val="auto"/>
          <w:szCs w:val="18"/>
          <w:lang w:val="en-CA"/>
        </w:rPr>
        <w:t>The</w:t>
      </w:r>
      <w:r w:rsidRPr="00AA6144">
        <w:rPr>
          <w:rFonts w:eastAsia="Times-Roman"/>
          <w:color w:val="auto"/>
          <w:szCs w:val="18"/>
          <w:lang w:val="en-CA"/>
        </w:rPr>
        <w:t xml:space="preserve"> defence </w:t>
      </w:r>
      <w:r w:rsidR="00326C79" w:rsidRPr="00AA6144">
        <w:rPr>
          <w:rFonts w:eastAsia="Times-Roman"/>
          <w:color w:val="auto"/>
          <w:szCs w:val="18"/>
          <w:lang w:val="en-CA"/>
        </w:rPr>
        <w:t xml:space="preserve">of duress </w:t>
      </w:r>
      <w:r w:rsidRPr="00AA6144">
        <w:rPr>
          <w:rFonts w:eastAsia="Times-Roman"/>
          <w:color w:val="auto"/>
          <w:szCs w:val="18"/>
          <w:lang w:val="en-CA"/>
        </w:rPr>
        <w:t xml:space="preserve">cannot be invoked when threats come from </w:t>
      </w:r>
      <w:r w:rsidRPr="00AA6144">
        <w:rPr>
          <w:rFonts w:eastAsia="Times-Roman"/>
          <w:bCs/>
          <w:color w:val="auto"/>
          <w:szCs w:val="18"/>
          <w:lang w:val="en-CA"/>
        </w:rPr>
        <w:t xml:space="preserve">a criminal organization that </w:t>
      </w:r>
      <w:r w:rsidR="006B56F6" w:rsidRPr="00AA6144">
        <w:rPr>
          <w:rFonts w:eastAsia="Times-Roman"/>
          <w:bCs/>
          <w:color w:val="auto"/>
          <w:szCs w:val="18"/>
          <w:lang w:val="en-CA"/>
        </w:rPr>
        <w:t>the accused</w:t>
      </w:r>
      <w:r w:rsidRPr="00AA6144">
        <w:rPr>
          <w:rFonts w:eastAsia="Times-Roman"/>
          <w:bCs/>
          <w:color w:val="auto"/>
          <w:szCs w:val="18"/>
          <w:lang w:val="en-CA"/>
        </w:rPr>
        <w:t xml:space="preserve"> consciously joined,</w:t>
      </w:r>
      <w:r w:rsidR="005832C6" w:rsidRPr="00AA6144">
        <w:rPr>
          <w:rFonts w:eastAsia="Times-Roman"/>
          <w:bCs/>
          <w:color w:val="auto"/>
          <w:szCs w:val="18"/>
          <w:lang w:val="en-CA"/>
        </w:rPr>
        <w:t xml:space="preserve"> and where the accused </w:t>
      </w:r>
      <w:r w:rsidR="00B13D0A" w:rsidRPr="00AA6144">
        <w:rPr>
          <w:rFonts w:eastAsia="Times-Roman"/>
          <w:bCs/>
          <w:color w:val="auto"/>
          <w:szCs w:val="18"/>
          <w:lang w:val="en-CA"/>
        </w:rPr>
        <w:t xml:space="preserve">has </w:t>
      </w:r>
      <w:r w:rsidR="005832C6" w:rsidRPr="00AA6144">
        <w:rPr>
          <w:rFonts w:eastAsia="Times-Roman"/>
          <w:bCs/>
          <w:color w:val="auto"/>
          <w:szCs w:val="18"/>
          <w:lang w:val="en-CA"/>
        </w:rPr>
        <w:t xml:space="preserve">knowledge that the criminal organization </w:t>
      </w:r>
      <w:r w:rsidRPr="00AA6144">
        <w:rPr>
          <w:rFonts w:eastAsia="Times-Roman"/>
          <w:bCs/>
          <w:color w:val="auto"/>
          <w:szCs w:val="18"/>
          <w:lang w:val="en-CA"/>
        </w:rPr>
        <w:t>could force him or her to commit criminal acts.</w:t>
      </w:r>
      <w:r w:rsidRPr="00AA6144">
        <w:rPr>
          <w:rFonts w:eastAsia="Times-Roman"/>
          <w:bCs/>
          <w:color w:val="auto"/>
          <w:szCs w:val="18"/>
          <w:vertAlign w:val="superscript"/>
          <w:lang w:val="en-CA"/>
        </w:rPr>
        <w:footnoteReference w:id="352"/>
      </w:r>
      <w:r w:rsidR="00623E37" w:rsidRPr="00AA6144">
        <w:rPr>
          <w:rFonts w:eastAsia="Times-Roman"/>
          <w:color w:val="auto"/>
          <w:szCs w:val="18"/>
          <w:lang w:val="en-CA"/>
        </w:rPr>
        <w:t xml:space="preserve"> The defence “may include threats against third parties”.</w:t>
      </w:r>
      <w:r w:rsidR="00623E37" w:rsidRPr="00AA6144">
        <w:rPr>
          <w:rFonts w:eastAsia="Times-Roman"/>
          <w:color w:val="auto"/>
          <w:szCs w:val="18"/>
          <w:vertAlign w:val="superscript"/>
          <w:lang w:val="en-CA"/>
        </w:rPr>
        <w:footnoteReference w:id="353"/>
      </w:r>
    </w:p>
    <w:p w14:paraId="40A35AA2" w14:textId="552BC148" w:rsidR="00A97568" w:rsidRPr="000C2340" w:rsidRDefault="00FE0CD3" w:rsidP="00AA6144">
      <w:pPr>
        <w:pStyle w:val="AIBodyText"/>
        <w:rPr>
          <w:rFonts w:eastAsia="Times-Roman"/>
          <w:bCs/>
          <w:color w:val="auto"/>
          <w:szCs w:val="18"/>
          <w:lang w:val="en-CA"/>
        </w:rPr>
      </w:pPr>
      <w:r w:rsidRPr="00AA6144">
        <w:rPr>
          <w:rFonts w:eastAsia="Times-Roman"/>
          <w:bCs/>
          <w:color w:val="auto"/>
          <w:szCs w:val="18"/>
          <w:lang w:val="en-CA"/>
        </w:rPr>
        <w:t xml:space="preserve">Duress was evoked as a defence for the first time at the International Criminal Court in the case of </w:t>
      </w:r>
      <w:proofErr w:type="spellStart"/>
      <w:r w:rsidRPr="00AA6144">
        <w:rPr>
          <w:rFonts w:eastAsia="Times-Roman"/>
          <w:bCs/>
          <w:i/>
          <w:color w:val="auto"/>
          <w:szCs w:val="18"/>
          <w:lang w:val="en-CA"/>
        </w:rPr>
        <w:t>Ongwen</w:t>
      </w:r>
      <w:proofErr w:type="spellEnd"/>
      <w:r w:rsidRPr="00AA6144">
        <w:rPr>
          <w:rFonts w:eastAsia="Times-Roman"/>
          <w:bCs/>
          <w:i/>
          <w:color w:val="auto"/>
          <w:szCs w:val="18"/>
          <w:lang w:val="en-CA"/>
        </w:rPr>
        <w:t>,</w:t>
      </w:r>
      <w:r w:rsidR="00153C20" w:rsidRPr="00AA6144">
        <w:rPr>
          <w:rStyle w:val="FootnoteReference"/>
          <w:rFonts w:eastAsia="Times-Roman"/>
          <w:color w:val="auto"/>
          <w:szCs w:val="18"/>
          <w:lang w:val="en-CA"/>
        </w:rPr>
        <w:footnoteReference w:id="354"/>
      </w:r>
      <w:r w:rsidRPr="00AA6144">
        <w:rPr>
          <w:rFonts w:eastAsia="Times-Roman"/>
          <w:bCs/>
          <w:i/>
          <w:color w:val="auto"/>
          <w:szCs w:val="18"/>
          <w:lang w:val="en-CA"/>
        </w:rPr>
        <w:t xml:space="preserve"> </w:t>
      </w:r>
      <w:r w:rsidR="006A222A" w:rsidRPr="00AA6144">
        <w:rPr>
          <w:rFonts w:eastAsia="Times-Roman"/>
          <w:bCs/>
          <w:color w:val="auto"/>
          <w:szCs w:val="18"/>
          <w:lang w:val="en-CA"/>
        </w:rPr>
        <w:t xml:space="preserve">where the </w:t>
      </w:r>
      <w:r w:rsidRPr="00AA6144">
        <w:rPr>
          <w:rFonts w:eastAsia="Times-Roman"/>
          <w:bCs/>
          <w:color w:val="auto"/>
          <w:szCs w:val="18"/>
          <w:lang w:val="en-CA"/>
        </w:rPr>
        <w:t xml:space="preserve"> Court </w:t>
      </w:r>
      <w:r w:rsidR="009B77E2" w:rsidRPr="00AA6144">
        <w:rPr>
          <w:rFonts w:eastAsia="Times-Roman"/>
          <w:bCs/>
          <w:color w:val="auto"/>
          <w:szCs w:val="18"/>
          <w:lang w:val="en-CA"/>
        </w:rPr>
        <w:t>delineate</w:t>
      </w:r>
      <w:r w:rsidR="006A222A" w:rsidRPr="00AA6144">
        <w:rPr>
          <w:rFonts w:eastAsia="Times-Roman"/>
          <w:bCs/>
          <w:color w:val="auto"/>
          <w:szCs w:val="18"/>
          <w:lang w:val="en-CA"/>
        </w:rPr>
        <w:t>d</w:t>
      </w:r>
      <w:r w:rsidRPr="00AA6144">
        <w:rPr>
          <w:rFonts w:eastAsia="Times-Roman"/>
          <w:bCs/>
          <w:color w:val="auto"/>
          <w:szCs w:val="18"/>
          <w:lang w:val="en-CA"/>
        </w:rPr>
        <w:t xml:space="preserve"> the scope</w:t>
      </w:r>
      <w:r w:rsidR="00392A67" w:rsidRPr="00AA6144">
        <w:rPr>
          <w:rFonts w:eastAsia="Times-Roman"/>
          <w:lang w:val="en-CA"/>
        </w:rPr>
        <w:t xml:space="preserve"> of </w:t>
      </w:r>
      <w:r w:rsidRPr="00AA6144">
        <w:rPr>
          <w:rFonts w:eastAsia="Times-Roman"/>
          <w:lang w:val="en-CA"/>
        </w:rPr>
        <w:t>a</w:t>
      </w:r>
      <w:r w:rsidR="00392A67" w:rsidRPr="00AA6144">
        <w:rPr>
          <w:rFonts w:eastAsia="Times-Roman"/>
          <w:lang w:val="en-CA"/>
        </w:rPr>
        <w:t>rticle 31(1)(d)</w:t>
      </w:r>
      <w:r w:rsidR="00996913" w:rsidRPr="00AA6144">
        <w:rPr>
          <w:rFonts w:eastAsia="Times-Roman"/>
          <w:lang w:val="en-CA"/>
        </w:rPr>
        <w:t xml:space="preserve"> </w:t>
      </w:r>
      <w:r w:rsidR="006E042E" w:rsidRPr="00AA6144">
        <w:rPr>
          <w:rFonts w:eastAsia="Times-Roman"/>
          <w:lang w:val="en-CA"/>
        </w:rPr>
        <w:t xml:space="preserve">of the </w:t>
      </w:r>
      <w:r w:rsidRPr="00AA6144">
        <w:rPr>
          <w:rFonts w:eastAsia="Times-Roman"/>
          <w:lang w:val="en-CA"/>
        </w:rPr>
        <w:t>Rome Statute</w:t>
      </w:r>
      <w:r w:rsidR="00153C20" w:rsidRPr="00AA6144">
        <w:rPr>
          <w:rFonts w:eastAsia="Times-Roman"/>
          <w:lang w:val="en-CA"/>
        </w:rPr>
        <w:t>.</w:t>
      </w:r>
      <w:r w:rsidR="00DD42A7" w:rsidRPr="00AA6144">
        <w:rPr>
          <w:rStyle w:val="FootnoteReference"/>
          <w:rFonts w:eastAsia="Times-Roman"/>
          <w:color w:val="auto"/>
          <w:szCs w:val="18"/>
          <w:lang w:val="en-CA"/>
        </w:rPr>
        <w:footnoteReference w:id="355"/>
      </w:r>
      <w:r w:rsidR="00392A67" w:rsidRPr="00AA6144">
        <w:rPr>
          <w:rFonts w:eastAsia="Times-Roman"/>
          <w:lang w:val="en-CA"/>
        </w:rPr>
        <w:t xml:space="preserve"> </w:t>
      </w:r>
      <w:r w:rsidRPr="000C2340">
        <w:rPr>
          <w:rFonts w:eastAsia="Times-Roman"/>
          <w:bCs/>
          <w:color w:val="auto"/>
          <w:szCs w:val="18"/>
          <w:lang w:val="en-CA"/>
        </w:rPr>
        <w:t>U</w:t>
      </w:r>
      <w:r w:rsidR="00232D16" w:rsidRPr="000C2340">
        <w:rPr>
          <w:rFonts w:eastAsia="Times-Roman"/>
          <w:bCs/>
          <w:color w:val="auto"/>
          <w:szCs w:val="18"/>
          <w:lang w:val="en-CA"/>
        </w:rPr>
        <w:t>nder</w:t>
      </w:r>
      <w:r w:rsidR="009B77E2" w:rsidRPr="000C2340">
        <w:rPr>
          <w:rFonts w:eastAsia="Times-Roman"/>
          <w:bCs/>
          <w:color w:val="auto"/>
          <w:szCs w:val="18"/>
          <w:lang w:val="en-CA"/>
        </w:rPr>
        <w:t xml:space="preserve"> </w:t>
      </w:r>
      <w:r w:rsidR="00232D16" w:rsidRPr="000C2340">
        <w:rPr>
          <w:rFonts w:eastAsia="Times-Roman"/>
          <w:bCs/>
          <w:color w:val="auto"/>
          <w:szCs w:val="18"/>
          <w:lang w:val="en-CA"/>
        </w:rPr>
        <w:t xml:space="preserve">article 31(1)(d) of the </w:t>
      </w:r>
      <w:r w:rsidRPr="000C2340">
        <w:rPr>
          <w:rFonts w:eastAsia="Times-Roman"/>
          <w:bCs/>
          <w:color w:val="auto"/>
          <w:szCs w:val="18"/>
          <w:lang w:val="en-CA"/>
        </w:rPr>
        <w:t>Rome</w:t>
      </w:r>
      <w:r w:rsidR="00E30F85" w:rsidRPr="000C2340">
        <w:rPr>
          <w:rFonts w:eastAsia="Times-Roman"/>
          <w:bCs/>
          <w:color w:val="auto"/>
          <w:szCs w:val="18"/>
          <w:lang w:val="en-CA"/>
        </w:rPr>
        <w:t xml:space="preserve"> </w:t>
      </w:r>
      <w:r w:rsidR="00232D16" w:rsidRPr="000C2340">
        <w:rPr>
          <w:rFonts w:eastAsia="Times-Roman"/>
          <w:bCs/>
          <w:color w:val="auto"/>
          <w:szCs w:val="18"/>
          <w:lang w:val="en-CA"/>
        </w:rPr>
        <w:t xml:space="preserve">Statute, </w:t>
      </w:r>
      <w:r w:rsidRPr="000C2340">
        <w:rPr>
          <w:rFonts w:eastAsia="Times-Roman"/>
          <w:bCs/>
          <w:color w:val="auto"/>
          <w:szCs w:val="18"/>
          <w:lang w:val="en-CA"/>
        </w:rPr>
        <w:t xml:space="preserve">duress is </w:t>
      </w:r>
      <w:r w:rsidR="00232D16" w:rsidRPr="000C2340">
        <w:rPr>
          <w:rFonts w:eastAsia="Times-Roman"/>
          <w:bCs/>
          <w:color w:val="auto"/>
          <w:szCs w:val="18"/>
          <w:lang w:val="en-CA"/>
        </w:rPr>
        <w:t xml:space="preserve">a ground </w:t>
      </w:r>
      <w:r w:rsidRPr="000C2340">
        <w:rPr>
          <w:rFonts w:eastAsia="Times-Roman"/>
          <w:bCs/>
          <w:color w:val="auto"/>
          <w:szCs w:val="18"/>
          <w:lang w:val="en-CA"/>
        </w:rPr>
        <w:t xml:space="preserve">for </w:t>
      </w:r>
      <w:r w:rsidR="00232D16" w:rsidRPr="000C2340">
        <w:rPr>
          <w:rFonts w:eastAsia="Times-Roman"/>
          <w:bCs/>
          <w:color w:val="auto"/>
          <w:szCs w:val="18"/>
          <w:lang w:val="en-CA"/>
        </w:rPr>
        <w:t>excluding criminal responsibilit</w:t>
      </w:r>
      <w:r w:rsidRPr="000C2340">
        <w:rPr>
          <w:rFonts w:eastAsia="Times-Roman"/>
          <w:bCs/>
          <w:color w:val="auto"/>
          <w:szCs w:val="18"/>
          <w:lang w:val="en-CA"/>
        </w:rPr>
        <w:t xml:space="preserve">y. </w:t>
      </w:r>
      <w:r w:rsidR="00E30F85" w:rsidRPr="000C2340">
        <w:rPr>
          <w:rFonts w:eastAsia="Times-Roman"/>
          <w:bCs/>
          <w:color w:val="auto"/>
          <w:szCs w:val="18"/>
          <w:lang w:val="en-CA"/>
        </w:rPr>
        <w:t>Here, the International Criminal Court interpreted the article to specify:</w:t>
      </w:r>
    </w:p>
    <w:p w14:paraId="79206D17" w14:textId="2CA5CAFE" w:rsidR="00A97568" w:rsidRPr="000C2340" w:rsidRDefault="00232D16" w:rsidP="000C2340">
      <w:pPr>
        <w:pStyle w:val="AIBodyText"/>
        <w:spacing w:after="0"/>
        <w:ind w:left="357" w:right="567"/>
        <w:rPr>
          <w:rFonts w:eastAsia="Times-Roman"/>
          <w:bCs/>
          <w:color w:val="auto"/>
          <w:szCs w:val="18"/>
          <w:lang w:val="en-CA"/>
        </w:rPr>
      </w:pPr>
      <w:r w:rsidRPr="000C2340">
        <w:rPr>
          <w:rFonts w:eastAsia="Times-Roman"/>
          <w:bCs/>
          <w:color w:val="auto"/>
          <w:szCs w:val="18"/>
          <w:lang w:val="en-CA"/>
        </w:rPr>
        <w:t xml:space="preserve">For duress to exclude criminal responsibility it is required that: </w:t>
      </w:r>
    </w:p>
    <w:p w14:paraId="48E4E8BA" w14:textId="06AB567C" w:rsidR="000C2340" w:rsidRDefault="00232D16" w:rsidP="000C2340">
      <w:pPr>
        <w:pStyle w:val="AIBodyText"/>
        <w:numPr>
          <w:ilvl w:val="0"/>
          <w:numId w:val="31"/>
        </w:numPr>
        <w:spacing w:after="0"/>
        <w:ind w:right="567" w:hanging="229"/>
        <w:rPr>
          <w:rFonts w:eastAsia="Times-Roman"/>
          <w:bCs/>
          <w:color w:val="auto"/>
          <w:szCs w:val="18"/>
          <w:lang w:val="en-CA"/>
        </w:rPr>
      </w:pPr>
      <w:r w:rsidRPr="000C2340">
        <w:rPr>
          <w:rFonts w:eastAsia="Times-Roman"/>
          <w:bCs/>
          <w:color w:val="auto"/>
          <w:szCs w:val="18"/>
          <w:lang w:val="en-CA"/>
        </w:rPr>
        <w:t>the conduct of the person has been caused by duress resulting from a threat (whether made by</w:t>
      </w:r>
      <w:r w:rsidR="000C2340">
        <w:rPr>
          <w:rFonts w:eastAsia="Times-Roman"/>
          <w:bCs/>
          <w:color w:val="auto"/>
          <w:szCs w:val="18"/>
          <w:lang w:val="en-CA"/>
        </w:rPr>
        <w:t xml:space="preserve"> </w:t>
      </w:r>
      <w:r w:rsidRPr="000C2340">
        <w:rPr>
          <w:rFonts w:eastAsia="Times-Roman"/>
          <w:bCs/>
          <w:color w:val="auto"/>
          <w:szCs w:val="18"/>
          <w:lang w:val="en-CA"/>
        </w:rPr>
        <w:t>other persons or constituted by circumstances beyond the person’s control) of imminent death or of</w:t>
      </w:r>
      <w:r w:rsidR="000C2340">
        <w:rPr>
          <w:rFonts w:eastAsia="Times-Roman"/>
          <w:bCs/>
          <w:color w:val="auto"/>
          <w:szCs w:val="18"/>
          <w:lang w:val="en-CA"/>
        </w:rPr>
        <w:t xml:space="preserve"> </w:t>
      </w:r>
      <w:r w:rsidRPr="000C2340">
        <w:rPr>
          <w:rFonts w:eastAsia="Times-Roman"/>
          <w:bCs/>
          <w:color w:val="auto"/>
          <w:szCs w:val="18"/>
          <w:lang w:val="en-CA"/>
        </w:rPr>
        <w:t>continuing or imminent serious bodily harm against that person or another person; and</w:t>
      </w:r>
    </w:p>
    <w:p w14:paraId="568FA991" w14:textId="1E0677C9" w:rsidR="00A97568" w:rsidRPr="000C2340" w:rsidRDefault="00232D16" w:rsidP="000C2340">
      <w:pPr>
        <w:pStyle w:val="AIBodyText"/>
        <w:numPr>
          <w:ilvl w:val="0"/>
          <w:numId w:val="31"/>
        </w:numPr>
        <w:spacing w:after="0"/>
        <w:ind w:right="567" w:hanging="229"/>
        <w:rPr>
          <w:rFonts w:eastAsia="Times-Roman"/>
          <w:bCs/>
          <w:color w:val="auto"/>
          <w:szCs w:val="18"/>
          <w:lang w:val="en-CA"/>
        </w:rPr>
      </w:pPr>
      <w:r w:rsidRPr="000C2340">
        <w:rPr>
          <w:rFonts w:eastAsia="Times-Roman"/>
          <w:bCs/>
          <w:color w:val="auto"/>
          <w:szCs w:val="18"/>
          <w:lang w:val="en-CA"/>
        </w:rPr>
        <w:t>the person acts necessarily and reasonably to avoid this threat, provided that the person does not intend to cause a greater harm than the one sought to be avoided.</w:t>
      </w:r>
      <w:r w:rsidR="00A97568" w:rsidRPr="000C2340">
        <w:rPr>
          <w:rFonts w:eastAsia="Times-Roman"/>
          <w:bCs/>
          <w:color w:val="auto"/>
          <w:vertAlign w:val="superscript"/>
        </w:rPr>
        <w:footnoteReference w:id="356"/>
      </w:r>
      <w:r w:rsidRPr="000C2340">
        <w:rPr>
          <w:rFonts w:eastAsia="Times-Roman"/>
          <w:bCs/>
          <w:color w:val="auto"/>
          <w:szCs w:val="18"/>
          <w:vertAlign w:val="superscript"/>
          <w:lang w:val="en-CA"/>
        </w:rPr>
        <w:t xml:space="preserve"> </w:t>
      </w:r>
    </w:p>
    <w:p w14:paraId="55EE28F3" w14:textId="77777777" w:rsidR="00A97568" w:rsidRPr="00AA6144" w:rsidRDefault="00A97568" w:rsidP="00AA6144">
      <w:pPr>
        <w:pStyle w:val="ListParagraph"/>
        <w:spacing w:after="0" w:line="240" w:lineRule="auto"/>
        <w:ind w:left="357" w:right="357"/>
        <w:rPr>
          <w:szCs w:val="18"/>
          <w:lang w:val="en-CA"/>
        </w:rPr>
      </w:pPr>
    </w:p>
    <w:p w14:paraId="2336694C" w14:textId="6844F3BC" w:rsidR="00232D16" w:rsidRPr="00AA6144" w:rsidRDefault="00A97568" w:rsidP="00424911">
      <w:pPr>
        <w:widowControl/>
        <w:suppressAutoHyphens w:val="0"/>
        <w:spacing w:after="0" w:line="240" w:lineRule="auto"/>
        <w:rPr>
          <w:rFonts w:ascii="Times New Roman" w:hAnsi="Times New Roman"/>
          <w:color w:val="auto"/>
          <w:szCs w:val="18"/>
          <w:lang w:val="en-CA" w:eastAsia="en-US"/>
        </w:rPr>
      </w:pPr>
      <w:r w:rsidRPr="000C2340">
        <w:rPr>
          <w:rFonts w:eastAsia="Times-Roman"/>
          <w:color w:val="auto"/>
          <w:szCs w:val="18"/>
          <w:lang w:val="en-CA"/>
        </w:rPr>
        <w:t xml:space="preserve">In </w:t>
      </w:r>
      <w:proofErr w:type="spellStart"/>
      <w:r w:rsidRPr="000C2340">
        <w:rPr>
          <w:rFonts w:eastAsia="Times-Roman"/>
          <w:i/>
          <w:iCs/>
          <w:color w:val="auto"/>
          <w:szCs w:val="18"/>
          <w:lang w:val="en-CA"/>
        </w:rPr>
        <w:t>Ongwen</w:t>
      </w:r>
      <w:proofErr w:type="spellEnd"/>
      <w:r w:rsidRPr="000C2340">
        <w:rPr>
          <w:rFonts w:eastAsia="Times-Roman"/>
          <w:color w:val="auto"/>
          <w:szCs w:val="18"/>
          <w:lang w:val="en-CA"/>
        </w:rPr>
        <w:t xml:space="preserve">, the </w:t>
      </w:r>
      <w:r w:rsidR="007C0353" w:rsidRPr="000C2340">
        <w:rPr>
          <w:rFonts w:eastAsia="Times-Roman"/>
          <w:color w:val="auto"/>
          <w:szCs w:val="18"/>
          <w:lang w:val="en-CA"/>
        </w:rPr>
        <w:t>Pre-Trial Chamber</w:t>
      </w:r>
      <w:r w:rsidRPr="000C2340">
        <w:rPr>
          <w:rFonts w:eastAsia="Times-Roman"/>
          <w:color w:val="auto"/>
          <w:szCs w:val="18"/>
          <w:lang w:val="en-CA"/>
        </w:rPr>
        <w:t xml:space="preserve"> determined there was no threat </w:t>
      </w:r>
      <w:r w:rsidR="00424911" w:rsidRPr="000C2340">
        <w:rPr>
          <w:rFonts w:eastAsia="Times-Roman"/>
          <w:color w:val="auto"/>
          <w:szCs w:val="18"/>
          <w:lang w:val="en-CA"/>
        </w:rPr>
        <w:t>of death or imminent seriously bodily harm to the defendant at the time of his crimes.</w:t>
      </w:r>
      <w:r w:rsidR="00424911" w:rsidRPr="00AA6144">
        <w:rPr>
          <w:rStyle w:val="FootnoteReference"/>
          <w:rFonts w:ascii="Times New Roman" w:hAnsi="Times New Roman"/>
          <w:color w:val="auto"/>
          <w:szCs w:val="18"/>
          <w:lang w:val="en-CA" w:eastAsia="en-US"/>
        </w:rPr>
        <w:footnoteReference w:id="357"/>
      </w:r>
      <w:r w:rsidR="0042084A" w:rsidRPr="00AA6144">
        <w:rPr>
          <w:rFonts w:ascii="Times New Roman" w:hAnsi="Times New Roman"/>
          <w:color w:val="auto"/>
          <w:szCs w:val="18"/>
          <w:lang w:val="en-CA" w:eastAsia="en-US"/>
        </w:rPr>
        <w:t xml:space="preserve"> </w:t>
      </w:r>
      <w:r w:rsidR="0042084A" w:rsidRPr="000C2340">
        <w:rPr>
          <w:rFonts w:eastAsia="Times-Roman"/>
          <w:color w:val="auto"/>
          <w:szCs w:val="18"/>
          <w:lang w:val="en-CA"/>
        </w:rPr>
        <w:t xml:space="preserve">Moreover, the Court determined, the circumstances of </w:t>
      </w:r>
      <w:proofErr w:type="spellStart"/>
      <w:r w:rsidR="0042084A" w:rsidRPr="000C2340">
        <w:rPr>
          <w:rFonts w:eastAsia="Times-Roman"/>
          <w:color w:val="auto"/>
          <w:szCs w:val="18"/>
          <w:lang w:val="en-CA"/>
        </w:rPr>
        <w:t>Ongwen’s</w:t>
      </w:r>
      <w:proofErr w:type="spellEnd"/>
      <w:r w:rsidR="0042084A" w:rsidRPr="000C2340">
        <w:rPr>
          <w:rFonts w:eastAsia="Times-Roman"/>
          <w:color w:val="auto"/>
          <w:szCs w:val="18"/>
          <w:lang w:val="en-CA"/>
        </w:rPr>
        <w:t xml:space="preserve"> participation in the criminal organization (the Lord’s Resistance Army, or LRA), </w:t>
      </w:r>
      <w:r w:rsidR="00005660" w:rsidRPr="000C2340">
        <w:rPr>
          <w:rFonts w:eastAsia="Times-Roman"/>
          <w:color w:val="auto"/>
          <w:szCs w:val="18"/>
          <w:lang w:val="en-CA"/>
        </w:rPr>
        <w:t xml:space="preserve">which was </w:t>
      </w:r>
      <w:r w:rsidR="0042084A" w:rsidRPr="000C2340">
        <w:rPr>
          <w:rFonts w:eastAsia="Times-Roman"/>
          <w:color w:val="auto"/>
          <w:szCs w:val="18"/>
          <w:lang w:val="en-CA"/>
        </w:rPr>
        <w:t>supposedly the c</w:t>
      </w:r>
      <w:r w:rsidR="00E30F85" w:rsidRPr="000C2340">
        <w:rPr>
          <w:rFonts w:eastAsia="Times-Roman"/>
          <w:color w:val="auto"/>
          <w:szCs w:val="18"/>
          <w:lang w:val="en-CA"/>
        </w:rPr>
        <w:t>aus</w:t>
      </w:r>
      <w:r w:rsidR="0042084A" w:rsidRPr="000C2340">
        <w:rPr>
          <w:rFonts w:eastAsia="Times-Roman"/>
          <w:color w:val="auto"/>
          <w:szCs w:val="18"/>
          <w:lang w:val="en-CA"/>
        </w:rPr>
        <w:t xml:space="preserve">e of the threat, were not beyond his control. He could have made an escape, </w:t>
      </w:r>
      <w:r w:rsidR="00E30F85" w:rsidRPr="000C2340">
        <w:rPr>
          <w:rFonts w:eastAsia="Times-Roman"/>
          <w:color w:val="auto"/>
          <w:szCs w:val="18"/>
          <w:lang w:val="en-CA"/>
        </w:rPr>
        <w:t xml:space="preserve"> he could have </w:t>
      </w:r>
      <w:r w:rsidR="0042084A" w:rsidRPr="000C2340">
        <w:rPr>
          <w:rFonts w:eastAsia="Times-Roman"/>
          <w:color w:val="auto"/>
          <w:szCs w:val="18"/>
          <w:lang w:val="en-CA"/>
        </w:rPr>
        <w:t xml:space="preserve">chosen not to rise in prominence within the organization, and evidence showed that he shared the </w:t>
      </w:r>
      <w:r w:rsidR="00E30F85" w:rsidRPr="000C2340">
        <w:rPr>
          <w:rFonts w:eastAsia="Times-Roman"/>
          <w:color w:val="auto"/>
          <w:szCs w:val="18"/>
          <w:lang w:val="en-CA"/>
        </w:rPr>
        <w:t xml:space="preserve">organization’s </w:t>
      </w:r>
      <w:r w:rsidR="0042084A" w:rsidRPr="000C2340">
        <w:rPr>
          <w:rFonts w:eastAsia="Times-Roman"/>
          <w:color w:val="auto"/>
          <w:szCs w:val="18"/>
          <w:lang w:val="en-CA"/>
        </w:rPr>
        <w:t>“brutal and perverted” ideology.</w:t>
      </w:r>
      <w:r w:rsidR="00FE0CD3" w:rsidRPr="00AA6144">
        <w:rPr>
          <w:rStyle w:val="FootnoteReference"/>
          <w:rFonts w:ascii="Times New Roman" w:hAnsi="Times New Roman"/>
          <w:color w:val="auto"/>
          <w:szCs w:val="18"/>
          <w:lang w:val="en-CA" w:eastAsia="en-US"/>
        </w:rPr>
        <w:footnoteReference w:id="358"/>
      </w:r>
      <w:r w:rsidR="0042084A" w:rsidRPr="00AA6144">
        <w:rPr>
          <w:rFonts w:ascii="Times New Roman" w:hAnsi="Times New Roman"/>
          <w:color w:val="auto"/>
          <w:szCs w:val="18"/>
          <w:lang w:val="en-CA" w:eastAsia="en-US"/>
        </w:rPr>
        <w:t xml:space="preserve"> </w:t>
      </w:r>
      <w:r w:rsidR="0042084A" w:rsidRPr="000C2340">
        <w:rPr>
          <w:rFonts w:eastAsia="Times-Roman"/>
          <w:color w:val="auto"/>
          <w:szCs w:val="18"/>
          <w:lang w:val="en-CA"/>
        </w:rPr>
        <w:t xml:space="preserve">Thus the Court </w:t>
      </w:r>
      <w:r w:rsidR="00005660" w:rsidRPr="000C2340">
        <w:rPr>
          <w:rFonts w:eastAsia="Times-Roman"/>
          <w:color w:val="auto"/>
          <w:szCs w:val="18"/>
          <w:lang w:val="en-CA"/>
        </w:rPr>
        <w:t xml:space="preserve">thus </w:t>
      </w:r>
      <w:r w:rsidR="00E30F85" w:rsidRPr="000C2340">
        <w:rPr>
          <w:rFonts w:eastAsia="Times-Roman"/>
          <w:color w:val="auto"/>
          <w:szCs w:val="18"/>
          <w:lang w:val="en-CA"/>
        </w:rPr>
        <w:t>denied</w:t>
      </w:r>
      <w:r w:rsidR="0042084A" w:rsidRPr="000C2340">
        <w:rPr>
          <w:rFonts w:eastAsia="Times-Roman"/>
          <w:color w:val="auto"/>
          <w:szCs w:val="18"/>
          <w:lang w:val="en-CA"/>
        </w:rPr>
        <w:t xml:space="preserve"> Dominic </w:t>
      </w:r>
      <w:proofErr w:type="spellStart"/>
      <w:r w:rsidR="0042084A" w:rsidRPr="000C2340">
        <w:rPr>
          <w:rFonts w:eastAsia="Times-Roman"/>
          <w:color w:val="auto"/>
          <w:szCs w:val="18"/>
          <w:lang w:val="en-CA"/>
        </w:rPr>
        <w:t>Ongwen’</w:t>
      </w:r>
      <w:r w:rsidR="00E30F85" w:rsidRPr="000C2340">
        <w:rPr>
          <w:rFonts w:eastAsia="Times-Roman"/>
          <w:color w:val="auto"/>
          <w:szCs w:val="18"/>
          <w:lang w:val="en-CA"/>
        </w:rPr>
        <w:t>s</w:t>
      </w:r>
      <w:proofErr w:type="spellEnd"/>
      <w:r w:rsidR="0042084A" w:rsidRPr="000C2340">
        <w:rPr>
          <w:rFonts w:eastAsia="Times-Roman"/>
          <w:color w:val="auto"/>
          <w:szCs w:val="18"/>
          <w:lang w:val="en-CA"/>
        </w:rPr>
        <w:t xml:space="preserve"> defence of duress</w:t>
      </w:r>
      <w:r w:rsidR="00FE0CD3" w:rsidRPr="000C2340">
        <w:rPr>
          <w:rFonts w:eastAsia="Times-Roman"/>
          <w:color w:val="auto"/>
          <w:szCs w:val="18"/>
          <w:lang w:val="en-CA"/>
        </w:rPr>
        <w:t xml:space="preserve"> as exclusion</w:t>
      </w:r>
      <w:r w:rsidR="0042084A" w:rsidRPr="000C2340">
        <w:rPr>
          <w:rFonts w:eastAsia="Times-Roman"/>
          <w:color w:val="auto"/>
          <w:szCs w:val="18"/>
          <w:lang w:val="en-CA"/>
        </w:rPr>
        <w:t xml:space="preserve"> from criminal responsibility and </w:t>
      </w:r>
      <w:r w:rsidR="00005660" w:rsidRPr="000C2340">
        <w:rPr>
          <w:rFonts w:eastAsia="Times-Roman"/>
          <w:color w:val="auto"/>
          <w:szCs w:val="18"/>
          <w:lang w:val="en-CA"/>
        </w:rPr>
        <w:t xml:space="preserve">in doing so, </w:t>
      </w:r>
      <w:r w:rsidR="00FE0CD3" w:rsidRPr="000C2340">
        <w:rPr>
          <w:rFonts w:eastAsia="Times-Roman"/>
          <w:color w:val="auto"/>
          <w:szCs w:val="18"/>
          <w:lang w:val="en-CA"/>
        </w:rPr>
        <w:t xml:space="preserve">articulated the scope of </w:t>
      </w:r>
      <w:r w:rsidR="0042084A" w:rsidRPr="000C2340">
        <w:rPr>
          <w:rFonts w:eastAsia="Times-Roman"/>
          <w:color w:val="auto"/>
          <w:szCs w:val="18"/>
          <w:lang w:val="en-CA"/>
        </w:rPr>
        <w:t>article 31(1)(d).</w:t>
      </w:r>
    </w:p>
    <w:p w14:paraId="05581722" w14:textId="23AE9C93" w:rsidR="00392A67" w:rsidRPr="00AA6144" w:rsidRDefault="00392A67" w:rsidP="00392A67">
      <w:pPr>
        <w:pStyle w:val="AIBodyText"/>
        <w:rPr>
          <w:rFonts w:eastAsia="Times-Roman"/>
          <w:color w:val="auto"/>
          <w:szCs w:val="18"/>
          <w:lang w:val="en-CA"/>
        </w:rPr>
      </w:pPr>
    </w:p>
    <w:p w14:paraId="1F7C190B" w14:textId="77777777" w:rsidR="009227D7" w:rsidRPr="00AA6144" w:rsidRDefault="00F84A21" w:rsidP="00806F35">
      <w:pPr>
        <w:pStyle w:val="AIBodyText"/>
        <w:rPr>
          <w:rFonts w:eastAsia="Times-Roman"/>
          <w:color w:val="auto"/>
          <w:szCs w:val="18"/>
          <w:lang w:val="en-CA"/>
        </w:rPr>
      </w:pPr>
      <w:r w:rsidRPr="00AA6144">
        <w:rPr>
          <w:rFonts w:eastAsia="Times-Roman"/>
          <w:b/>
          <w:i/>
          <w:color w:val="auto"/>
          <w:szCs w:val="18"/>
          <w:lang w:val="en-CA"/>
        </w:rPr>
        <w:t>Necessity.</w:t>
      </w:r>
      <w:r w:rsidRPr="00AA6144">
        <w:rPr>
          <w:rFonts w:eastAsia="Times-Roman"/>
          <w:color w:val="auto"/>
          <w:szCs w:val="18"/>
          <w:lang w:val="en-CA"/>
        </w:rPr>
        <w:t xml:space="preserve"> </w:t>
      </w:r>
    </w:p>
    <w:p w14:paraId="76D97C7B" w14:textId="77777777" w:rsidR="00806F35" w:rsidRPr="00AA6144" w:rsidRDefault="00806F35" w:rsidP="00806F35">
      <w:pPr>
        <w:pStyle w:val="AIBodyText"/>
        <w:rPr>
          <w:rFonts w:eastAsia="Times-Roman"/>
          <w:color w:val="auto"/>
          <w:szCs w:val="18"/>
          <w:lang w:val="en-CA"/>
        </w:rPr>
      </w:pPr>
      <w:r w:rsidRPr="00AA6144">
        <w:rPr>
          <w:rFonts w:eastAsia="Times-Roman"/>
          <w:color w:val="auto"/>
          <w:szCs w:val="18"/>
          <w:lang w:val="en-CA"/>
        </w:rPr>
        <w:t xml:space="preserve">There is no defence of necessity in the </w:t>
      </w:r>
      <w:r w:rsidRPr="00AA6144">
        <w:rPr>
          <w:rFonts w:eastAsia="Times-Roman"/>
          <w:i/>
          <w:color w:val="auto"/>
          <w:szCs w:val="18"/>
          <w:lang w:val="en-CA"/>
        </w:rPr>
        <w:t>Criminal Code</w:t>
      </w:r>
      <w:r w:rsidRPr="00AA6144">
        <w:rPr>
          <w:rFonts w:eastAsia="Times-Roman"/>
          <w:color w:val="auto"/>
          <w:szCs w:val="18"/>
          <w:lang w:val="en-CA"/>
        </w:rPr>
        <w:t xml:space="preserve">. It has, however, “been recognized in Canada as a common law defence which is available by virtue of the general proviso in section 8(3) of the </w:t>
      </w:r>
      <w:r w:rsidRPr="00AA6144">
        <w:rPr>
          <w:rFonts w:eastAsia="Times-Roman"/>
          <w:i/>
          <w:color w:val="auto"/>
          <w:szCs w:val="18"/>
          <w:lang w:val="en-CA"/>
        </w:rPr>
        <w:t>Criminal Code</w:t>
      </w:r>
      <w:r w:rsidRPr="00AA6144">
        <w:rPr>
          <w:rFonts w:eastAsia="Times-Roman"/>
          <w:color w:val="auto"/>
          <w:szCs w:val="18"/>
          <w:lang w:val="en-CA"/>
        </w:rPr>
        <w:t>.”</w:t>
      </w:r>
      <w:r w:rsidRPr="00AA6144">
        <w:rPr>
          <w:rFonts w:eastAsia="Times-Roman"/>
          <w:color w:val="auto"/>
          <w:szCs w:val="18"/>
          <w:vertAlign w:val="superscript"/>
          <w:lang w:val="en-CA"/>
        </w:rPr>
        <w:footnoteReference w:id="359"/>
      </w:r>
      <w:r w:rsidRPr="00AA6144">
        <w:rPr>
          <w:rFonts w:eastAsia="Times-Roman"/>
          <w:color w:val="auto"/>
          <w:szCs w:val="18"/>
          <w:lang w:val="en-CA"/>
        </w:rPr>
        <w:t xml:space="preserve">  In </w:t>
      </w:r>
      <w:proofErr w:type="spellStart"/>
      <w:r w:rsidRPr="00AA6144">
        <w:rPr>
          <w:rFonts w:eastAsia="Times-Roman"/>
          <w:i/>
          <w:color w:val="auto"/>
          <w:szCs w:val="18"/>
          <w:lang w:val="en-CA"/>
        </w:rPr>
        <w:t>Perka</w:t>
      </w:r>
      <w:proofErr w:type="spellEnd"/>
      <w:r w:rsidRPr="00AA6144">
        <w:rPr>
          <w:rFonts w:eastAsia="Times-Roman"/>
          <w:color w:val="auto"/>
          <w:szCs w:val="18"/>
          <w:lang w:val="en-CA"/>
        </w:rPr>
        <w:t xml:space="preserve"> v </w:t>
      </w:r>
      <w:r w:rsidRPr="00AA6144">
        <w:rPr>
          <w:rFonts w:eastAsia="Times-Roman"/>
          <w:i/>
          <w:color w:val="auto"/>
          <w:szCs w:val="18"/>
          <w:lang w:val="en-CA"/>
        </w:rPr>
        <w:t>R</w:t>
      </w:r>
      <w:r w:rsidRPr="00AA6144">
        <w:rPr>
          <w:rFonts w:eastAsia="Times-Roman"/>
          <w:color w:val="auto"/>
          <w:szCs w:val="18"/>
          <w:lang w:val="en-CA"/>
        </w:rPr>
        <w:t>,</w:t>
      </w:r>
      <w:bookmarkStart w:id="146" w:name="_Ref267054130"/>
      <w:r w:rsidRPr="00AA6144">
        <w:rPr>
          <w:rFonts w:eastAsia="Times-Roman"/>
          <w:color w:val="auto"/>
          <w:szCs w:val="18"/>
          <w:vertAlign w:val="superscript"/>
          <w:lang w:val="en-CA"/>
        </w:rPr>
        <w:footnoteReference w:id="360"/>
      </w:r>
      <w:bookmarkEnd w:id="146"/>
      <w:r w:rsidRPr="00AA6144">
        <w:rPr>
          <w:rFonts w:eastAsia="Times-Roman"/>
          <w:color w:val="auto"/>
          <w:szCs w:val="18"/>
          <w:lang w:val="en-CA"/>
        </w:rPr>
        <w:t xml:space="preserve"> the defence was defined in the following terms:</w:t>
      </w:r>
    </w:p>
    <w:p w14:paraId="10897173" w14:textId="77777777" w:rsidR="00806F35" w:rsidRPr="00AA6144" w:rsidRDefault="00806F35" w:rsidP="00FA5FDC">
      <w:pPr>
        <w:pStyle w:val="AIBodyText"/>
        <w:ind w:left="357" w:right="567"/>
        <w:rPr>
          <w:rFonts w:eastAsia="Times-Roman"/>
          <w:color w:val="auto"/>
          <w:szCs w:val="18"/>
          <w:lang w:val="en-CA"/>
        </w:rPr>
      </w:pPr>
      <w:r w:rsidRPr="00AA6144">
        <w:rPr>
          <w:rFonts w:eastAsia="Times-Roman"/>
          <w:bCs/>
          <w:color w:val="auto"/>
          <w:szCs w:val="18"/>
          <w:lang w:val="en-CA"/>
        </w:rPr>
        <w:t xml:space="preserve">It is now possible to summarize a number of conclusions as to the defence of necessity in terms of its nature, basis and limitations: (1) the defence of necessity could be conceptualized as either a justification or an excuse; (2) it should be recognized in Canada as an excuse, operating by virtue of s. 7(3) of the </w:t>
      </w:r>
      <w:r w:rsidRPr="00AA6144">
        <w:rPr>
          <w:rFonts w:eastAsia="Times-Roman"/>
          <w:bCs/>
          <w:i/>
          <w:color w:val="auto"/>
          <w:szCs w:val="18"/>
          <w:lang w:val="en-CA"/>
        </w:rPr>
        <w:t>Criminal Code</w:t>
      </w:r>
      <w:r w:rsidRPr="00AA6144">
        <w:rPr>
          <w:rFonts w:eastAsia="Times-Roman"/>
          <w:bCs/>
          <w:color w:val="auto"/>
          <w:szCs w:val="18"/>
          <w:lang w:val="en-CA"/>
        </w:rPr>
        <w:t>; (3) necessity as an excuse implies no vindication of the deeds of the actor; (4) the criterion is the moral involuntariness of the wrongful action; (5) this involuntariness is measured on the basis of society’s expectation of appropriate and normal resistance to pressure; (6) negligence or involvement in criminal or immoral activity does not disentitle the actor to the excuse of necessity; (7) actions or circumstances which indicate that the wrongful deed was not truly involuntary do disentitle; (8) the existence of a reasonable legal alternative similarly disentitles; to be involuntary the act must be inevitable, unavoidable and afford no reasonable opportunity for an alternative course of action that does not involve a breach of the law; (9) the defence only applies in circumstances of imminent risk where the action was taken to avoid a direct and immediate peril; (10) where the accused places before the Court sufficient evidence to raise the issue, the onus is on the Crown to meet it beyond a reasonable doubt.</w:t>
      </w:r>
      <w:r w:rsidRPr="00AA6144">
        <w:rPr>
          <w:rFonts w:eastAsia="Times-Roman"/>
          <w:color w:val="auto"/>
          <w:szCs w:val="18"/>
          <w:vertAlign w:val="superscript"/>
          <w:lang w:val="en-CA"/>
        </w:rPr>
        <w:footnoteReference w:id="361"/>
      </w:r>
    </w:p>
    <w:p w14:paraId="03D1F883" w14:textId="77777777" w:rsidR="006062F8" w:rsidRPr="00AA6144" w:rsidRDefault="009C4FD9" w:rsidP="006062F8">
      <w:pPr>
        <w:pStyle w:val="AIBodyText"/>
        <w:rPr>
          <w:rFonts w:eastAsia="Times-Roman"/>
          <w:bCs/>
          <w:iCs/>
          <w:color w:val="auto"/>
          <w:szCs w:val="18"/>
          <w:lang w:val="en-CA"/>
        </w:rPr>
      </w:pPr>
      <w:r w:rsidRPr="00AA6144">
        <w:rPr>
          <w:rFonts w:eastAsia="Times-Roman"/>
          <w:bCs/>
          <w:iCs/>
          <w:color w:val="auto"/>
          <w:szCs w:val="18"/>
          <w:lang w:val="en-CA"/>
        </w:rPr>
        <w:t>I</w:t>
      </w:r>
      <w:r w:rsidR="006062F8" w:rsidRPr="00AA6144">
        <w:rPr>
          <w:rFonts w:eastAsia="Times-Roman"/>
          <w:bCs/>
          <w:iCs/>
          <w:color w:val="auto"/>
          <w:szCs w:val="18"/>
          <w:lang w:val="en-CA"/>
        </w:rPr>
        <w:t xml:space="preserve">n </w:t>
      </w:r>
      <w:proofErr w:type="spellStart"/>
      <w:r w:rsidR="006062F8" w:rsidRPr="00AA6144">
        <w:rPr>
          <w:rFonts w:eastAsia="Times-Roman"/>
          <w:bCs/>
          <w:i/>
          <w:iCs/>
          <w:color w:val="auto"/>
          <w:szCs w:val="18"/>
          <w:lang w:val="en-CA"/>
        </w:rPr>
        <w:t>Perka</w:t>
      </w:r>
      <w:proofErr w:type="spellEnd"/>
      <w:r w:rsidR="000D52AD" w:rsidRPr="00AA6144">
        <w:rPr>
          <w:rFonts w:eastAsia="Times-Roman"/>
          <w:bCs/>
          <w:iCs/>
          <w:color w:val="auto"/>
          <w:szCs w:val="18"/>
          <w:lang w:val="en-CA"/>
        </w:rPr>
        <w:t>,</w:t>
      </w:r>
      <w:r w:rsidR="006062F8" w:rsidRPr="00AA6144">
        <w:rPr>
          <w:rStyle w:val="FootnoteReference"/>
          <w:rFonts w:eastAsia="Times-Roman"/>
          <w:bCs/>
          <w:iCs/>
          <w:color w:val="auto"/>
          <w:szCs w:val="18"/>
          <w:lang w:val="en-CA"/>
        </w:rPr>
        <w:footnoteReference w:id="362"/>
      </w:r>
      <w:r w:rsidRPr="00AA6144">
        <w:rPr>
          <w:rFonts w:eastAsia="Times-Roman"/>
          <w:bCs/>
          <w:iCs/>
          <w:color w:val="auto"/>
          <w:szCs w:val="18"/>
          <w:lang w:val="en-CA"/>
        </w:rPr>
        <w:t xml:space="preserve"> the Supreme Court </w:t>
      </w:r>
      <w:r w:rsidR="00321900" w:rsidRPr="00AA6144">
        <w:rPr>
          <w:rFonts w:eastAsia="Times-Roman"/>
          <w:bCs/>
          <w:iCs/>
          <w:color w:val="auto"/>
          <w:szCs w:val="18"/>
          <w:lang w:val="en-CA"/>
        </w:rPr>
        <w:t xml:space="preserve">recognized </w:t>
      </w:r>
      <w:r w:rsidR="006062F8" w:rsidRPr="00AA6144">
        <w:rPr>
          <w:rFonts w:eastAsia="Times-Roman"/>
          <w:bCs/>
          <w:iCs/>
          <w:color w:val="auto"/>
          <w:szCs w:val="18"/>
          <w:lang w:val="en-CA"/>
        </w:rPr>
        <w:t xml:space="preserve">“that it is inappropriate to punish actions which are normatively ‘involuntary’ </w:t>
      </w:r>
      <w:r w:rsidR="00321900" w:rsidRPr="00AA6144">
        <w:rPr>
          <w:rFonts w:eastAsia="Times-Roman"/>
          <w:bCs/>
          <w:iCs/>
          <w:color w:val="auto"/>
          <w:szCs w:val="18"/>
          <w:lang w:val="en-CA"/>
        </w:rPr>
        <w:t xml:space="preserve">and stressed the need </w:t>
      </w:r>
      <w:r w:rsidR="006062F8" w:rsidRPr="00AA6144">
        <w:rPr>
          <w:rFonts w:eastAsia="Times-Roman"/>
          <w:bCs/>
          <w:iCs/>
          <w:color w:val="auto"/>
          <w:szCs w:val="18"/>
          <w:lang w:val="en-CA"/>
        </w:rPr>
        <w:t>to ensure that “the acts for which the benefit of the excuse of necessity is sought are truly ‘involuntary’ in the requisite sense.”</w:t>
      </w:r>
      <w:r w:rsidR="006062F8" w:rsidRPr="00AA6144">
        <w:rPr>
          <w:rStyle w:val="FootnoteReference"/>
          <w:rFonts w:eastAsia="Times-Roman"/>
          <w:bCs/>
          <w:iCs/>
          <w:color w:val="auto"/>
          <w:szCs w:val="18"/>
          <w:lang w:val="en-CA"/>
        </w:rPr>
        <w:footnoteReference w:id="363"/>
      </w:r>
      <w:r w:rsidR="006062F8" w:rsidRPr="00AA6144">
        <w:rPr>
          <w:rFonts w:eastAsia="Times-Roman"/>
          <w:bCs/>
          <w:iCs/>
          <w:color w:val="auto"/>
          <w:szCs w:val="18"/>
          <w:lang w:val="en-CA"/>
        </w:rPr>
        <w:t xml:space="preserve"> The Court went on to highlight that “the harm inflicted must be less than the harm sought to be avoided.”</w:t>
      </w:r>
      <w:r w:rsidR="006062F8" w:rsidRPr="00AA6144">
        <w:rPr>
          <w:rStyle w:val="FootnoteReference"/>
          <w:rFonts w:eastAsia="Times-Roman"/>
          <w:bCs/>
          <w:iCs/>
          <w:color w:val="auto"/>
          <w:szCs w:val="18"/>
          <w:lang w:val="en-CA"/>
        </w:rPr>
        <w:footnoteReference w:id="364"/>
      </w:r>
      <w:r w:rsidR="006062F8" w:rsidRPr="00AA6144">
        <w:rPr>
          <w:rFonts w:eastAsia="Times-Roman"/>
          <w:bCs/>
          <w:iCs/>
          <w:color w:val="auto"/>
          <w:szCs w:val="18"/>
          <w:lang w:val="en-CA"/>
        </w:rPr>
        <w:t xml:space="preserve"> Therefore, there is no restriction on the</w:t>
      </w:r>
      <w:r w:rsidR="00321900" w:rsidRPr="00AA6144">
        <w:rPr>
          <w:rFonts w:eastAsia="Times-Roman"/>
          <w:bCs/>
          <w:iCs/>
          <w:color w:val="auto"/>
          <w:szCs w:val="18"/>
          <w:lang w:val="en-CA"/>
        </w:rPr>
        <w:t xml:space="preserve"> availability of the</w:t>
      </w:r>
      <w:r w:rsidR="006062F8" w:rsidRPr="00AA6144">
        <w:rPr>
          <w:rFonts w:eastAsia="Times-Roman"/>
          <w:bCs/>
          <w:iCs/>
          <w:color w:val="auto"/>
          <w:szCs w:val="18"/>
          <w:lang w:val="en-CA"/>
        </w:rPr>
        <w:t xml:space="preserve"> defence of necessity under the </w:t>
      </w:r>
      <w:r w:rsidR="006062F8" w:rsidRPr="00AA6144">
        <w:rPr>
          <w:rFonts w:eastAsia="Times-Roman"/>
          <w:bCs/>
          <w:i/>
          <w:iCs/>
          <w:color w:val="auto"/>
          <w:szCs w:val="18"/>
          <w:lang w:val="en-CA"/>
        </w:rPr>
        <w:t>Crimes Against Humanity and War Crimes Act</w:t>
      </w:r>
      <w:r w:rsidR="006062F8" w:rsidRPr="00AA6144">
        <w:rPr>
          <w:rFonts w:eastAsia="Times-Roman"/>
          <w:bCs/>
          <w:iCs/>
          <w:color w:val="auto"/>
          <w:szCs w:val="18"/>
          <w:lang w:val="en-CA"/>
        </w:rPr>
        <w:t>, so long as the harm inflicted is less than the harm to be avoided.</w:t>
      </w:r>
    </w:p>
    <w:p w14:paraId="293761C1" w14:textId="77777777" w:rsidR="00F84A21" w:rsidRPr="00AA6144" w:rsidRDefault="00F84A21" w:rsidP="00352022">
      <w:pPr>
        <w:pStyle w:val="AIBodyText"/>
        <w:rPr>
          <w:b/>
          <w:bCs/>
          <w:i/>
          <w:iCs/>
          <w:color w:val="auto"/>
          <w:szCs w:val="18"/>
          <w:lang w:val="en-CA"/>
        </w:rPr>
      </w:pPr>
      <w:r w:rsidRPr="00AA6144">
        <w:rPr>
          <w:b/>
          <w:bCs/>
          <w:i/>
          <w:iCs/>
          <w:color w:val="auto"/>
          <w:szCs w:val="18"/>
          <w:lang w:val="en-CA"/>
        </w:rPr>
        <w:t xml:space="preserve">Defences – defence of person or property  </w:t>
      </w:r>
    </w:p>
    <w:p w14:paraId="4CADEA60" w14:textId="77777777" w:rsidR="00E81A40" w:rsidRPr="00AA6144" w:rsidRDefault="00E81A40" w:rsidP="00E81A40">
      <w:pPr>
        <w:pStyle w:val="AIBodyText"/>
        <w:rPr>
          <w:rFonts w:eastAsia="Times-Roman"/>
          <w:color w:val="auto"/>
          <w:szCs w:val="18"/>
          <w:lang w:val="en-CA"/>
        </w:rPr>
      </w:pPr>
      <w:r w:rsidRPr="00AA6144">
        <w:rPr>
          <w:rFonts w:eastAsia="Times-Roman"/>
          <w:color w:val="auto"/>
          <w:szCs w:val="18"/>
          <w:lang w:val="en-CA"/>
        </w:rPr>
        <w:t xml:space="preserve">The defences in Canadian law of self-defence, defence of others and defence of property are narrower than the strictest requirements of international law or what is appropriate for crimes under international law. In Canada, the defence of self-defence is </w:t>
      </w:r>
      <w:r w:rsidR="002D6E5A" w:rsidRPr="00AA6144">
        <w:rPr>
          <w:rFonts w:eastAsia="Times-Roman"/>
          <w:color w:val="auto"/>
          <w:szCs w:val="18"/>
          <w:lang w:val="en-CA"/>
        </w:rPr>
        <w:t>absorbed within</w:t>
      </w:r>
      <w:r w:rsidRPr="00AA6144">
        <w:rPr>
          <w:rFonts w:eastAsia="Times-Roman"/>
          <w:color w:val="auto"/>
          <w:szCs w:val="18"/>
          <w:lang w:val="en-CA"/>
        </w:rPr>
        <w:t xml:space="preserve"> the defence of the person</w:t>
      </w:r>
      <w:r w:rsidR="00321900" w:rsidRPr="00AA6144">
        <w:rPr>
          <w:rFonts w:eastAsia="Times-Roman"/>
          <w:color w:val="auto"/>
          <w:szCs w:val="18"/>
          <w:lang w:val="en-CA"/>
        </w:rPr>
        <w:t xml:space="preserve"> or others from the use or threat of force, and the defence of property.</w:t>
      </w:r>
      <w:r w:rsidRPr="00AA6144">
        <w:rPr>
          <w:rFonts w:eastAsia="Times-Roman"/>
          <w:color w:val="auto"/>
          <w:szCs w:val="18"/>
          <w:lang w:val="en-CA"/>
        </w:rPr>
        <w:t xml:space="preserve"> Sections 34 and 35 of the </w:t>
      </w:r>
      <w:r w:rsidRPr="00AA6144">
        <w:rPr>
          <w:rFonts w:eastAsia="Times-Roman"/>
          <w:i/>
          <w:color w:val="auto"/>
          <w:szCs w:val="18"/>
          <w:lang w:val="en-CA"/>
        </w:rPr>
        <w:t>Criminal Code</w:t>
      </w:r>
      <w:r w:rsidRPr="00AA6144">
        <w:rPr>
          <w:rFonts w:eastAsia="Times-Roman"/>
          <w:color w:val="auto"/>
          <w:szCs w:val="18"/>
          <w:lang w:val="en-CA"/>
        </w:rPr>
        <w:t xml:space="preserve"> </w:t>
      </w:r>
      <w:proofErr w:type="gramStart"/>
      <w:r w:rsidRPr="00AA6144">
        <w:rPr>
          <w:rFonts w:eastAsia="Times-Roman"/>
          <w:color w:val="auto"/>
          <w:szCs w:val="18"/>
          <w:lang w:val="en-CA"/>
        </w:rPr>
        <w:t>deal</w:t>
      </w:r>
      <w:proofErr w:type="gramEnd"/>
      <w:r w:rsidRPr="00AA6144">
        <w:rPr>
          <w:rFonts w:eastAsia="Times-Roman"/>
          <w:color w:val="auto"/>
          <w:szCs w:val="18"/>
          <w:lang w:val="en-CA"/>
        </w:rPr>
        <w:t xml:space="preserve"> with self-defence in </w:t>
      </w:r>
      <w:r w:rsidR="00321900" w:rsidRPr="00AA6144">
        <w:rPr>
          <w:rFonts w:eastAsia="Times-Roman"/>
          <w:color w:val="auto"/>
          <w:szCs w:val="18"/>
          <w:lang w:val="en-CA"/>
        </w:rPr>
        <w:t xml:space="preserve">two </w:t>
      </w:r>
      <w:r w:rsidRPr="00AA6144">
        <w:rPr>
          <w:rFonts w:eastAsia="Times-Roman"/>
          <w:color w:val="auto"/>
          <w:szCs w:val="18"/>
          <w:lang w:val="en-CA"/>
        </w:rPr>
        <w:t>different ways:</w:t>
      </w:r>
    </w:p>
    <w:p w14:paraId="470546BB" w14:textId="77777777" w:rsidR="00321900" w:rsidRPr="00AA6144" w:rsidRDefault="006C18FB" w:rsidP="00FA5FDC">
      <w:pPr>
        <w:pStyle w:val="AIBodyText"/>
        <w:ind w:left="357" w:right="567"/>
        <w:rPr>
          <w:rFonts w:eastAsia="Times-Roman"/>
          <w:color w:val="auto"/>
          <w:szCs w:val="18"/>
          <w:lang w:val="en-CA"/>
        </w:rPr>
      </w:pPr>
      <w:r w:rsidRPr="00AA6144">
        <w:rPr>
          <w:rFonts w:eastAsia="Times-Roman"/>
          <w:color w:val="auto"/>
          <w:szCs w:val="18"/>
          <w:lang w:val="en-CA"/>
        </w:rPr>
        <w:t>Self-d</w:t>
      </w:r>
      <w:r w:rsidR="00611A14" w:rsidRPr="00AA6144">
        <w:rPr>
          <w:rFonts w:eastAsia="Times-Roman"/>
          <w:color w:val="auto"/>
          <w:szCs w:val="18"/>
          <w:lang w:val="en-CA"/>
        </w:rPr>
        <w:t xml:space="preserve">efence </w:t>
      </w:r>
      <w:r w:rsidR="00A96ACC" w:rsidRPr="00AA6144">
        <w:rPr>
          <w:rFonts w:eastAsia="Times-Roman"/>
          <w:color w:val="auto"/>
          <w:szCs w:val="18"/>
          <w:lang w:val="en-CA"/>
        </w:rPr>
        <w:t>against</w:t>
      </w:r>
      <w:r w:rsidR="00611A14" w:rsidRPr="00AA6144">
        <w:rPr>
          <w:rFonts w:eastAsia="Times-Roman"/>
          <w:color w:val="auto"/>
          <w:szCs w:val="18"/>
          <w:lang w:val="en-CA"/>
        </w:rPr>
        <w:t xml:space="preserve"> use or threat of force in s</w:t>
      </w:r>
      <w:r w:rsidR="00321900" w:rsidRPr="00AA6144">
        <w:rPr>
          <w:rFonts w:eastAsia="Times-Roman"/>
          <w:color w:val="auto"/>
          <w:szCs w:val="18"/>
          <w:lang w:val="en-CA"/>
        </w:rPr>
        <w:t>ection 34(1): A person is not guilty of an offence if</w:t>
      </w:r>
      <w:r w:rsidR="00865315" w:rsidRPr="00AA6144">
        <w:rPr>
          <w:rFonts w:eastAsia="Times-Roman"/>
          <w:color w:val="auto"/>
          <w:szCs w:val="18"/>
          <w:lang w:val="en-CA"/>
        </w:rPr>
        <w:t>:</w:t>
      </w:r>
    </w:p>
    <w:p w14:paraId="30775651" w14:textId="77777777" w:rsidR="00321900" w:rsidRPr="00AA6144" w:rsidRDefault="00321900" w:rsidP="00FA5FDC">
      <w:pPr>
        <w:pStyle w:val="AIBodyText"/>
        <w:ind w:left="714" w:right="567"/>
        <w:rPr>
          <w:rFonts w:eastAsia="Times-Roman"/>
          <w:color w:val="auto"/>
          <w:szCs w:val="18"/>
          <w:lang w:val="en-CA"/>
        </w:rPr>
      </w:pPr>
      <w:r w:rsidRPr="00AA6144">
        <w:rPr>
          <w:rFonts w:eastAsia="Times-Roman"/>
          <w:color w:val="auto"/>
          <w:szCs w:val="18"/>
          <w:lang w:val="en-CA"/>
        </w:rPr>
        <w:t>(</w:t>
      </w:r>
      <w:r w:rsidRPr="00AA6144">
        <w:rPr>
          <w:rFonts w:eastAsia="Times-Roman"/>
          <w:i/>
          <w:iCs/>
          <w:color w:val="auto"/>
          <w:szCs w:val="18"/>
          <w:lang w:val="en-CA"/>
        </w:rPr>
        <w:t>a</w:t>
      </w:r>
      <w:r w:rsidRPr="00AA6144">
        <w:rPr>
          <w:rFonts w:eastAsia="Times-Roman"/>
          <w:color w:val="auto"/>
          <w:szCs w:val="18"/>
          <w:lang w:val="en-CA"/>
        </w:rPr>
        <w:t>) they believe on reasonable grounds that force is being used against them or another person or that a threat of force is being made against them or another person;</w:t>
      </w:r>
      <w:r w:rsidRPr="00AA6144">
        <w:rPr>
          <w:rFonts w:eastAsia="Times-Roman"/>
          <w:color w:val="auto"/>
          <w:szCs w:val="18"/>
          <w:lang w:val="en-CA"/>
        </w:rPr>
        <w:br/>
        <w:t>(</w:t>
      </w:r>
      <w:r w:rsidRPr="00AA6144">
        <w:rPr>
          <w:rFonts w:eastAsia="Times-Roman"/>
          <w:i/>
          <w:iCs/>
          <w:color w:val="auto"/>
          <w:szCs w:val="18"/>
          <w:lang w:val="en-CA"/>
        </w:rPr>
        <w:t>b</w:t>
      </w:r>
      <w:r w:rsidRPr="00AA6144">
        <w:rPr>
          <w:rFonts w:eastAsia="Times-Roman"/>
          <w:color w:val="auto"/>
          <w:szCs w:val="18"/>
          <w:lang w:val="en-CA"/>
        </w:rPr>
        <w:t>) the act that constitutes the offence is committed for the purpose of defending or protecting themselves or the other person from that use or threat of force; and</w:t>
      </w:r>
      <w:r w:rsidRPr="00AA6144">
        <w:rPr>
          <w:rFonts w:eastAsia="Times-Roman"/>
          <w:color w:val="auto"/>
          <w:szCs w:val="18"/>
          <w:lang w:val="en-CA"/>
        </w:rPr>
        <w:br/>
        <w:t>(</w:t>
      </w:r>
      <w:r w:rsidRPr="00AA6144">
        <w:rPr>
          <w:rFonts w:eastAsia="Times-Roman"/>
          <w:i/>
          <w:iCs/>
          <w:color w:val="auto"/>
          <w:szCs w:val="18"/>
          <w:lang w:val="en-CA"/>
        </w:rPr>
        <w:t>c</w:t>
      </w:r>
      <w:r w:rsidRPr="00AA6144">
        <w:rPr>
          <w:rFonts w:eastAsia="Times-Roman"/>
          <w:color w:val="auto"/>
          <w:szCs w:val="18"/>
          <w:lang w:val="en-CA"/>
        </w:rPr>
        <w:t>) the act committed is reasonable in the circumstances.</w:t>
      </w:r>
      <w:r w:rsidRPr="00AA6144">
        <w:rPr>
          <w:rStyle w:val="FootnoteReference"/>
          <w:rFonts w:eastAsia="Times-Roman"/>
          <w:color w:val="auto"/>
          <w:szCs w:val="18"/>
          <w:lang w:val="en-CA"/>
        </w:rPr>
        <w:footnoteReference w:id="365"/>
      </w:r>
    </w:p>
    <w:p w14:paraId="6D3727DB" w14:textId="77777777" w:rsidR="006C18FB" w:rsidRPr="00AA6144" w:rsidRDefault="006C18FB" w:rsidP="00FA5FDC">
      <w:pPr>
        <w:pStyle w:val="AIBodyText"/>
        <w:ind w:right="567" w:firstLine="357"/>
        <w:rPr>
          <w:rFonts w:eastAsia="Times-Roman"/>
          <w:color w:val="auto"/>
          <w:szCs w:val="18"/>
          <w:lang w:val="en-CA"/>
        </w:rPr>
      </w:pPr>
      <w:r w:rsidRPr="00AA6144">
        <w:rPr>
          <w:rFonts w:eastAsia="Times-Roman"/>
          <w:color w:val="auto"/>
          <w:szCs w:val="18"/>
          <w:lang w:val="en-CA"/>
        </w:rPr>
        <w:t>Defense of property in section 35(1): A person is not guilty of an offence if</w:t>
      </w:r>
      <w:r w:rsidR="00865315" w:rsidRPr="00AA6144">
        <w:rPr>
          <w:rFonts w:eastAsia="Times-Roman"/>
          <w:color w:val="auto"/>
          <w:szCs w:val="18"/>
          <w:lang w:val="en-CA"/>
        </w:rPr>
        <w:t>:</w:t>
      </w:r>
    </w:p>
    <w:p w14:paraId="7800F2DE" w14:textId="77777777" w:rsidR="006C18FB" w:rsidRPr="00AA6144" w:rsidRDefault="006C18FB" w:rsidP="00FA5FDC">
      <w:pPr>
        <w:pStyle w:val="AIBodyText"/>
        <w:ind w:left="714" w:right="567"/>
        <w:rPr>
          <w:rFonts w:eastAsia="Times-Roman"/>
          <w:color w:val="auto"/>
          <w:szCs w:val="18"/>
          <w:lang w:val="en-CA"/>
        </w:rPr>
      </w:pPr>
      <w:r w:rsidRPr="00AA6144">
        <w:rPr>
          <w:rFonts w:eastAsia="Times-Roman"/>
          <w:color w:val="auto"/>
          <w:szCs w:val="18"/>
          <w:lang w:val="en-CA"/>
        </w:rPr>
        <w:t>(</w:t>
      </w:r>
      <w:r w:rsidRPr="00AA6144">
        <w:rPr>
          <w:rFonts w:eastAsia="Times-Roman"/>
          <w:i/>
          <w:iCs/>
          <w:color w:val="auto"/>
          <w:szCs w:val="18"/>
          <w:lang w:val="en-CA"/>
        </w:rPr>
        <w:t>a</w:t>
      </w:r>
      <w:r w:rsidRPr="00AA6144">
        <w:rPr>
          <w:rFonts w:eastAsia="Times-Roman"/>
          <w:color w:val="auto"/>
          <w:szCs w:val="18"/>
          <w:lang w:val="en-CA"/>
        </w:rPr>
        <w:t>) they either believe on reasonable grounds that they are in peaceable possession of property or are acting under the authority of, or lawfully assisting, a person whom they believe on reasonable grounds is in peaceable possession of property;</w:t>
      </w:r>
      <w:r w:rsidRPr="00AA6144">
        <w:rPr>
          <w:rFonts w:eastAsia="Times-Roman"/>
          <w:color w:val="auto"/>
          <w:szCs w:val="18"/>
          <w:lang w:val="en-CA"/>
        </w:rPr>
        <w:br/>
        <w:t>(</w:t>
      </w:r>
      <w:r w:rsidRPr="00AA6144">
        <w:rPr>
          <w:rFonts w:eastAsia="Times-Roman"/>
          <w:i/>
          <w:iCs/>
          <w:color w:val="auto"/>
          <w:szCs w:val="18"/>
          <w:lang w:val="en-CA"/>
        </w:rPr>
        <w:t>b</w:t>
      </w:r>
      <w:r w:rsidRPr="00AA6144">
        <w:rPr>
          <w:rFonts w:eastAsia="Times-Roman"/>
          <w:color w:val="auto"/>
          <w:szCs w:val="18"/>
          <w:lang w:val="en-CA"/>
        </w:rPr>
        <w:t>) they believe on reasonable grounds that another person</w:t>
      </w:r>
    </w:p>
    <w:p w14:paraId="577227A8" w14:textId="77777777" w:rsidR="006C18FB" w:rsidRPr="00AA6144" w:rsidRDefault="006C18FB" w:rsidP="00FA5FDC">
      <w:pPr>
        <w:pStyle w:val="AIBodyText"/>
        <w:ind w:left="1071" w:right="567"/>
        <w:rPr>
          <w:rFonts w:eastAsia="Times-Roman"/>
          <w:color w:val="auto"/>
          <w:szCs w:val="18"/>
          <w:lang w:val="en-CA"/>
        </w:rPr>
      </w:pPr>
      <w:r w:rsidRPr="00AA6144">
        <w:rPr>
          <w:rFonts w:eastAsia="Times-Roman"/>
          <w:color w:val="auto"/>
          <w:szCs w:val="18"/>
          <w:lang w:val="en-CA"/>
        </w:rPr>
        <w:t>(</w:t>
      </w:r>
      <w:proofErr w:type="spellStart"/>
      <w:r w:rsidRPr="00AA6144">
        <w:rPr>
          <w:rFonts w:eastAsia="Times-Roman"/>
          <w:color w:val="auto"/>
          <w:szCs w:val="18"/>
          <w:lang w:val="en-CA"/>
        </w:rPr>
        <w:t>i</w:t>
      </w:r>
      <w:proofErr w:type="spellEnd"/>
      <w:r w:rsidRPr="00AA6144">
        <w:rPr>
          <w:rFonts w:eastAsia="Times-Roman"/>
          <w:color w:val="auto"/>
          <w:szCs w:val="18"/>
          <w:lang w:val="en-CA"/>
        </w:rPr>
        <w:t>) is about to enter, is entering or has entered the property without being entitled by law to do so,</w:t>
      </w:r>
      <w:r w:rsidRPr="00AA6144">
        <w:rPr>
          <w:rFonts w:eastAsia="Times-Roman"/>
          <w:color w:val="auto"/>
          <w:szCs w:val="18"/>
          <w:lang w:val="en-CA"/>
        </w:rPr>
        <w:br/>
        <w:t>(ii) is about to take the property, is doing so or has just done so, or</w:t>
      </w:r>
      <w:r w:rsidRPr="00AA6144">
        <w:rPr>
          <w:rFonts w:eastAsia="Times-Roman"/>
          <w:color w:val="auto"/>
          <w:szCs w:val="18"/>
          <w:lang w:val="en-CA"/>
        </w:rPr>
        <w:br/>
        <w:t>(iii) is about to damage or destroy the property, or make it inoperative, or is doing so;</w:t>
      </w:r>
    </w:p>
    <w:p w14:paraId="51683F5B" w14:textId="77777777" w:rsidR="006C18FB" w:rsidRPr="00AA6144" w:rsidRDefault="006C18FB" w:rsidP="00FA5FDC">
      <w:pPr>
        <w:pStyle w:val="AIBodyText"/>
        <w:ind w:left="357" w:right="567" w:firstLine="357"/>
        <w:rPr>
          <w:rFonts w:eastAsia="Times-Roman"/>
          <w:color w:val="auto"/>
          <w:szCs w:val="18"/>
          <w:lang w:val="en-CA"/>
        </w:rPr>
      </w:pPr>
      <w:r w:rsidRPr="00AA6144">
        <w:rPr>
          <w:rFonts w:eastAsia="Times-Roman"/>
          <w:color w:val="auto"/>
          <w:szCs w:val="18"/>
          <w:lang w:val="en-CA"/>
        </w:rPr>
        <w:t>(</w:t>
      </w:r>
      <w:r w:rsidRPr="00AA6144">
        <w:rPr>
          <w:rFonts w:eastAsia="Times-Roman"/>
          <w:i/>
          <w:iCs/>
          <w:color w:val="auto"/>
          <w:szCs w:val="18"/>
          <w:lang w:val="en-CA"/>
        </w:rPr>
        <w:t>c</w:t>
      </w:r>
      <w:r w:rsidRPr="00AA6144">
        <w:rPr>
          <w:rFonts w:eastAsia="Times-Roman"/>
          <w:color w:val="auto"/>
          <w:szCs w:val="18"/>
          <w:lang w:val="en-CA"/>
        </w:rPr>
        <w:t>) the act that constitutes the offence is committed for the purpose of</w:t>
      </w:r>
    </w:p>
    <w:p w14:paraId="27537268" w14:textId="77777777" w:rsidR="006C18FB" w:rsidRPr="00AA6144" w:rsidRDefault="006C18FB" w:rsidP="00FA5FDC">
      <w:pPr>
        <w:pStyle w:val="AIBodyText"/>
        <w:ind w:left="1071" w:right="567"/>
        <w:rPr>
          <w:rFonts w:eastAsia="Times-Roman"/>
          <w:color w:val="auto"/>
          <w:szCs w:val="18"/>
          <w:lang w:val="en-CA"/>
        </w:rPr>
      </w:pPr>
      <w:r w:rsidRPr="00AA6144">
        <w:rPr>
          <w:rFonts w:eastAsia="Times-Roman"/>
          <w:color w:val="auto"/>
          <w:szCs w:val="18"/>
          <w:lang w:val="en-CA"/>
        </w:rPr>
        <w:t>(</w:t>
      </w:r>
      <w:proofErr w:type="spellStart"/>
      <w:r w:rsidRPr="00AA6144">
        <w:rPr>
          <w:rFonts w:eastAsia="Times-Roman"/>
          <w:color w:val="auto"/>
          <w:szCs w:val="18"/>
          <w:lang w:val="en-CA"/>
        </w:rPr>
        <w:t>i</w:t>
      </w:r>
      <w:proofErr w:type="spellEnd"/>
      <w:r w:rsidRPr="00AA6144">
        <w:rPr>
          <w:rFonts w:eastAsia="Times-Roman"/>
          <w:color w:val="auto"/>
          <w:szCs w:val="18"/>
          <w:lang w:val="en-CA"/>
        </w:rPr>
        <w:t>) preventing the other person from entering the property, or removing that person from the property, or</w:t>
      </w:r>
      <w:r w:rsidRPr="00AA6144">
        <w:rPr>
          <w:rFonts w:eastAsia="Times-Roman"/>
          <w:color w:val="auto"/>
          <w:szCs w:val="18"/>
          <w:lang w:val="en-CA"/>
        </w:rPr>
        <w:br/>
        <w:t>(ii) preventing the other person from taking, damaging or destroying the property or from making it inoperative, or retaking the property from that person; and</w:t>
      </w:r>
    </w:p>
    <w:p w14:paraId="4758CC48" w14:textId="77777777" w:rsidR="00321900" w:rsidRPr="00AA6144" w:rsidRDefault="006C18FB" w:rsidP="00FA5FDC">
      <w:pPr>
        <w:pStyle w:val="AIBodyText"/>
        <w:ind w:left="357" w:right="567" w:firstLine="357"/>
        <w:rPr>
          <w:rFonts w:eastAsia="Times-Roman"/>
          <w:color w:val="auto"/>
          <w:szCs w:val="18"/>
          <w:lang w:val="en-CA"/>
        </w:rPr>
      </w:pPr>
      <w:r w:rsidRPr="00AA6144">
        <w:rPr>
          <w:rFonts w:eastAsia="Times-Roman"/>
          <w:color w:val="auto"/>
          <w:szCs w:val="18"/>
          <w:lang w:val="en-CA"/>
        </w:rPr>
        <w:t>(</w:t>
      </w:r>
      <w:r w:rsidRPr="00AA6144">
        <w:rPr>
          <w:rFonts w:eastAsia="Times-Roman"/>
          <w:i/>
          <w:iCs/>
          <w:color w:val="auto"/>
          <w:szCs w:val="18"/>
          <w:lang w:val="en-CA"/>
        </w:rPr>
        <w:t>d</w:t>
      </w:r>
      <w:r w:rsidRPr="00AA6144">
        <w:rPr>
          <w:rFonts w:eastAsia="Times-Roman"/>
          <w:color w:val="auto"/>
          <w:szCs w:val="18"/>
          <w:lang w:val="en-CA"/>
        </w:rPr>
        <w:t>) the act committed is reasonable in the circumstances.</w:t>
      </w:r>
      <w:r w:rsidRPr="00AA6144">
        <w:rPr>
          <w:rStyle w:val="FootnoteReference"/>
          <w:rFonts w:eastAsia="Times-Roman"/>
          <w:color w:val="auto"/>
          <w:szCs w:val="18"/>
          <w:lang w:val="en-CA"/>
        </w:rPr>
        <w:footnoteReference w:id="366"/>
      </w:r>
    </w:p>
    <w:p w14:paraId="34A1D174" w14:textId="77777777" w:rsidR="005610D5" w:rsidRPr="00AA6144" w:rsidRDefault="007C3038" w:rsidP="005610D5">
      <w:pPr>
        <w:pStyle w:val="AIBodyText"/>
        <w:rPr>
          <w:rFonts w:eastAsia="Times-Roman"/>
          <w:color w:val="auto"/>
          <w:szCs w:val="18"/>
          <w:lang w:val="en-CA"/>
        </w:rPr>
      </w:pPr>
      <w:r w:rsidRPr="00AA6144">
        <w:rPr>
          <w:rFonts w:eastAsia="Times-Roman"/>
          <w:color w:val="auto"/>
          <w:szCs w:val="18"/>
          <w:lang w:val="en-CA"/>
        </w:rPr>
        <w:t xml:space="preserve">These sections of the </w:t>
      </w:r>
      <w:r w:rsidRPr="00AA6144">
        <w:rPr>
          <w:rFonts w:eastAsia="Times-Roman"/>
          <w:i/>
          <w:color w:val="auto"/>
          <w:szCs w:val="18"/>
          <w:lang w:val="en-CA"/>
        </w:rPr>
        <w:t>Criminal Code</w:t>
      </w:r>
      <w:r w:rsidRPr="00AA6144">
        <w:rPr>
          <w:rFonts w:eastAsia="Times-Roman"/>
          <w:color w:val="auto"/>
          <w:szCs w:val="18"/>
          <w:lang w:val="en-CA"/>
        </w:rPr>
        <w:t xml:space="preserve"> were amended</w:t>
      </w:r>
      <w:r w:rsidR="00574FAD" w:rsidRPr="00AA6144">
        <w:rPr>
          <w:rFonts w:eastAsia="Times-Roman"/>
          <w:color w:val="auto"/>
          <w:szCs w:val="18"/>
          <w:lang w:val="en-CA"/>
        </w:rPr>
        <w:t xml:space="preserve"> in </w:t>
      </w:r>
      <w:proofErr w:type="gramStart"/>
      <w:r w:rsidR="00574FAD" w:rsidRPr="00AA6144">
        <w:rPr>
          <w:rFonts w:eastAsia="Times-Roman"/>
          <w:color w:val="auto"/>
          <w:szCs w:val="18"/>
          <w:lang w:val="en-CA"/>
        </w:rPr>
        <w:t>2013</w:t>
      </w:r>
      <w:r w:rsidRPr="00AA6144">
        <w:rPr>
          <w:rFonts w:eastAsia="Times-Roman"/>
          <w:color w:val="auto"/>
          <w:szCs w:val="18"/>
          <w:lang w:val="en-CA"/>
        </w:rPr>
        <w:t>, and</w:t>
      </w:r>
      <w:proofErr w:type="gramEnd"/>
      <w:r w:rsidRPr="00AA6144">
        <w:rPr>
          <w:rFonts w:eastAsia="Times-Roman"/>
          <w:color w:val="auto"/>
          <w:szCs w:val="18"/>
          <w:lang w:val="en-CA"/>
        </w:rPr>
        <w:t xml:space="preserve"> have not yet been interpreted by the Supreme Court of Canada.</w:t>
      </w:r>
      <w:r w:rsidR="00F34288" w:rsidRPr="00AA6144">
        <w:rPr>
          <w:rFonts w:eastAsia="Times-Roman"/>
          <w:color w:val="auto"/>
          <w:szCs w:val="18"/>
          <w:lang w:val="en-CA"/>
        </w:rPr>
        <w:t xml:space="preserve"> The defences of self-defence against use or threat of force and defence of property in the </w:t>
      </w:r>
      <w:r w:rsidR="00F34288" w:rsidRPr="00AA6144">
        <w:rPr>
          <w:rFonts w:eastAsia="Times-Roman"/>
          <w:i/>
          <w:color w:val="auto"/>
          <w:szCs w:val="18"/>
          <w:lang w:val="en-CA"/>
        </w:rPr>
        <w:t>Criminal Code</w:t>
      </w:r>
      <w:r w:rsidR="00F34288" w:rsidRPr="00AA6144">
        <w:rPr>
          <w:rFonts w:eastAsia="Times-Roman"/>
          <w:color w:val="auto"/>
          <w:szCs w:val="18"/>
          <w:lang w:val="en-CA"/>
        </w:rPr>
        <w:t xml:space="preserve"> </w:t>
      </w:r>
      <w:r w:rsidR="00E81A40" w:rsidRPr="00AA6144">
        <w:rPr>
          <w:rFonts w:eastAsia="Times-Roman"/>
          <w:color w:val="auto"/>
          <w:szCs w:val="18"/>
          <w:lang w:val="en-CA"/>
        </w:rPr>
        <w:t>are narrower than article 31(1)</w:t>
      </w:r>
      <w:r w:rsidR="00AB3C3F" w:rsidRPr="00AA6144">
        <w:rPr>
          <w:rFonts w:eastAsia="Times-Roman"/>
          <w:color w:val="auto"/>
          <w:szCs w:val="18"/>
          <w:lang w:val="en-CA"/>
        </w:rPr>
        <w:t>(</w:t>
      </w:r>
      <w:r w:rsidR="00E81A40" w:rsidRPr="00AA6144">
        <w:rPr>
          <w:rFonts w:eastAsia="Times-Roman"/>
          <w:color w:val="auto"/>
          <w:szCs w:val="18"/>
          <w:lang w:val="en-CA"/>
        </w:rPr>
        <w:t xml:space="preserve">c) of the </w:t>
      </w:r>
      <w:r w:rsidR="005C5FF0" w:rsidRPr="00AA6144">
        <w:rPr>
          <w:rFonts w:eastAsia="Times-Roman"/>
          <w:color w:val="auto"/>
          <w:szCs w:val="18"/>
          <w:lang w:val="en-CA"/>
        </w:rPr>
        <w:t>Rome Statute</w:t>
      </w:r>
      <w:r w:rsidR="009B3477" w:rsidRPr="00AA6144">
        <w:rPr>
          <w:rFonts w:eastAsia="Times-Roman"/>
          <w:color w:val="auto"/>
          <w:szCs w:val="18"/>
          <w:lang w:val="en-CA"/>
        </w:rPr>
        <w:t>, where self-defence is articulated quite broadly</w:t>
      </w:r>
      <w:r w:rsidR="00E81A40" w:rsidRPr="00AA6144">
        <w:rPr>
          <w:rFonts w:eastAsia="Times-Roman"/>
          <w:color w:val="auto"/>
          <w:szCs w:val="18"/>
          <w:lang w:val="en-CA"/>
        </w:rPr>
        <w:t xml:space="preserve">: </w:t>
      </w:r>
    </w:p>
    <w:p w14:paraId="3EED2D2D" w14:textId="77777777" w:rsidR="00E81A40" w:rsidRPr="00AA6144" w:rsidRDefault="005610D5" w:rsidP="00FA5FDC">
      <w:pPr>
        <w:pStyle w:val="AIBodyText"/>
        <w:ind w:left="357" w:right="567"/>
        <w:rPr>
          <w:rFonts w:eastAsia="Times-Roman"/>
          <w:color w:val="auto"/>
          <w:szCs w:val="18"/>
          <w:lang w:val="en-CA"/>
        </w:rPr>
      </w:pPr>
      <w:r w:rsidRPr="00AA6144">
        <w:rPr>
          <w:rFonts w:eastAsia="Times-Roman"/>
          <w:color w:val="auto"/>
          <w:szCs w:val="18"/>
          <w:lang w:val="en-CA"/>
        </w:rPr>
        <w:t>The person acts reasonably to defend himself or herself or another person or, in the case of war crimes, property which is essential for the survival of the person or another person or property which is essential for accomplishing a military mission, against an imminent and unlawful use of force in a manner proportionate to the degree of danger to the person or the other person or property protected. The fact that the person was involved in a defensive operation conducted by forces shall not in itself constitute a ground for excluding criminal responsibility under this subparagraph</w:t>
      </w:r>
      <w:r w:rsidR="00C80A4B" w:rsidRPr="00AA6144">
        <w:rPr>
          <w:rFonts w:eastAsia="Times-Roman"/>
          <w:color w:val="auto"/>
          <w:szCs w:val="18"/>
          <w:lang w:val="en-CA"/>
        </w:rPr>
        <w:t>.</w:t>
      </w:r>
      <w:r w:rsidR="00EE1EA1" w:rsidRPr="00AA6144">
        <w:rPr>
          <w:rStyle w:val="FootnoteReference"/>
          <w:rFonts w:eastAsia="Times-Roman"/>
          <w:color w:val="auto"/>
          <w:szCs w:val="18"/>
          <w:lang w:val="en-CA"/>
        </w:rPr>
        <w:footnoteReference w:id="367"/>
      </w:r>
      <w:r w:rsidR="00E81A40" w:rsidRPr="00AA6144">
        <w:rPr>
          <w:rFonts w:eastAsia="Times-Roman"/>
          <w:color w:val="auto"/>
          <w:szCs w:val="18"/>
          <w:lang w:val="en-CA"/>
        </w:rPr>
        <w:t xml:space="preserve"> </w:t>
      </w:r>
    </w:p>
    <w:p w14:paraId="2BEAEF9D" w14:textId="77777777" w:rsidR="00E81A40" w:rsidRPr="00AA6144" w:rsidRDefault="00F34288" w:rsidP="00F34288">
      <w:pPr>
        <w:pStyle w:val="AIBodyText"/>
        <w:rPr>
          <w:rFonts w:eastAsia="Times-Roman"/>
          <w:color w:val="auto"/>
          <w:szCs w:val="18"/>
          <w:lang w:val="en-CA"/>
        </w:rPr>
      </w:pPr>
      <w:r w:rsidRPr="00AA6144">
        <w:rPr>
          <w:rFonts w:eastAsia="Times-Roman"/>
          <w:color w:val="auto"/>
          <w:szCs w:val="18"/>
          <w:lang w:val="en-CA"/>
        </w:rPr>
        <w:t xml:space="preserve">Defence of others is expressed in section </w:t>
      </w:r>
      <w:r w:rsidR="00E81A40" w:rsidRPr="00AA6144">
        <w:rPr>
          <w:rFonts w:eastAsia="Times-Roman"/>
          <w:color w:val="auto"/>
          <w:szCs w:val="18"/>
          <w:lang w:val="en-CA"/>
        </w:rPr>
        <w:t xml:space="preserve">27 of the </w:t>
      </w:r>
      <w:r w:rsidR="00E81A40" w:rsidRPr="00AA6144">
        <w:rPr>
          <w:rFonts w:eastAsia="Times-Roman"/>
          <w:i/>
          <w:color w:val="auto"/>
          <w:szCs w:val="18"/>
          <w:lang w:val="en-CA"/>
        </w:rPr>
        <w:t>Criminal Code</w:t>
      </w:r>
      <w:r w:rsidR="00E81A40" w:rsidRPr="00AA6144">
        <w:rPr>
          <w:rFonts w:eastAsia="Times-Roman"/>
          <w:color w:val="auto"/>
          <w:szCs w:val="18"/>
          <w:lang w:val="en-CA"/>
        </w:rPr>
        <w:t xml:space="preserve"> </w:t>
      </w:r>
      <w:r w:rsidRPr="00AA6144">
        <w:rPr>
          <w:rFonts w:eastAsia="Times-Roman"/>
          <w:color w:val="auto"/>
          <w:szCs w:val="18"/>
          <w:lang w:val="en-CA"/>
        </w:rPr>
        <w:t>which states</w:t>
      </w:r>
      <w:r w:rsidR="00E81A40" w:rsidRPr="00AA6144">
        <w:rPr>
          <w:rFonts w:eastAsia="Times-Roman"/>
          <w:color w:val="auto"/>
          <w:szCs w:val="18"/>
          <w:lang w:val="en-CA"/>
        </w:rPr>
        <w:t xml:space="preserve">: </w:t>
      </w:r>
    </w:p>
    <w:p w14:paraId="6EF732D3" w14:textId="77777777" w:rsidR="00F34288" w:rsidRPr="00AA6144" w:rsidRDefault="00F34288" w:rsidP="00E81A40">
      <w:pPr>
        <w:pStyle w:val="AIBodyText"/>
        <w:rPr>
          <w:rFonts w:eastAsia="Times-Roman"/>
          <w:color w:val="auto"/>
          <w:szCs w:val="18"/>
          <w:lang w:val="en-CA"/>
        </w:rPr>
      </w:pPr>
      <w:r w:rsidRPr="00AA6144">
        <w:rPr>
          <w:rFonts w:eastAsia="Times-Roman"/>
          <w:color w:val="auto"/>
          <w:szCs w:val="18"/>
          <w:lang w:val="en-CA"/>
        </w:rPr>
        <w:tab/>
      </w:r>
      <w:r w:rsidR="00E81A40" w:rsidRPr="00AA6144">
        <w:rPr>
          <w:rFonts w:eastAsia="Times-Roman"/>
          <w:color w:val="auto"/>
          <w:szCs w:val="18"/>
          <w:lang w:val="en-CA"/>
        </w:rPr>
        <w:t xml:space="preserve"> </w:t>
      </w:r>
      <w:proofErr w:type="gramStart"/>
      <w:r w:rsidR="00E81A40" w:rsidRPr="00AA6144">
        <w:rPr>
          <w:rFonts w:eastAsia="Times-Roman"/>
          <w:color w:val="auto"/>
          <w:szCs w:val="18"/>
          <w:lang w:val="en-CA"/>
        </w:rPr>
        <w:t>Every one</w:t>
      </w:r>
      <w:proofErr w:type="gramEnd"/>
      <w:r w:rsidR="00E81A40" w:rsidRPr="00AA6144">
        <w:rPr>
          <w:rFonts w:eastAsia="Times-Roman"/>
          <w:color w:val="auto"/>
          <w:szCs w:val="18"/>
          <w:lang w:val="en-CA"/>
        </w:rPr>
        <w:t xml:space="preserve"> is justified in using as much force as is reasonably necessary </w:t>
      </w:r>
    </w:p>
    <w:p w14:paraId="1C65ABDC" w14:textId="77777777" w:rsidR="00F34288" w:rsidRPr="00AA6144" w:rsidRDefault="00E81A40" w:rsidP="00FA5FDC">
      <w:pPr>
        <w:pStyle w:val="AIBodyText"/>
        <w:ind w:left="357" w:firstLine="357"/>
        <w:rPr>
          <w:rFonts w:eastAsia="Times-Roman"/>
          <w:color w:val="auto"/>
          <w:szCs w:val="18"/>
          <w:lang w:val="en-CA"/>
        </w:rPr>
      </w:pPr>
      <w:r w:rsidRPr="00AA6144">
        <w:rPr>
          <w:rFonts w:eastAsia="Times-Roman"/>
          <w:color w:val="auto"/>
          <w:szCs w:val="18"/>
          <w:lang w:val="en-CA"/>
        </w:rPr>
        <w:t xml:space="preserve">(a) to prevent the commission of an offence </w:t>
      </w:r>
      <w:r w:rsidR="00F34288" w:rsidRPr="00AA6144">
        <w:rPr>
          <w:rFonts w:eastAsia="Times-Roman"/>
          <w:color w:val="auto"/>
          <w:szCs w:val="18"/>
          <w:lang w:val="en-CA"/>
        </w:rPr>
        <w:tab/>
      </w:r>
    </w:p>
    <w:p w14:paraId="037EDD49" w14:textId="77777777" w:rsidR="00F34288" w:rsidRPr="00AA6144" w:rsidRDefault="00E81A40" w:rsidP="00FA5FDC">
      <w:pPr>
        <w:pStyle w:val="AIBodyText"/>
        <w:ind w:left="1071"/>
        <w:rPr>
          <w:rFonts w:eastAsia="Times-Roman"/>
          <w:color w:val="auto"/>
          <w:szCs w:val="18"/>
          <w:lang w:val="en-CA"/>
        </w:rPr>
      </w:pPr>
      <w:r w:rsidRPr="00AA6144">
        <w:rPr>
          <w:rFonts w:eastAsia="Times-Roman"/>
          <w:color w:val="auto"/>
          <w:szCs w:val="18"/>
          <w:lang w:val="en-CA"/>
        </w:rPr>
        <w:t>(</w:t>
      </w:r>
      <w:proofErr w:type="spellStart"/>
      <w:r w:rsidRPr="00AA6144">
        <w:rPr>
          <w:rFonts w:eastAsia="Times-Roman"/>
          <w:color w:val="auto"/>
          <w:szCs w:val="18"/>
          <w:lang w:val="en-CA"/>
        </w:rPr>
        <w:t>i</w:t>
      </w:r>
      <w:proofErr w:type="spellEnd"/>
      <w:r w:rsidRPr="00AA6144">
        <w:rPr>
          <w:rFonts w:eastAsia="Times-Roman"/>
          <w:color w:val="auto"/>
          <w:szCs w:val="18"/>
          <w:lang w:val="en-CA"/>
        </w:rPr>
        <w:t xml:space="preserve">) for which, if it were committed, the person who committed it might be arrested without warrant, and </w:t>
      </w:r>
      <w:r w:rsidR="00F34288" w:rsidRPr="00AA6144">
        <w:rPr>
          <w:rFonts w:eastAsia="Times-Roman"/>
          <w:color w:val="auto"/>
          <w:szCs w:val="18"/>
          <w:lang w:val="en-CA"/>
        </w:rPr>
        <w:br/>
      </w:r>
      <w:r w:rsidRPr="00AA6144">
        <w:rPr>
          <w:rFonts w:eastAsia="Times-Roman"/>
          <w:color w:val="auto"/>
          <w:szCs w:val="18"/>
          <w:lang w:val="en-CA"/>
        </w:rPr>
        <w:t xml:space="preserve">(ii) that would be likely to cause immediate and serious injury to the person or property of anyone; or </w:t>
      </w:r>
    </w:p>
    <w:p w14:paraId="34FBDC23" w14:textId="77777777" w:rsidR="00E81A40" w:rsidRPr="00AA6144" w:rsidRDefault="00E81A40" w:rsidP="00FA5FDC">
      <w:pPr>
        <w:pStyle w:val="AIBodyText"/>
        <w:ind w:left="714"/>
        <w:rPr>
          <w:rFonts w:eastAsia="Times-Roman"/>
          <w:color w:val="auto"/>
          <w:szCs w:val="18"/>
          <w:lang w:val="en-CA"/>
        </w:rPr>
      </w:pPr>
      <w:r w:rsidRPr="00AA6144">
        <w:rPr>
          <w:rFonts w:eastAsia="Times-Roman"/>
          <w:color w:val="auto"/>
          <w:szCs w:val="18"/>
          <w:lang w:val="en-CA"/>
        </w:rPr>
        <w:t>(b) to prevent anything being done that, on reasonable grounds, he believes would, if it were done, be an offence mentioned in paragraph (a)</w:t>
      </w:r>
      <w:r w:rsidR="004C2B39" w:rsidRPr="00AA6144">
        <w:rPr>
          <w:rFonts w:eastAsia="Times-Roman"/>
          <w:color w:val="auto"/>
          <w:szCs w:val="18"/>
          <w:lang w:val="en-CA"/>
        </w:rPr>
        <w:t>.</w:t>
      </w:r>
      <w:r w:rsidR="004C2B39" w:rsidRPr="00AA6144">
        <w:rPr>
          <w:rStyle w:val="FootnoteReference"/>
          <w:rFonts w:eastAsia="Times-Roman"/>
          <w:color w:val="auto"/>
          <w:szCs w:val="18"/>
          <w:lang w:val="en-CA"/>
        </w:rPr>
        <w:footnoteReference w:id="368"/>
      </w:r>
    </w:p>
    <w:p w14:paraId="3D390168" w14:textId="77777777" w:rsidR="00E81A40" w:rsidRPr="00AA6144" w:rsidRDefault="007976FD" w:rsidP="00E81A40">
      <w:pPr>
        <w:pStyle w:val="AIBodyText"/>
        <w:rPr>
          <w:rFonts w:eastAsia="Times-Roman"/>
          <w:color w:val="auto"/>
          <w:szCs w:val="18"/>
          <w:lang w:val="en-CA"/>
        </w:rPr>
      </w:pPr>
      <w:r w:rsidRPr="00AA6144">
        <w:rPr>
          <w:rFonts w:eastAsia="Times-Roman"/>
          <w:color w:val="auto"/>
          <w:szCs w:val="18"/>
          <w:lang w:val="en-CA"/>
        </w:rPr>
        <w:t xml:space="preserve">Section 27 of the </w:t>
      </w:r>
      <w:r w:rsidRPr="00AA6144">
        <w:rPr>
          <w:rFonts w:eastAsia="Times-Roman"/>
          <w:i/>
          <w:color w:val="auto"/>
          <w:szCs w:val="18"/>
          <w:lang w:val="en-CA"/>
        </w:rPr>
        <w:t>Criminal Code</w:t>
      </w:r>
      <w:r w:rsidR="0018032B" w:rsidRPr="00AA6144">
        <w:rPr>
          <w:rFonts w:eastAsia="Times-Roman"/>
          <w:color w:val="auto"/>
          <w:szCs w:val="18"/>
          <w:lang w:val="en-CA"/>
        </w:rPr>
        <w:t xml:space="preserve"> </w:t>
      </w:r>
      <w:r w:rsidR="00E81A40" w:rsidRPr="00AA6144">
        <w:rPr>
          <w:rFonts w:eastAsia="Times-Roman"/>
          <w:color w:val="auto"/>
          <w:szCs w:val="18"/>
          <w:lang w:val="en-CA"/>
        </w:rPr>
        <w:t>justifies the use of force for the prevention of serious offences against either person or property.</w:t>
      </w:r>
      <w:r w:rsidR="000D47F7" w:rsidRPr="00AA6144">
        <w:rPr>
          <w:rStyle w:val="FootnoteReference"/>
          <w:rFonts w:eastAsia="Times-Roman"/>
          <w:color w:val="auto"/>
          <w:szCs w:val="18"/>
          <w:lang w:val="en-CA"/>
        </w:rPr>
        <w:footnoteReference w:id="369"/>
      </w:r>
      <w:r w:rsidR="00E81A40" w:rsidRPr="00AA6144">
        <w:rPr>
          <w:rFonts w:eastAsia="Times-Roman"/>
          <w:color w:val="auto"/>
          <w:szCs w:val="18"/>
          <w:lang w:val="en-CA"/>
        </w:rPr>
        <w:t xml:space="preserve"> This defence is different from article 31(1)</w:t>
      </w:r>
      <w:r w:rsidR="00E74844" w:rsidRPr="00AA6144">
        <w:rPr>
          <w:rFonts w:eastAsia="Times-Roman"/>
          <w:color w:val="auto"/>
          <w:szCs w:val="18"/>
          <w:lang w:val="en-CA"/>
        </w:rPr>
        <w:t>(</w:t>
      </w:r>
      <w:r w:rsidR="00E81A40" w:rsidRPr="00AA6144">
        <w:rPr>
          <w:rFonts w:eastAsia="Times-Roman"/>
          <w:color w:val="auto"/>
          <w:szCs w:val="18"/>
          <w:lang w:val="en-CA"/>
        </w:rPr>
        <w:t>c)</w:t>
      </w:r>
      <w:r w:rsidR="004C51AD" w:rsidRPr="00AA6144">
        <w:rPr>
          <w:rFonts w:eastAsia="Times-Roman"/>
          <w:color w:val="auto"/>
          <w:szCs w:val="18"/>
          <w:lang w:val="en-CA"/>
        </w:rPr>
        <w:t xml:space="preserve"> of the </w:t>
      </w:r>
      <w:r w:rsidR="004C51AD" w:rsidRPr="00AA6144">
        <w:rPr>
          <w:rFonts w:eastAsia="Times-Roman"/>
          <w:i/>
          <w:color w:val="auto"/>
          <w:szCs w:val="18"/>
          <w:lang w:val="en-CA"/>
        </w:rPr>
        <w:t>Rome Statute</w:t>
      </w:r>
      <w:r w:rsidR="00E81A40" w:rsidRPr="00AA6144">
        <w:rPr>
          <w:rFonts w:eastAsia="Times-Roman"/>
          <w:color w:val="auto"/>
          <w:szCs w:val="18"/>
          <w:lang w:val="en-CA"/>
        </w:rPr>
        <w:t xml:space="preserve"> since </w:t>
      </w:r>
      <w:r w:rsidR="00DD67D6" w:rsidRPr="00AA6144">
        <w:rPr>
          <w:rFonts w:eastAsia="Times-Roman"/>
          <w:color w:val="auto"/>
          <w:szCs w:val="18"/>
          <w:lang w:val="en-CA"/>
        </w:rPr>
        <w:t xml:space="preserve">the defence in the </w:t>
      </w:r>
      <w:r w:rsidR="00DD67D6" w:rsidRPr="00AA6144">
        <w:rPr>
          <w:rFonts w:eastAsia="Times-Roman"/>
          <w:i/>
          <w:color w:val="auto"/>
          <w:szCs w:val="18"/>
          <w:lang w:val="en-CA"/>
        </w:rPr>
        <w:t xml:space="preserve">Rome Statute </w:t>
      </w:r>
      <w:r w:rsidR="00E81A40" w:rsidRPr="00AA6144">
        <w:rPr>
          <w:rFonts w:eastAsia="Times-Roman"/>
          <w:color w:val="auto"/>
          <w:szCs w:val="18"/>
          <w:lang w:val="en-CA"/>
        </w:rPr>
        <w:t xml:space="preserve">is limited to war crimes when it comes to </w:t>
      </w:r>
      <w:r w:rsidR="00DE16BB" w:rsidRPr="00AA6144">
        <w:rPr>
          <w:rFonts w:eastAsia="Times-Roman"/>
          <w:color w:val="auto"/>
          <w:szCs w:val="18"/>
          <w:lang w:val="en-CA"/>
        </w:rPr>
        <w:t xml:space="preserve">defence of </w:t>
      </w:r>
      <w:r w:rsidR="00E81A40" w:rsidRPr="00AA6144">
        <w:rPr>
          <w:rFonts w:eastAsia="Times-Roman"/>
          <w:color w:val="auto"/>
          <w:szCs w:val="18"/>
          <w:lang w:val="en-CA"/>
        </w:rPr>
        <w:t>property</w:t>
      </w:r>
      <w:r w:rsidR="000D47F7" w:rsidRPr="00AA6144">
        <w:rPr>
          <w:rFonts w:eastAsia="Times-Roman"/>
          <w:color w:val="auto"/>
          <w:szCs w:val="18"/>
          <w:lang w:val="en-CA"/>
        </w:rPr>
        <w:t>.</w:t>
      </w:r>
      <w:r w:rsidR="000D47F7" w:rsidRPr="00AA6144">
        <w:rPr>
          <w:rStyle w:val="FootnoteReference"/>
          <w:rFonts w:eastAsia="Times-Roman"/>
          <w:color w:val="auto"/>
          <w:szCs w:val="18"/>
          <w:lang w:val="en-CA"/>
        </w:rPr>
        <w:footnoteReference w:id="370"/>
      </w:r>
      <w:r w:rsidR="00E81A40" w:rsidRPr="00AA6144">
        <w:rPr>
          <w:rFonts w:eastAsia="Times-Roman"/>
          <w:color w:val="auto"/>
          <w:szCs w:val="18"/>
          <w:lang w:val="en-CA"/>
        </w:rPr>
        <w:t xml:space="preserve"> The Supreme Court </w:t>
      </w:r>
      <w:r w:rsidR="00865315" w:rsidRPr="00AA6144">
        <w:rPr>
          <w:rFonts w:eastAsia="Times-Roman"/>
          <w:color w:val="auto"/>
          <w:szCs w:val="18"/>
          <w:lang w:val="en-CA"/>
        </w:rPr>
        <w:t xml:space="preserve">of Canada </w:t>
      </w:r>
      <w:r w:rsidR="00E81A40" w:rsidRPr="00AA6144">
        <w:rPr>
          <w:rFonts w:eastAsia="Times-Roman"/>
          <w:color w:val="auto"/>
          <w:szCs w:val="18"/>
          <w:lang w:val="en-CA"/>
        </w:rPr>
        <w:t>has rule</w:t>
      </w:r>
      <w:r w:rsidR="00637901" w:rsidRPr="00AA6144">
        <w:rPr>
          <w:rFonts w:eastAsia="Times-Roman"/>
          <w:color w:val="auto"/>
          <w:szCs w:val="18"/>
          <w:lang w:val="en-CA"/>
        </w:rPr>
        <w:t>d</w:t>
      </w:r>
      <w:r w:rsidR="00E81A40" w:rsidRPr="00AA6144">
        <w:rPr>
          <w:rFonts w:eastAsia="Times-Roman"/>
          <w:color w:val="auto"/>
          <w:szCs w:val="18"/>
          <w:lang w:val="en-CA"/>
        </w:rPr>
        <w:t xml:space="preserve"> in </w:t>
      </w:r>
      <w:r w:rsidR="00E81A40" w:rsidRPr="00AA6144">
        <w:rPr>
          <w:rFonts w:eastAsia="Times-Roman"/>
          <w:i/>
          <w:color w:val="auto"/>
          <w:szCs w:val="18"/>
          <w:lang w:val="en-CA"/>
        </w:rPr>
        <w:t>R</w:t>
      </w:r>
      <w:r w:rsidR="00E81A40" w:rsidRPr="00AA6144">
        <w:rPr>
          <w:rFonts w:eastAsia="Times-Roman"/>
          <w:color w:val="auto"/>
          <w:szCs w:val="18"/>
          <w:lang w:val="en-CA"/>
        </w:rPr>
        <w:t xml:space="preserve"> v </w:t>
      </w:r>
      <w:r w:rsidR="00E81A40" w:rsidRPr="00AA6144">
        <w:rPr>
          <w:rFonts w:eastAsia="Times-Roman"/>
          <w:i/>
          <w:color w:val="auto"/>
          <w:szCs w:val="18"/>
          <w:lang w:val="en-CA"/>
        </w:rPr>
        <w:t>Hebert</w:t>
      </w:r>
      <w:r w:rsidR="00E81A40" w:rsidRPr="00AA6144">
        <w:rPr>
          <w:rFonts w:eastAsia="Times-Roman"/>
          <w:color w:val="auto"/>
          <w:szCs w:val="18"/>
          <w:lang w:val="en-CA"/>
        </w:rPr>
        <w:t xml:space="preserve"> that: “section 27 is designed to permit an innocent bystander, who witnesses an offence being or about to be committed, to use force to prevent the offence from occurring.”</w:t>
      </w:r>
      <w:r w:rsidR="00637901" w:rsidRPr="00AA6144">
        <w:rPr>
          <w:rFonts w:eastAsia="Times-Roman"/>
          <w:color w:val="auto"/>
          <w:szCs w:val="18"/>
          <w:vertAlign w:val="superscript"/>
          <w:lang w:val="en-CA"/>
        </w:rPr>
        <w:footnoteReference w:id="371"/>
      </w:r>
      <w:r w:rsidR="00E81A40" w:rsidRPr="00AA6144">
        <w:rPr>
          <w:rFonts w:eastAsia="Times-Roman"/>
          <w:color w:val="auto"/>
          <w:szCs w:val="18"/>
          <w:lang w:val="en-CA"/>
        </w:rPr>
        <w:t xml:space="preserve"> </w:t>
      </w:r>
    </w:p>
    <w:p w14:paraId="4EF7D2B0" w14:textId="77777777" w:rsidR="00E81A40" w:rsidRPr="00AA6144" w:rsidRDefault="00637901" w:rsidP="00E81A40">
      <w:pPr>
        <w:pStyle w:val="AIBodyText"/>
        <w:rPr>
          <w:rFonts w:eastAsia="Times-Roman"/>
          <w:color w:val="auto"/>
          <w:szCs w:val="18"/>
          <w:lang w:val="en-CA"/>
        </w:rPr>
      </w:pPr>
      <w:r w:rsidRPr="00AA6144">
        <w:rPr>
          <w:rFonts w:eastAsia="Times-Roman"/>
          <w:color w:val="auto"/>
          <w:szCs w:val="18"/>
          <w:lang w:val="en-CA"/>
        </w:rPr>
        <w:t xml:space="preserve">Pursuant to section 11 of the </w:t>
      </w:r>
      <w:r w:rsidRPr="00AA6144">
        <w:rPr>
          <w:rFonts w:eastAsia="Times-Roman"/>
          <w:i/>
          <w:color w:val="auto"/>
          <w:szCs w:val="18"/>
          <w:lang w:val="en-CA"/>
        </w:rPr>
        <w:t>Crimes Against Humanity and War Crimes Act</w:t>
      </w:r>
      <w:r w:rsidR="00E81A40" w:rsidRPr="00AA6144">
        <w:rPr>
          <w:rFonts w:eastAsia="Times-Roman"/>
          <w:color w:val="auto"/>
          <w:szCs w:val="18"/>
          <w:lang w:val="en-CA"/>
        </w:rPr>
        <w:t>,</w:t>
      </w:r>
      <w:r w:rsidRPr="00AA6144">
        <w:rPr>
          <w:rFonts w:eastAsia="Times-Roman"/>
          <w:color w:val="auto"/>
          <w:szCs w:val="18"/>
          <w:lang w:val="en-CA"/>
        </w:rPr>
        <w:t xml:space="preserve"> the defences available in sections 34, 35, and 27 of the </w:t>
      </w:r>
      <w:r w:rsidRPr="00AA6144">
        <w:rPr>
          <w:rFonts w:eastAsia="Times-Roman"/>
          <w:i/>
          <w:color w:val="auto"/>
          <w:szCs w:val="18"/>
          <w:lang w:val="en-CA"/>
        </w:rPr>
        <w:t xml:space="preserve">Criminal Code </w:t>
      </w:r>
      <w:r w:rsidRPr="00AA6144">
        <w:rPr>
          <w:rFonts w:eastAsia="Times-Roman"/>
          <w:color w:val="auto"/>
          <w:szCs w:val="18"/>
          <w:lang w:val="en-CA"/>
        </w:rPr>
        <w:t xml:space="preserve">are available for crimes prosecuted under the </w:t>
      </w:r>
      <w:r w:rsidR="00EE4D2F" w:rsidRPr="00AA6144">
        <w:rPr>
          <w:rFonts w:eastAsia="Times-Roman"/>
          <w:i/>
          <w:color w:val="auto"/>
          <w:szCs w:val="18"/>
          <w:lang w:val="en-CA"/>
        </w:rPr>
        <w:t>Crimes Against Humanity and War Crimes Act</w:t>
      </w:r>
      <w:r w:rsidRPr="00AA6144">
        <w:rPr>
          <w:rFonts w:eastAsia="Times-Roman"/>
          <w:color w:val="auto"/>
          <w:szCs w:val="18"/>
          <w:lang w:val="en-CA"/>
        </w:rPr>
        <w:t>.</w:t>
      </w:r>
    </w:p>
    <w:p w14:paraId="145A96F6" w14:textId="24A9D0DB" w:rsidR="00E81A40" w:rsidRPr="00AA6144" w:rsidRDefault="00E81A40" w:rsidP="00E81A40">
      <w:pPr>
        <w:pStyle w:val="AIBodyText"/>
        <w:rPr>
          <w:rFonts w:eastAsia="Times-Roman"/>
          <w:bCs/>
          <w:color w:val="auto"/>
          <w:lang w:val="en-CA"/>
        </w:rPr>
      </w:pPr>
      <w:r w:rsidRPr="00AA6144">
        <w:rPr>
          <w:rFonts w:eastAsia="Times-Roman"/>
          <w:color w:val="auto"/>
          <w:szCs w:val="18"/>
          <w:lang w:val="en-CA"/>
        </w:rPr>
        <w:t xml:space="preserve">As Amnesty International has </w:t>
      </w:r>
      <w:r w:rsidR="00A3763B" w:rsidRPr="00AA6144">
        <w:rPr>
          <w:rFonts w:eastAsia="Times-Roman"/>
          <w:color w:val="auto"/>
          <w:szCs w:val="18"/>
          <w:lang w:val="en-CA"/>
        </w:rPr>
        <w:t>argued in the past</w:t>
      </w:r>
      <w:r w:rsidRPr="00AA6144">
        <w:rPr>
          <w:rFonts w:eastAsia="Times-Roman"/>
          <w:color w:val="auto"/>
          <w:szCs w:val="18"/>
          <w:lang w:val="en-CA"/>
        </w:rPr>
        <w:t>, self-defence and defence of others can be defences to crimes under international law in certain limited circumstances, but only when the response is reasonable and proportionate and, if deadly force is used, only when retreat is not possible.</w:t>
      </w:r>
      <w:r w:rsidRPr="00AA6144">
        <w:rPr>
          <w:rFonts w:eastAsia="Times-Roman"/>
          <w:bCs/>
          <w:color w:val="auto"/>
          <w:szCs w:val="18"/>
          <w:vertAlign w:val="superscript"/>
          <w:lang w:val="en-CA"/>
        </w:rPr>
        <w:footnoteReference w:id="372"/>
      </w:r>
      <w:r w:rsidRPr="00AA6144">
        <w:rPr>
          <w:rFonts w:eastAsia="Times-Roman"/>
          <w:bCs/>
          <w:color w:val="auto"/>
          <w:szCs w:val="18"/>
          <w:lang w:val="en-CA"/>
        </w:rPr>
        <w:t xml:space="preserve"> </w:t>
      </w:r>
      <w:r w:rsidRPr="00AA6144">
        <w:rPr>
          <w:rFonts w:eastAsia="Times-Roman"/>
          <w:color w:val="auto"/>
          <w:szCs w:val="18"/>
          <w:lang w:val="en-CA"/>
        </w:rPr>
        <w:t>Unfortunately, in another political compromise</w:t>
      </w:r>
      <w:r w:rsidR="008F4A4F" w:rsidRPr="00AA6144">
        <w:rPr>
          <w:rFonts w:eastAsia="Times-Roman"/>
          <w:color w:val="auto"/>
          <w:szCs w:val="18"/>
          <w:lang w:val="en-CA"/>
        </w:rPr>
        <w:t xml:space="preserve"> in drafting the Rome Statute</w:t>
      </w:r>
      <w:r w:rsidRPr="00AA6144">
        <w:rPr>
          <w:rFonts w:eastAsia="Times-Roman"/>
          <w:color w:val="auto"/>
          <w:szCs w:val="18"/>
          <w:lang w:val="en-CA"/>
        </w:rPr>
        <w:t xml:space="preserve">, </w:t>
      </w:r>
      <w:r w:rsidR="00EE4D2F" w:rsidRPr="00AA6144">
        <w:rPr>
          <w:rFonts w:eastAsia="Times-Roman"/>
          <w:color w:val="auto"/>
          <w:szCs w:val="18"/>
          <w:lang w:val="en-CA"/>
        </w:rPr>
        <w:t xml:space="preserve">article </w:t>
      </w:r>
      <w:r w:rsidRPr="00AA6144">
        <w:rPr>
          <w:rFonts w:eastAsia="Times-Roman"/>
          <w:color w:val="auto"/>
          <w:szCs w:val="18"/>
          <w:lang w:val="en-CA"/>
        </w:rPr>
        <w:t xml:space="preserve">31(1)(c) of the </w:t>
      </w:r>
      <w:r w:rsidR="005C5FF0" w:rsidRPr="00AA6144">
        <w:rPr>
          <w:rFonts w:eastAsia="Times-Roman"/>
          <w:color w:val="auto"/>
          <w:szCs w:val="18"/>
          <w:lang w:val="en-CA"/>
        </w:rPr>
        <w:t>Rome Statute</w:t>
      </w:r>
      <w:r w:rsidRPr="00AA6144">
        <w:rPr>
          <w:rFonts w:eastAsia="Times-Roman"/>
          <w:color w:val="auto"/>
          <w:szCs w:val="18"/>
          <w:lang w:val="en-CA"/>
        </w:rPr>
        <w:t xml:space="preserve"> provides very broad defences of self</w:t>
      </w:r>
      <w:r w:rsidR="008F4A4F" w:rsidRPr="00AA6144">
        <w:rPr>
          <w:rFonts w:eastAsia="Times-Roman"/>
          <w:color w:val="auto"/>
          <w:szCs w:val="18"/>
          <w:lang w:val="en-CA"/>
        </w:rPr>
        <w:t>-defence, defence of</w:t>
      </w:r>
      <w:r w:rsidRPr="00AA6144">
        <w:rPr>
          <w:rFonts w:eastAsia="Times-Roman"/>
          <w:color w:val="auto"/>
          <w:szCs w:val="18"/>
          <w:lang w:val="en-CA"/>
        </w:rPr>
        <w:t xml:space="preserve"> others and</w:t>
      </w:r>
      <w:r w:rsidR="00E34763" w:rsidRPr="00AA6144">
        <w:rPr>
          <w:rFonts w:eastAsia="Times-Roman"/>
          <w:color w:val="auto"/>
          <w:szCs w:val="18"/>
          <w:lang w:val="en-CA"/>
        </w:rPr>
        <w:t xml:space="preserve"> defence of</w:t>
      </w:r>
      <w:r w:rsidRPr="00AA6144">
        <w:rPr>
          <w:rFonts w:eastAsia="Times-Roman"/>
          <w:color w:val="auto"/>
          <w:szCs w:val="18"/>
          <w:lang w:val="en-CA"/>
        </w:rPr>
        <w:t xml:space="preserve"> property</w:t>
      </w:r>
      <w:r w:rsidR="00E34763" w:rsidRPr="00AA6144">
        <w:rPr>
          <w:rFonts w:eastAsia="Times-Roman"/>
          <w:color w:val="auto"/>
          <w:szCs w:val="18"/>
          <w:lang w:val="en-CA"/>
        </w:rPr>
        <w:t xml:space="preserve">. </w:t>
      </w:r>
      <w:r w:rsidR="00E0467D" w:rsidRPr="00AA6144">
        <w:rPr>
          <w:rFonts w:eastAsia="Times-Roman"/>
          <w:color w:val="auto"/>
          <w:szCs w:val="18"/>
          <w:lang w:val="en-CA"/>
        </w:rPr>
        <w:t xml:space="preserve">In addition, </w:t>
      </w:r>
      <w:r w:rsidR="00E0467D" w:rsidRPr="00AA6144">
        <w:rPr>
          <w:lang w:val="en-CA"/>
        </w:rPr>
        <w:t xml:space="preserve">the Rome Statute makes provisions to allow defences not specifically mentioned </w:t>
      </w:r>
      <w:r w:rsidR="00F83617" w:rsidRPr="00AA6144">
        <w:rPr>
          <w:lang w:val="en-CA"/>
        </w:rPr>
        <w:t xml:space="preserve">in 31(1) </w:t>
      </w:r>
      <w:r w:rsidR="00E0467D" w:rsidRPr="00AA6144">
        <w:rPr>
          <w:lang w:val="en-CA"/>
        </w:rPr>
        <w:t xml:space="preserve">by virtue of article 31(3). </w:t>
      </w:r>
      <w:r w:rsidR="00EE4D2F" w:rsidRPr="00AA6144">
        <w:rPr>
          <w:rFonts w:eastAsia="Times-Roman"/>
          <w:color w:val="auto"/>
          <w:szCs w:val="18"/>
          <w:lang w:val="en-CA"/>
        </w:rPr>
        <w:t>T</w:t>
      </w:r>
      <w:r w:rsidRPr="00AA6144">
        <w:rPr>
          <w:rFonts w:eastAsia="Times-Roman"/>
          <w:color w:val="auto"/>
          <w:szCs w:val="18"/>
          <w:lang w:val="en-CA"/>
        </w:rPr>
        <w:t>hese defences apply only in trials before the International Criminal Court</w:t>
      </w:r>
      <w:r w:rsidRPr="00AA6144">
        <w:rPr>
          <w:rFonts w:eastAsia="Times-Roman"/>
          <w:bCs/>
          <w:color w:val="auto"/>
          <w:szCs w:val="18"/>
          <w:lang w:val="en-CA"/>
        </w:rPr>
        <w:t>.</w:t>
      </w:r>
      <w:r w:rsidRPr="00AA6144">
        <w:rPr>
          <w:rFonts w:eastAsia="Times-Roman"/>
          <w:bCs/>
          <w:color w:val="auto"/>
          <w:szCs w:val="18"/>
          <w:vertAlign w:val="superscript"/>
          <w:lang w:val="en-CA"/>
        </w:rPr>
        <w:footnoteReference w:id="373"/>
      </w:r>
      <w:r w:rsidRPr="00AA6144">
        <w:rPr>
          <w:rFonts w:eastAsia="Times-Roman"/>
          <w:bCs/>
          <w:color w:val="auto"/>
          <w:lang w:val="en-CA"/>
        </w:rPr>
        <w:t xml:space="preserve">  </w:t>
      </w:r>
    </w:p>
    <w:p w14:paraId="725E19DB" w14:textId="77777777" w:rsidR="001E2002" w:rsidRPr="00AA6144" w:rsidRDefault="001E2002" w:rsidP="00352022">
      <w:pPr>
        <w:pStyle w:val="Heading2"/>
        <w:rPr>
          <w:rFonts w:eastAsia="Times-Roman"/>
          <w:b/>
          <w:color w:val="auto"/>
          <w:lang w:val="en-CA"/>
        </w:rPr>
      </w:pPr>
      <w:bookmarkStart w:id="147" w:name="_Toc43382751"/>
      <w:r w:rsidRPr="00AA6144">
        <w:rPr>
          <w:rFonts w:eastAsia="Times-Roman"/>
          <w:color w:val="auto"/>
          <w:lang w:val="en-CA"/>
        </w:rPr>
        <w:t xml:space="preserve">6.2. Presence requirements </w:t>
      </w:r>
      <w:proofErr w:type="gramStart"/>
      <w:r w:rsidRPr="00AA6144">
        <w:rPr>
          <w:rFonts w:eastAsia="Times-Roman"/>
          <w:color w:val="auto"/>
          <w:lang w:val="en-CA"/>
        </w:rPr>
        <w:t>in order to</w:t>
      </w:r>
      <w:proofErr w:type="gramEnd"/>
      <w:r w:rsidRPr="00AA6144">
        <w:rPr>
          <w:rFonts w:eastAsia="Times-Roman"/>
          <w:color w:val="auto"/>
          <w:lang w:val="en-CA"/>
        </w:rPr>
        <w:t xml:space="preserve"> open an investigation or request extradition</w:t>
      </w:r>
      <w:bookmarkEnd w:id="147"/>
      <w:r w:rsidRPr="00AA6144">
        <w:rPr>
          <w:rFonts w:eastAsia="Times-Roman"/>
          <w:b/>
          <w:color w:val="auto"/>
          <w:lang w:val="en-CA"/>
        </w:rPr>
        <w:t xml:space="preserve"> </w:t>
      </w:r>
    </w:p>
    <w:p w14:paraId="1F12D322" w14:textId="77777777" w:rsidR="00DF338C" w:rsidRPr="00AA6144" w:rsidRDefault="00DF338C" w:rsidP="00DF338C">
      <w:pPr>
        <w:pStyle w:val="AIBodyText"/>
        <w:spacing w:after="0"/>
        <w:rPr>
          <w:color w:val="auto"/>
          <w:lang w:val="en-CA"/>
        </w:rPr>
      </w:pPr>
    </w:p>
    <w:p w14:paraId="303A7A79" w14:textId="77777777" w:rsidR="00A77DDA" w:rsidRPr="00AA6144" w:rsidRDefault="00A77DDA" w:rsidP="00A77DDA">
      <w:pPr>
        <w:pStyle w:val="AIBodyText"/>
        <w:rPr>
          <w:color w:val="auto"/>
          <w:lang w:val="en-CA"/>
        </w:rPr>
      </w:pPr>
      <w:r w:rsidRPr="00AA6144">
        <w:rPr>
          <w:color w:val="auto"/>
          <w:lang w:val="en-CA"/>
        </w:rPr>
        <w:t xml:space="preserve">There is no need to wait until the person sought has entered the country on a visit that would be too short to permit an investigation to be completed and an arrest warrant issued and implemented. If Canada is able to request extradition of a person suspected of a crime committed abroad (see Section 7), the </w:t>
      </w:r>
      <w:r w:rsidR="00CB7929" w:rsidRPr="00AA6144">
        <w:rPr>
          <w:color w:val="auto"/>
          <w:lang w:val="en-CA"/>
        </w:rPr>
        <w:t>lack</w:t>
      </w:r>
      <w:r w:rsidRPr="00AA6144">
        <w:rPr>
          <w:color w:val="auto"/>
          <w:lang w:val="en-CA"/>
        </w:rPr>
        <w:t xml:space="preserve"> of a presence requirement means that Canada could also help shoulder the burden when other states fail to fulfil their obligations to investigate and prosecute crimes under international law.</w:t>
      </w:r>
      <w:r w:rsidRPr="00AA6144">
        <w:rPr>
          <w:color w:val="auto"/>
          <w:vertAlign w:val="superscript"/>
          <w:lang w:val="en-CA"/>
        </w:rPr>
        <w:footnoteReference w:id="374"/>
      </w:r>
      <w:r w:rsidRPr="00AA6144">
        <w:rPr>
          <w:color w:val="auto"/>
          <w:lang w:val="en-CA"/>
        </w:rPr>
        <w:t xml:space="preserve"> Indeed, this possibility was envisaged as an essential component of the enforcement provisions of the four 1949 Geneva Conventions (and subsequently incorporated in Protocol I to the Conventions), each of which provide that any state party, regardless whether a suspect had ever been in its territory, as long as it “has made out a </w:t>
      </w:r>
      <w:r w:rsidRPr="00AA6144">
        <w:rPr>
          <w:i/>
          <w:color w:val="auto"/>
          <w:lang w:val="en-CA"/>
        </w:rPr>
        <w:t>prima facie</w:t>
      </w:r>
      <w:r w:rsidRPr="00AA6144">
        <w:rPr>
          <w:color w:val="auto"/>
          <w:lang w:val="en-CA"/>
        </w:rPr>
        <w:t xml:space="preserve"> case”, may request extradition of someone suspected of grave breaches of those Conventions.</w:t>
      </w:r>
      <w:r w:rsidRPr="00AA6144">
        <w:rPr>
          <w:color w:val="auto"/>
          <w:vertAlign w:val="superscript"/>
          <w:lang w:val="en-CA"/>
        </w:rPr>
        <w:footnoteReference w:id="375"/>
      </w:r>
      <w:r w:rsidRPr="00AA6144">
        <w:rPr>
          <w:color w:val="auto"/>
          <w:vertAlign w:val="superscript"/>
          <w:lang w:val="en-CA"/>
        </w:rPr>
        <w:t xml:space="preserve"> </w:t>
      </w:r>
      <w:r w:rsidRPr="00AA6144">
        <w:rPr>
          <w:color w:val="auto"/>
          <w:lang w:val="en-CA"/>
        </w:rPr>
        <w:t xml:space="preserve"> If the presence of the suspected perpetrator were to be necessary for an effective investigation in a particular case and the person could not be extradited to Canada, it is very unlikely that the police would decide to open an investigation.</w:t>
      </w:r>
    </w:p>
    <w:p w14:paraId="4E79337F" w14:textId="77777777" w:rsidR="00A57ECD" w:rsidRPr="00AA6144" w:rsidRDefault="00C40BF4" w:rsidP="00A57ECD">
      <w:pPr>
        <w:pStyle w:val="AIBodyText"/>
        <w:rPr>
          <w:color w:val="auto"/>
          <w:lang w:val="en-CA"/>
        </w:rPr>
      </w:pPr>
      <w:r w:rsidRPr="00AA6144">
        <w:rPr>
          <w:color w:val="auto"/>
          <w:lang w:val="en-CA"/>
        </w:rPr>
        <w:t xml:space="preserve">Pursuant to the </w:t>
      </w:r>
      <w:r w:rsidRPr="00AA6144">
        <w:rPr>
          <w:i/>
          <w:color w:val="auto"/>
          <w:lang w:val="en-CA"/>
        </w:rPr>
        <w:t>Extradition Act</w:t>
      </w:r>
      <w:r w:rsidRPr="00AA6144">
        <w:rPr>
          <w:color w:val="auto"/>
          <w:lang w:val="en-CA"/>
        </w:rPr>
        <w:t xml:space="preserve">, upon receiving a request for extradition from an extradition partner for the provisional arrest of a person, a Canadian judge may issue a warrant for the provisional arrest of a person </w:t>
      </w:r>
      <w:r w:rsidR="00A57ECD" w:rsidRPr="00AA6144">
        <w:rPr>
          <w:color w:val="auto"/>
          <w:lang w:val="en-CA"/>
        </w:rPr>
        <w:t>who is ordinarily resident in Canada, is in Canada or is on the way to Canada.</w:t>
      </w:r>
      <w:bookmarkStart w:id="148" w:name="_Ref267054270"/>
      <w:r w:rsidR="00CE20F1" w:rsidRPr="00AA6144">
        <w:rPr>
          <w:rStyle w:val="FootnoteReference"/>
          <w:color w:val="auto"/>
          <w:lang w:val="en-CA"/>
        </w:rPr>
        <w:footnoteReference w:id="376"/>
      </w:r>
      <w:bookmarkEnd w:id="148"/>
      <w:r w:rsidR="00A57ECD" w:rsidRPr="00AA6144">
        <w:rPr>
          <w:color w:val="auto"/>
          <w:lang w:val="en-CA"/>
        </w:rPr>
        <w:t xml:space="preserve"> This section of the </w:t>
      </w:r>
      <w:r w:rsidR="00A57ECD" w:rsidRPr="00AA6144">
        <w:rPr>
          <w:i/>
          <w:color w:val="auto"/>
          <w:lang w:val="en-CA"/>
        </w:rPr>
        <w:t>Extradition Act</w:t>
      </w:r>
      <w:r w:rsidR="00A57ECD" w:rsidRPr="00AA6144">
        <w:rPr>
          <w:color w:val="auto"/>
          <w:lang w:val="en-CA"/>
        </w:rPr>
        <w:t xml:space="preserve"> contemplates that a person need not be present in Canada in order for an extradition request to be made and the extradition process to be triggered.</w:t>
      </w:r>
    </w:p>
    <w:p w14:paraId="1AB96A2D" w14:textId="77777777" w:rsidR="00345040" w:rsidRPr="00AA6144" w:rsidRDefault="00352BCC" w:rsidP="00A57ECD">
      <w:pPr>
        <w:pStyle w:val="AIBodyText"/>
        <w:rPr>
          <w:color w:val="auto"/>
          <w:lang w:val="en-CA"/>
        </w:rPr>
      </w:pPr>
      <w:r w:rsidRPr="00AA6144">
        <w:rPr>
          <w:color w:val="auto"/>
          <w:lang w:val="en-CA"/>
        </w:rPr>
        <w:t>The</w:t>
      </w:r>
      <w:r w:rsidR="003351B8" w:rsidRPr="00AA6144">
        <w:rPr>
          <w:color w:val="auto"/>
          <w:lang w:val="en-CA"/>
        </w:rPr>
        <w:t xml:space="preserve"> person sought is required to attend the </w:t>
      </w:r>
      <w:r w:rsidR="00925A75" w:rsidRPr="00AA6144">
        <w:rPr>
          <w:color w:val="auto"/>
          <w:lang w:val="en-CA"/>
        </w:rPr>
        <w:t>committal</w:t>
      </w:r>
      <w:r w:rsidRPr="00AA6144">
        <w:rPr>
          <w:color w:val="auto"/>
          <w:lang w:val="en-CA"/>
        </w:rPr>
        <w:t xml:space="preserve"> hearing</w:t>
      </w:r>
      <w:r w:rsidR="00F60C01" w:rsidRPr="00AA6144">
        <w:rPr>
          <w:color w:val="auto"/>
          <w:lang w:val="en-CA"/>
        </w:rPr>
        <w:t xml:space="preserve">. </w:t>
      </w:r>
      <w:r w:rsidR="00753F4B" w:rsidRPr="00AA6144">
        <w:rPr>
          <w:color w:val="auto"/>
          <w:lang w:val="en-CA"/>
        </w:rPr>
        <w:t xml:space="preserve">As will be explained below in </w:t>
      </w:r>
      <w:r w:rsidR="00297FDA" w:rsidRPr="00AA6144">
        <w:rPr>
          <w:color w:val="auto"/>
          <w:lang w:val="en-CA"/>
        </w:rPr>
        <w:t>S</w:t>
      </w:r>
      <w:r w:rsidR="00753F4B" w:rsidRPr="00AA6144">
        <w:rPr>
          <w:color w:val="auto"/>
          <w:lang w:val="en-CA"/>
        </w:rPr>
        <w:t xml:space="preserve">ection </w:t>
      </w:r>
      <w:r w:rsidR="00FA5FDC" w:rsidRPr="00AA6144">
        <w:rPr>
          <w:color w:val="auto"/>
          <w:lang w:val="en-CA"/>
        </w:rPr>
        <w:t>7.1,</w:t>
      </w:r>
      <w:r w:rsidR="00753F4B" w:rsidRPr="00AA6144">
        <w:rPr>
          <w:color w:val="auto"/>
          <w:lang w:val="en-CA"/>
        </w:rPr>
        <w:t xml:space="preserve"> </w:t>
      </w:r>
      <w:r w:rsidR="00254A4D" w:rsidRPr="00AA6144">
        <w:rPr>
          <w:color w:val="auto"/>
          <w:lang w:val="en-CA"/>
        </w:rPr>
        <w:t>at the extradition hearing stage, the judge is tasked with determining, amongst other things</w:t>
      </w:r>
      <w:r w:rsidR="00566D3B" w:rsidRPr="00AA6144">
        <w:rPr>
          <w:color w:val="auto"/>
          <w:lang w:val="en-CA"/>
        </w:rPr>
        <w:t>,</w:t>
      </w:r>
      <w:r w:rsidR="00254A4D" w:rsidRPr="00AA6144">
        <w:rPr>
          <w:color w:val="auto"/>
          <w:lang w:val="en-CA"/>
        </w:rPr>
        <w:t xml:space="preserve"> whether the person sought is in fact the person before the court in the hearing.</w:t>
      </w:r>
      <w:r w:rsidR="00345040" w:rsidRPr="00AA6144">
        <w:rPr>
          <w:color w:val="auto"/>
          <w:lang w:val="en-CA"/>
        </w:rPr>
        <w:t>.</w:t>
      </w:r>
      <w:bookmarkStart w:id="149" w:name="_Ref267055074"/>
      <w:r w:rsidR="00345040" w:rsidRPr="00AA6144">
        <w:rPr>
          <w:color w:val="auto"/>
          <w:vertAlign w:val="superscript"/>
          <w:lang w:val="en-CA"/>
        </w:rPr>
        <w:footnoteReference w:id="377"/>
      </w:r>
      <w:bookmarkEnd w:id="149"/>
      <w:r w:rsidR="00345040" w:rsidRPr="00AA6144">
        <w:rPr>
          <w:color w:val="auto"/>
          <w:lang w:val="en-CA"/>
        </w:rPr>
        <w:t xml:space="preserve"> Therefore, the presence of the person is necessary</w:t>
      </w:r>
      <w:r w:rsidR="005B632E" w:rsidRPr="00AA6144">
        <w:rPr>
          <w:color w:val="auto"/>
          <w:lang w:val="en-CA"/>
        </w:rPr>
        <w:t xml:space="preserve"> at</w:t>
      </w:r>
      <w:r w:rsidR="005D3F82" w:rsidRPr="00AA6144">
        <w:rPr>
          <w:color w:val="auto"/>
          <w:lang w:val="en-CA"/>
        </w:rPr>
        <w:t xml:space="preserve"> the committal hearing </w:t>
      </w:r>
      <w:r w:rsidR="005B632E" w:rsidRPr="00AA6144">
        <w:rPr>
          <w:color w:val="auto"/>
          <w:lang w:val="en-CA"/>
        </w:rPr>
        <w:t>of the extradition process</w:t>
      </w:r>
      <w:r w:rsidR="002628B4" w:rsidRPr="00AA6144">
        <w:rPr>
          <w:color w:val="auto"/>
          <w:lang w:val="en-CA"/>
        </w:rPr>
        <w:t>.</w:t>
      </w:r>
      <w:r w:rsidR="00345040" w:rsidRPr="00AA6144">
        <w:rPr>
          <w:color w:val="auto"/>
          <w:lang w:val="en-CA"/>
        </w:rPr>
        <w:t xml:space="preserve"> </w:t>
      </w:r>
    </w:p>
    <w:p w14:paraId="562B0E6C" w14:textId="77777777" w:rsidR="001E2002" w:rsidRPr="00AA6144" w:rsidRDefault="001E2002" w:rsidP="00DF338C">
      <w:pPr>
        <w:pStyle w:val="Heading2"/>
        <w:rPr>
          <w:color w:val="auto"/>
          <w:lang w:val="en-CA"/>
        </w:rPr>
      </w:pPr>
      <w:bookmarkStart w:id="150" w:name="_Toc43382752"/>
      <w:r w:rsidRPr="00AA6144">
        <w:rPr>
          <w:color w:val="auto"/>
          <w:lang w:val="en-CA"/>
        </w:rPr>
        <w:t>6.3. Statutes of limitation</w:t>
      </w:r>
      <w:r w:rsidR="00961161" w:rsidRPr="00AA6144">
        <w:rPr>
          <w:color w:val="auto"/>
          <w:lang w:val="en-CA"/>
        </w:rPr>
        <w:t>s</w:t>
      </w:r>
      <w:r w:rsidRPr="00AA6144">
        <w:rPr>
          <w:color w:val="auto"/>
          <w:lang w:val="en-CA"/>
        </w:rPr>
        <w:t xml:space="preserve"> applicable to crimes under </w:t>
      </w:r>
      <w:bookmarkStart w:id="151" w:name="_Toc227769926"/>
      <w:r w:rsidRPr="00AA6144">
        <w:rPr>
          <w:color w:val="auto"/>
          <w:lang w:val="en-CA"/>
        </w:rPr>
        <w:t>international law</w:t>
      </w:r>
      <w:bookmarkEnd w:id="150"/>
      <w:bookmarkEnd w:id="151"/>
    </w:p>
    <w:p w14:paraId="4CD5296A" w14:textId="77777777" w:rsidR="00092514" w:rsidRPr="00AA6144" w:rsidRDefault="00092514" w:rsidP="00DF338C">
      <w:pPr>
        <w:spacing w:after="0"/>
        <w:rPr>
          <w:color w:val="auto"/>
          <w:lang w:val="en-CA"/>
        </w:rPr>
      </w:pPr>
    </w:p>
    <w:p w14:paraId="28A29BBB" w14:textId="77777777" w:rsidR="001E2002" w:rsidRPr="00AA6144" w:rsidRDefault="001E2002" w:rsidP="00A512B2">
      <w:pPr>
        <w:pStyle w:val="AIBodyText"/>
        <w:rPr>
          <w:color w:val="auto"/>
          <w:lang w:val="en-CA"/>
        </w:rPr>
      </w:pPr>
      <w:r w:rsidRPr="00AA6144">
        <w:rPr>
          <w:color w:val="auto"/>
          <w:lang w:val="en-CA"/>
        </w:rPr>
        <w:t xml:space="preserve">Statutes of limitations </w:t>
      </w:r>
      <w:r w:rsidR="001C6F76" w:rsidRPr="00AA6144">
        <w:rPr>
          <w:color w:val="auto"/>
          <w:lang w:val="en-CA"/>
        </w:rPr>
        <w:t>in Canadian law do not apply</w:t>
      </w:r>
      <w:r w:rsidRPr="00AA6144">
        <w:rPr>
          <w:color w:val="auto"/>
          <w:lang w:val="en-CA"/>
        </w:rPr>
        <w:t xml:space="preserve"> to cr</w:t>
      </w:r>
      <w:r w:rsidR="001C6F76" w:rsidRPr="00AA6144">
        <w:rPr>
          <w:color w:val="auto"/>
          <w:lang w:val="en-CA"/>
        </w:rPr>
        <w:t xml:space="preserve">imes under international </w:t>
      </w:r>
      <w:proofErr w:type="gramStart"/>
      <w:r w:rsidR="001C6F76" w:rsidRPr="00AA6144">
        <w:rPr>
          <w:color w:val="auto"/>
          <w:lang w:val="en-CA"/>
        </w:rPr>
        <w:t>law, but</w:t>
      </w:r>
      <w:proofErr w:type="gramEnd"/>
      <w:r w:rsidR="001C6F76" w:rsidRPr="00AA6144">
        <w:rPr>
          <w:color w:val="auto"/>
          <w:lang w:val="en-CA"/>
        </w:rPr>
        <w:t xml:space="preserve"> do apply</w:t>
      </w:r>
      <w:r w:rsidRPr="00AA6144">
        <w:rPr>
          <w:color w:val="auto"/>
          <w:lang w:val="en-CA"/>
        </w:rPr>
        <w:t xml:space="preserve"> to civil claims in civil proceedings.</w:t>
      </w:r>
    </w:p>
    <w:p w14:paraId="013D0EB5" w14:textId="77777777" w:rsidR="001E2002" w:rsidRPr="00AA6144" w:rsidRDefault="001E2002" w:rsidP="00A512B2">
      <w:pPr>
        <w:pStyle w:val="AIBodyText"/>
        <w:rPr>
          <w:color w:val="auto"/>
          <w:lang w:val="en-CA"/>
        </w:rPr>
      </w:pPr>
      <w:r w:rsidRPr="00AA6144">
        <w:rPr>
          <w:color w:val="auto"/>
          <w:lang w:val="en-CA"/>
        </w:rPr>
        <w:t xml:space="preserve">Statutes of limitations applicable to crimes  </w:t>
      </w:r>
    </w:p>
    <w:p w14:paraId="1E69EAF5" w14:textId="77777777" w:rsidR="00452B81" w:rsidRPr="00AA6144" w:rsidRDefault="001C6F76" w:rsidP="001C6F76">
      <w:pPr>
        <w:pStyle w:val="AIBodyText"/>
        <w:rPr>
          <w:bCs/>
          <w:color w:val="auto"/>
          <w:lang w:val="en-CA"/>
        </w:rPr>
      </w:pPr>
      <w:r w:rsidRPr="00AA6144">
        <w:rPr>
          <w:color w:val="auto"/>
          <w:lang w:val="en-CA"/>
        </w:rPr>
        <w:t>Canada has neither signed nor ratified the 1968 Convention on the Non-Applicability of Statutory Limitations for War Crimes and Crimes against Humanity</w:t>
      </w:r>
      <w:r w:rsidR="00151E4C" w:rsidRPr="00AA6144">
        <w:rPr>
          <w:color w:val="auto"/>
          <w:lang w:val="en-CA"/>
        </w:rPr>
        <w:t>.</w:t>
      </w:r>
      <w:r w:rsidRPr="00AA6144">
        <w:rPr>
          <w:color w:val="auto"/>
          <w:vertAlign w:val="superscript"/>
          <w:lang w:val="en-CA"/>
        </w:rPr>
        <w:footnoteReference w:id="378"/>
      </w:r>
      <w:r w:rsidRPr="00AA6144">
        <w:rPr>
          <w:color w:val="auto"/>
          <w:lang w:val="en-CA"/>
        </w:rPr>
        <w:t xml:space="preserve"> </w:t>
      </w:r>
      <w:r w:rsidR="00151E4C" w:rsidRPr="00AA6144">
        <w:rPr>
          <w:color w:val="auto"/>
          <w:lang w:val="en-CA"/>
        </w:rPr>
        <w:t>However, article 29</w:t>
      </w:r>
      <w:r w:rsidR="00092514" w:rsidRPr="00AA6144">
        <w:rPr>
          <w:color w:val="auto"/>
          <w:lang w:val="en-CA"/>
        </w:rPr>
        <w:t xml:space="preserve"> of the Rome Statute </w:t>
      </w:r>
      <w:r w:rsidR="00151E4C" w:rsidRPr="00AA6144">
        <w:rPr>
          <w:color w:val="auto"/>
          <w:lang w:val="en-CA"/>
        </w:rPr>
        <w:t xml:space="preserve">stipulates that crimes within the jurisdiction of the </w:t>
      </w:r>
      <w:r w:rsidR="003249EA" w:rsidRPr="00AA6144">
        <w:rPr>
          <w:color w:val="auto"/>
          <w:lang w:val="en-CA"/>
        </w:rPr>
        <w:t>C</w:t>
      </w:r>
      <w:r w:rsidR="00151E4C" w:rsidRPr="00AA6144">
        <w:rPr>
          <w:color w:val="auto"/>
          <w:lang w:val="en-CA"/>
        </w:rPr>
        <w:t>ourt shall not be subject to a statute of limitations.</w:t>
      </w:r>
      <w:r w:rsidRPr="00AA6144">
        <w:rPr>
          <w:color w:val="auto"/>
          <w:vertAlign w:val="superscript"/>
          <w:lang w:val="en-CA"/>
        </w:rPr>
        <w:footnoteReference w:id="379"/>
      </w:r>
      <w:r w:rsidRPr="00AA6144">
        <w:rPr>
          <w:color w:val="auto"/>
          <w:lang w:val="en-CA"/>
        </w:rPr>
        <w:t xml:space="preserve"> Independent</w:t>
      </w:r>
      <w:r w:rsidR="00DD42A7" w:rsidRPr="00AA6144">
        <w:rPr>
          <w:color w:val="auto"/>
          <w:lang w:val="en-CA"/>
        </w:rPr>
        <w:t xml:space="preserve"> of</w:t>
      </w:r>
      <w:r w:rsidRPr="00AA6144">
        <w:rPr>
          <w:color w:val="auto"/>
          <w:lang w:val="en-CA"/>
        </w:rPr>
        <w:t xml:space="preserve"> conventional international law, states must not apply statutes of limitation to crimes under international law.</w:t>
      </w:r>
      <w:bookmarkStart w:id="152" w:name="_Ref267054697"/>
      <w:r w:rsidRPr="00AA6144">
        <w:rPr>
          <w:color w:val="auto"/>
          <w:vertAlign w:val="superscript"/>
          <w:lang w:val="en-CA"/>
        </w:rPr>
        <w:footnoteReference w:id="380"/>
      </w:r>
      <w:bookmarkEnd w:id="152"/>
      <w:r w:rsidRPr="00AA6144">
        <w:rPr>
          <w:color w:val="auto"/>
          <w:lang w:val="en-CA"/>
        </w:rPr>
        <w:t xml:space="preserve"> </w:t>
      </w:r>
      <w:r w:rsidRPr="00AA6144">
        <w:rPr>
          <w:bCs/>
          <w:color w:val="auto"/>
          <w:lang w:val="en-CA"/>
        </w:rPr>
        <w:t xml:space="preserve"> </w:t>
      </w:r>
      <w:r w:rsidR="00452B81" w:rsidRPr="00AA6144">
        <w:rPr>
          <w:bCs/>
          <w:color w:val="auto"/>
          <w:lang w:val="en-CA"/>
        </w:rPr>
        <w:t xml:space="preserve">In general, there are no limitation periods in Canadian criminal law. In </w:t>
      </w:r>
      <w:r w:rsidR="00452B81" w:rsidRPr="00AA6144">
        <w:rPr>
          <w:bCs/>
          <w:i/>
          <w:color w:val="auto"/>
          <w:lang w:val="en-CA"/>
        </w:rPr>
        <w:t>R v L. (W.K.),</w:t>
      </w:r>
      <w:r w:rsidR="00452B81" w:rsidRPr="00AA6144">
        <w:rPr>
          <w:bCs/>
          <w:color w:val="auto"/>
          <w:lang w:val="en-CA"/>
        </w:rPr>
        <w:t xml:space="preserve"> the Supreme Court of Canada stated that “staying proceedings based on the mere passage of time would be the equivalent of imposing a judicially created limitation period for a criminal offence.”</w:t>
      </w:r>
      <w:r w:rsidR="00452B81" w:rsidRPr="00AA6144">
        <w:rPr>
          <w:bCs/>
          <w:color w:val="auto"/>
          <w:vertAlign w:val="superscript"/>
          <w:lang w:val="en-CA"/>
        </w:rPr>
        <w:footnoteReference w:id="381"/>
      </w:r>
      <w:r w:rsidR="00452B81" w:rsidRPr="00AA6144">
        <w:rPr>
          <w:bCs/>
          <w:color w:val="auto"/>
          <w:lang w:val="en-CA"/>
        </w:rPr>
        <w:t xml:space="preserve"> One exception</w:t>
      </w:r>
      <w:r w:rsidR="002D6E5A" w:rsidRPr="00AA6144">
        <w:rPr>
          <w:bCs/>
          <w:color w:val="auto"/>
          <w:lang w:val="en-CA"/>
        </w:rPr>
        <w:t>, however,</w:t>
      </w:r>
      <w:r w:rsidR="00452B81" w:rsidRPr="00AA6144">
        <w:rPr>
          <w:bCs/>
          <w:color w:val="auto"/>
          <w:lang w:val="en-CA"/>
        </w:rPr>
        <w:t xml:space="preserve"> can be found at section 48(1) of the </w:t>
      </w:r>
      <w:r w:rsidR="00452B81" w:rsidRPr="00AA6144">
        <w:rPr>
          <w:bCs/>
          <w:i/>
          <w:color w:val="auto"/>
          <w:lang w:val="en-CA"/>
        </w:rPr>
        <w:t>Criminal Code</w:t>
      </w:r>
      <w:r w:rsidR="00822A07" w:rsidRPr="00AA6144">
        <w:rPr>
          <w:bCs/>
          <w:color w:val="auto"/>
          <w:lang w:val="en-CA"/>
        </w:rPr>
        <w:t>, which provides that</w:t>
      </w:r>
      <w:r w:rsidR="00452B81" w:rsidRPr="00AA6144">
        <w:rPr>
          <w:bCs/>
          <w:color w:val="auto"/>
          <w:lang w:val="en-CA"/>
        </w:rPr>
        <w:t xml:space="preserve"> “no proceedings for an offence of treason as defined by paragraph 46(2)(a) shall be commenced more than three years after the time when the offence is alleged to have been committed.”</w:t>
      </w:r>
      <w:r w:rsidR="000A6FE7" w:rsidRPr="00AA6144">
        <w:rPr>
          <w:rStyle w:val="FootnoteReference"/>
          <w:bCs/>
          <w:color w:val="auto"/>
          <w:lang w:val="en-CA"/>
        </w:rPr>
        <w:footnoteReference w:id="382"/>
      </w:r>
    </w:p>
    <w:p w14:paraId="60676B21" w14:textId="77777777" w:rsidR="001E2002" w:rsidRPr="00AA6144" w:rsidRDefault="001E2002" w:rsidP="00A512B2">
      <w:pPr>
        <w:pStyle w:val="AIBodyText"/>
        <w:rPr>
          <w:color w:val="auto"/>
          <w:lang w:val="en-CA"/>
        </w:rPr>
      </w:pPr>
      <w:r w:rsidRPr="00AA6144">
        <w:rPr>
          <w:color w:val="auto"/>
          <w:lang w:val="en-CA"/>
        </w:rPr>
        <w:t xml:space="preserve">Statutes of limitation applicable to torts  </w:t>
      </w:r>
    </w:p>
    <w:p w14:paraId="7A85CA2E" w14:textId="77777777" w:rsidR="006062F8" w:rsidRPr="00AA6144" w:rsidRDefault="006062F8" w:rsidP="006062F8">
      <w:pPr>
        <w:pStyle w:val="AIBodyText"/>
        <w:spacing w:line="240" w:lineRule="auto"/>
        <w:rPr>
          <w:color w:val="auto"/>
          <w:lang w:val="en-CA"/>
        </w:rPr>
      </w:pPr>
      <w:r w:rsidRPr="00AA6144">
        <w:rPr>
          <w:color w:val="auto"/>
          <w:lang w:val="en-CA"/>
        </w:rPr>
        <w:t xml:space="preserve">Under Canada’s federalist distribution of power, civil liability falls within provincial jurisdiction. Accordingly, each province sets varying statutory limitations for personal civil liability. </w:t>
      </w:r>
    </w:p>
    <w:p w14:paraId="79AA5286" w14:textId="77777777" w:rsidR="006062F8" w:rsidRPr="00AA6144" w:rsidRDefault="006062F8" w:rsidP="006062F8">
      <w:pPr>
        <w:pStyle w:val="AIBodyText"/>
        <w:spacing w:line="240" w:lineRule="auto"/>
        <w:rPr>
          <w:color w:val="auto"/>
          <w:lang w:val="en-CA"/>
        </w:rPr>
      </w:pPr>
      <w:r w:rsidRPr="00AA6144">
        <w:rPr>
          <w:color w:val="auto"/>
          <w:lang w:val="en-CA"/>
        </w:rPr>
        <w:t xml:space="preserve">In Ontario, the </w:t>
      </w:r>
      <w:r w:rsidRPr="00AA6144">
        <w:rPr>
          <w:i/>
          <w:color w:val="auto"/>
          <w:lang w:val="en-CA"/>
        </w:rPr>
        <w:t>Limitations Act</w:t>
      </w:r>
      <w:r w:rsidRPr="00AA6144">
        <w:rPr>
          <w:color w:val="auto"/>
          <w:lang w:val="en-CA"/>
        </w:rPr>
        <w:t xml:space="preserve"> provides that a proceeding shall commence within two years of the claim having been discovered (see section 4). However, section 10 </w:t>
      </w:r>
      <w:r w:rsidR="00822A07" w:rsidRPr="00AA6144">
        <w:rPr>
          <w:color w:val="auto"/>
          <w:lang w:val="en-CA"/>
        </w:rPr>
        <w:t xml:space="preserve">of the Act </w:t>
      </w:r>
      <w:r w:rsidRPr="00AA6144">
        <w:rPr>
          <w:color w:val="auto"/>
          <w:lang w:val="en-CA"/>
        </w:rPr>
        <w:t>exempts instances of assault or sexual assault from this two-year limitation period in cases where the individual is incapable of commencing the proceedings due to physical, mental, or psychological condition. In addition, section 15 provides for an ultimate limitation period of 15 years f</w:t>
      </w:r>
      <w:r w:rsidR="0055673E" w:rsidRPr="00AA6144">
        <w:rPr>
          <w:color w:val="auto"/>
          <w:lang w:val="en-CA"/>
        </w:rPr>
        <w:t>rom the date on which the act or</w:t>
      </w:r>
      <w:r w:rsidRPr="00AA6144">
        <w:rPr>
          <w:color w:val="auto"/>
          <w:lang w:val="en-CA"/>
        </w:rPr>
        <w:t xml:space="preserve"> omission giving rise to the claim occurred. Section 16 further provides a list of instances to which no limitation period applies.</w:t>
      </w:r>
    </w:p>
    <w:p w14:paraId="162CDCC9" w14:textId="77777777" w:rsidR="006062F8" w:rsidRPr="00AA6144" w:rsidRDefault="006062F8" w:rsidP="006062F8">
      <w:pPr>
        <w:pStyle w:val="AIBodyText"/>
        <w:spacing w:line="240" w:lineRule="auto"/>
        <w:rPr>
          <w:color w:val="auto"/>
          <w:lang w:val="en-CA"/>
        </w:rPr>
      </w:pPr>
      <w:r w:rsidRPr="00AA6144">
        <w:rPr>
          <w:color w:val="auto"/>
          <w:lang w:val="en-CA"/>
        </w:rPr>
        <w:t xml:space="preserve">In principle, the limitation period cannot be suspended or varied pursuant to any agreement (see section 22(1)). However, it may be suspended or extended by an agreement made on or after October 19, 2006 (see section 22(3)) </w:t>
      </w:r>
      <w:proofErr w:type="gramStart"/>
      <w:r w:rsidRPr="00AA6144">
        <w:rPr>
          <w:color w:val="auto"/>
          <w:lang w:val="en-CA"/>
        </w:rPr>
        <w:t>provided that</w:t>
      </w:r>
      <w:proofErr w:type="gramEnd"/>
      <w:r w:rsidRPr="00AA6144">
        <w:rPr>
          <w:color w:val="auto"/>
          <w:lang w:val="en-CA"/>
        </w:rPr>
        <w:t xml:space="preserve"> it was not established under section 15.</w:t>
      </w:r>
    </w:p>
    <w:p w14:paraId="521ED978" w14:textId="77777777" w:rsidR="006062F8" w:rsidRPr="00AA6144" w:rsidRDefault="006062F8" w:rsidP="006062F8">
      <w:pPr>
        <w:pStyle w:val="AIBodyText"/>
        <w:spacing w:line="240" w:lineRule="auto"/>
        <w:rPr>
          <w:color w:val="auto"/>
          <w:lang w:val="en-CA"/>
        </w:rPr>
      </w:pPr>
      <w:r w:rsidRPr="00AA6144">
        <w:rPr>
          <w:color w:val="auto"/>
          <w:lang w:val="en-CA"/>
        </w:rPr>
        <w:t xml:space="preserve">In Quebec, section 2922 of the </w:t>
      </w:r>
      <w:r w:rsidRPr="00AA6144">
        <w:rPr>
          <w:i/>
          <w:color w:val="auto"/>
          <w:lang w:val="en-CA"/>
        </w:rPr>
        <w:t>Civil Code of Quebec</w:t>
      </w:r>
      <w:r w:rsidRPr="00AA6144">
        <w:rPr>
          <w:color w:val="auto"/>
          <w:lang w:val="en-CA"/>
        </w:rPr>
        <w:t xml:space="preserve"> states that “[t]he period for extinctive prescription is 10 years, except as otherwise fixed by law.” This period may be suspended pursuant to section 2904 “against persons if it is impossible in fact for them to act by themselves or to be represented by others.” Sections 290</w:t>
      </w:r>
      <w:r w:rsidR="0055673E" w:rsidRPr="00AA6144">
        <w:rPr>
          <w:color w:val="auto"/>
          <w:lang w:val="en-CA"/>
        </w:rPr>
        <w:t>5</w:t>
      </w:r>
      <w:r w:rsidRPr="00AA6144">
        <w:rPr>
          <w:color w:val="auto"/>
          <w:lang w:val="en-CA"/>
        </w:rPr>
        <w:t xml:space="preserve"> to</w:t>
      </w:r>
      <w:r w:rsidR="00D738A2" w:rsidRPr="00AA6144">
        <w:rPr>
          <w:color w:val="auto"/>
          <w:lang w:val="en-CA"/>
        </w:rPr>
        <w:t xml:space="preserve"> 2909</w:t>
      </w:r>
      <w:r w:rsidRPr="00AA6144">
        <w:rPr>
          <w:color w:val="auto"/>
          <w:lang w:val="en-CA"/>
        </w:rPr>
        <w:t xml:space="preserve"> further set out the relevant circumstances to which the limitation period does not apply.</w:t>
      </w:r>
    </w:p>
    <w:p w14:paraId="0489B141" w14:textId="77777777" w:rsidR="00786FF1" w:rsidRPr="00AA6144" w:rsidRDefault="006A423C" w:rsidP="006062F8">
      <w:pPr>
        <w:pStyle w:val="AIBodyText"/>
        <w:spacing w:line="240" w:lineRule="auto"/>
        <w:rPr>
          <w:color w:val="auto"/>
          <w:lang w:val="en-CA"/>
        </w:rPr>
      </w:pPr>
      <w:r w:rsidRPr="00AA6144">
        <w:rPr>
          <w:color w:val="auto"/>
          <w:lang w:val="en-CA"/>
        </w:rPr>
        <w:t>Alberta’s limitation period is very strict</w:t>
      </w:r>
      <w:r w:rsidR="00671B4D" w:rsidRPr="00AA6144">
        <w:rPr>
          <w:color w:val="auto"/>
          <w:lang w:val="en-CA"/>
        </w:rPr>
        <w:t>.</w:t>
      </w:r>
      <w:r w:rsidR="00BE7332" w:rsidRPr="00AA6144">
        <w:rPr>
          <w:color w:val="auto"/>
          <w:lang w:val="en-CA"/>
        </w:rPr>
        <w:t xml:space="preserve"> Pursuant to section 3(1)</w:t>
      </w:r>
      <w:r w:rsidR="00F21BC8" w:rsidRPr="00AA6144">
        <w:rPr>
          <w:color w:val="auto"/>
          <w:lang w:val="en-CA"/>
        </w:rPr>
        <w:t xml:space="preserve"> of the </w:t>
      </w:r>
      <w:r w:rsidR="00F21BC8" w:rsidRPr="00AA6144">
        <w:rPr>
          <w:i/>
          <w:color w:val="auto"/>
          <w:lang w:val="en-CA"/>
        </w:rPr>
        <w:t>Limitations Act</w:t>
      </w:r>
      <w:r w:rsidR="00BE7332" w:rsidRPr="00AA6144">
        <w:rPr>
          <w:color w:val="auto"/>
          <w:lang w:val="en-CA"/>
        </w:rPr>
        <w:t>,</w:t>
      </w:r>
      <w:r w:rsidR="00F21BC8" w:rsidRPr="00AA6144">
        <w:rPr>
          <w:rStyle w:val="FootnoteReference"/>
          <w:color w:val="auto"/>
          <w:lang w:val="en-CA"/>
        </w:rPr>
        <w:t xml:space="preserve"> </w:t>
      </w:r>
      <w:r w:rsidR="00F21BC8" w:rsidRPr="00AA6144">
        <w:rPr>
          <w:rStyle w:val="FootnoteReference"/>
          <w:color w:val="auto"/>
          <w:lang w:val="en-CA"/>
        </w:rPr>
        <w:footnoteReference w:id="383"/>
      </w:r>
      <w:r w:rsidR="00F21BC8" w:rsidRPr="00AA6144">
        <w:rPr>
          <w:color w:val="auto"/>
          <w:lang w:val="en-CA"/>
        </w:rPr>
        <w:t xml:space="preserve"> </w:t>
      </w:r>
      <w:r w:rsidR="00BE7332" w:rsidRPr="00AA6144">
        <w:rPr>
          <w:color w:val="auto"/>
          <w:lang w:val="en-CA"/>
        </w:rPr>
        <w:t xml:space="preserve"> a defendant is entitled to immunity from </w:t>
      </w:r>
      <w:r w:rsidR="006D33DC" w:rsidRPr="00AA6144">
        <w:rPr>
          <w:color w:val="auto"/>
          <w:lang w:val="en-CA"/>
        </w:rPr>
        <w:t>liability if a claimant does not seek a remedial order within</w:t>
      </w:r>
      <w:r w:rsidR="00F21BC8" w:rsidRPr="00AA6144">
        <w:rPr>
          <w:color w:val="auto"/>
          <w:lang w:val="en-CA"/>
        </w:rPr>
        <w:t>:</w:t>
      </w:r>
    </w:p>
    <w:p w14:paraId="3161CA3B" w14:textId="77777777" w:rsidR="006A423C" w:rsidRPr="00AA6144" w:rsidRDefault="00786FF1" w:rsidP="00FA5FDC">
      <w:pPr>
        <w:pStyle w:val="AIBodyText"/>
        <w:spacing w:line="240" w:lineRule="auto"/>
        <w:ind w:left="357"/>
        <w:rPr>
          <w:color w:val="auto"/>
          <w:lang w:val="en-CA"/>
        </w:rPr>
      </w:pPr>
      <w:r w:rsidRPr="00AA6144">
        <w:rPr>
          <w:color w:val="auto"/>
          <w:lang w:val="en-CA"/>
        </w:rPr>
        <w:t>(a) 2 years after the date on which the claimant first knew, or in the circumstances ought to have known,</w:t>
      </w:r>
    </w:p>
    <w:p w14:paraId="0F97F514" w14:textId="77777777" w:rsidR="00786FF1" w:rsidRPr="00AA6144" w:rsidRDefault="00786FF1" w:rsidP="00FA5FDC">
      <w:pPr>
        <w:pStyle w:val="AIBodyText"/>
        <w:spacing w:line="240" w:lineRule="auto"/>
        <w:ind w:left="709"/>
        <w:rPr>
          <w:color w:val="auto"/>
          <w:lang w:val="en-CA"/>
        </w:rPr>
      </w:pPr>
      <w:r w:rsidRPr="00AA6144">
        <w:rPr>
          <w:color w:val="auto"/>
          <w:lang w:val="en-CA"/>
        </w:rPr>
        <w:tab/>
        <w:t>(</w:t>
      </w:r>
      <w:proofErr w:type="spellStart"/>
      <w:r w:rsidRPr="00AA6144">
        <w:rPr>
          <w:color w:val="auto"/>
          <w:lang w:val="en-CA"/>
        </w:rPr>
        <w:t>i</w:t>
      </w:r>
      <w:proofErr w:type="spellEnd"/>
      <w:r w:rsidRPr="00AA6144">
        <w:rPr>
          <w:color w:val="auto"/>
          <w:lang w:val="en-CA"/>
        </w:rPr>
        <w:t>) that the injury for which the claimant seeks a remedial order had occurred,</w:t>
      </w:r>
      <w:r w:rsidRPr="00AA6144">
        <w:rPr>
          <w:color w:val="auto"/>
          <w:lang w:val="en-CA"/>
        </w:rPr>
        <w:br/>
      </w:r>
      <w:r w:rsidRPr="00AA6144">
        <w:rPr>
          <w:color w:val="auto"/>
          <w:lang w:val="en-CA"/>
        </w:rPr>
        <w:tab/>
        <w:t>(ii) that the injury was attributable to conduct of the defendant, and</w:t>
      </w:r>
      <w:r w:rsidRPr="00AA6144">
        <w:rPr>
          <w:color w:val="auto"/>
          <w:lang w:val="en-CA"/>
        </w:rPr>
        <w:br/>
      </w:r>
      <w:r w:rsidRPr="00AA6144">
        <w:rPr>
          <w:color w:val="auto"/>
          <w:lang w:val="en-CA"/>
        </w:rPr>
        <w:tab/>
        <w:t xml:space="preserve">(iii) that the injury, assuming liability on the part of the defendant, warrants bringing a </w:t>
      </w:r>
      <w:r w:rsidRPr="00AA6144">
        <w:rPr>
          <w:color w:val="auto"/>
          <w:lang w:val="en-CA"/>
        </w:rPr>
        <w:br/>
        <w:t>proceeding; or</w:t>
      </w:r>
    </w:p>
    <w:p w14:paraId="53A1CA38" w14:textId="77777777" w:rsidR="00786FF1" w:rsidRPr="00AA6144" w:rsidRDefault="00786FF1" w:rsidP="00786FF1">
      <w:pPr>
        <w:pStyle w:val="AIBodyText"/>
        <w:spacing w:line="240" w:lineRule="auto"/>
        <w:rPr>
          <w:color w:val="auto"/>
          <w:lang w:val="en-CA"/>
        </w:rPr>
      </w:pPr>
      <w:r w:rsidRPr="00AA6144">
        <w:rPr>
          <w:color w:val="auto"/>
          <w:lang w:val="en-CA"/>
        </w:rPr>
        <w:tab/>
        <w:t>(b) 10 years after the claim arose.</w:t>
      </w:r>
      <w:r w:rsidR="00D336BC" w:rsidRPr="00AA6144">
        <w:rPr>
          <w:rStyle w:val="FootnoteReference"/>
          <w:color w:val="auto"/>
          <w:lang w:val="en-CA"/>
        </w:rPr>
        <w:footnoteReference w:id="384"/>
      </w:r>
    </w:p>
    <w:p w14:paraId="00D7AAE7" w14:textId="77777777" w:rsidR="00EA5FD7" w:rsidRPr="00AA6144" w:rsidRDefault="00EA5FD7" w:rsidP="00786FF1">
      <w:pPr>
        <w:pStyle w:val="AIBodyText"/>
        <w:spacing w:line="240" w:lineRule="auto"/>
        <w:rPr>
          <w:color w:val="auto"/>
          <w:lang w:val="en-CA"/>
        </w:rPr>
      </w:pPr>
      <w:r w:rsidRPr="00AA6144">
        <w:rPr>
          <w:color w:val="auto"/>
          <w:lang w:val="en-CA"/>
        </w:rPr>
        <w:t xml:space="preserve">In British Columbia, </w:t>
      </w:r>
      <w:r w:rsidR="00B17285" w:rsidRPr="00AA6144">
        <w:rPr>
          <w:color w:val="auto"/>
          <w:lang w:val="en-CA"/>
        </w:rPr>
        <w:t xml:space="preserve">the </w:t>
      </w:r>
      <w:r w:rsidR="00FB071C" w:rsidRPr="00AA6144">
        <w:rPr>
          <w:i/>
          <w:color w:val="auto"/>
          <w:lang w:val="en-CA"/>
        </w:rPr>
        <w:t>Limitation Act</w:t>
      </w:r>
      <w:r w:rsidR="00416033" w:rsidRPr="00AA6144">
        <w:rPr>
          <w:color w:val="auto"/>
          <w:lang w:val="en-CA"/>
        </w:rPr>
        <w:t xml:space="preserve"> only allows a claimant to bring an action within 2 years of discovering the claim.</w:t>
      </w:r>
      <w:r w:rsidR="00980A34" w:rsidRPr="00AA6144">
        <w:rPr>
          <w:rStyle w:val="FootnoteReference"/>
          <w:color w:val="auto"/>
          <w:lang w:val="en-CA"/>
        </w:rPr>
        <w:footnoteReference w:id="385"/>
      </w:r>
    </w:p>
    <w:p w14:paraId="6CC40A40" w14:textId="77777777" w:rsidR="00416817" w:rsidRPr="00AA6144" w:rsidRDefault="00416817" w:rsidP="006062F8">
      <w:pPr>
        <w:pStyle w:val="AIBodyText"/>
        <w:spacing w:line="240" w:lineRule="auto"/>
        <w:rPr>
          <w:color w:val="auto"/>
          <w:lang w:val="en-CA"/>
        </w:rPr>
      </w:pPr>
      <w:r w:rsidRPr="00AA6144">
        <w:rPr>
          <w:color w:val="auto"/>
          <w:lang w:val="en-CA"/>
        </w:rPr>
        <w:t xml:space="preserve">The Supreme Court of Canada </w:t>
      </w:r>
      <w:r w:rsidR="009F4BAB" w:rsidRPr="00AA6144">
        <w:rPr>
          <w:color w:val="auto"/>
          <w:lang w:val="en-CA"/>
        </w:rPr>
        <w:t xml:space="preserve">in </w:t>
      </w:r>
      <w:proofErr w:type="spellStart"/>
      <w:r w:rsidR="009F4BAB" w:rsidRPr="00AA6144">
        <w:rPr>
          <w:i/>
          <w:color w:val="auto"/>
          <w:lang w:val="en-CA"/>
        </w:rPr>
        <w:t>Tolofson</w:t>
      </w:r>
      <w:proofErr w:type="spellEnd"/>
      <w:r w:rsidR="009F4BAB" w:rsidRPr="00AA6144">
        <w:rPr>
          <w:i/>
          <w:color w:val="auto"/>
          <w:lang w:val="en-CA"/>
        </w:rPr>
        <w:t xml:space="preserve"> v Jensen</w:t>
      </w:r>
      <w:r w:rsidR="009F4BAB" w:rsidRPr="00AA6144">
        <w:rPr>
          <w:color w:val="auto"/>
          <w:lang w:val="en-CA"/>
        </w:rPr>
        <w:t xml:space="preserve"> discussed the principle of </w:t>
      </w:r>
      <w:proofErr w:type="spellStart"/>
      <w:r w:rsidR="009F4BAB" w:rsidRPr="00AA6144">
        <w:rPr>
          <w:i/>
          <w:color w:val="auto"/>
          <w:lang w:val="en-CA"/>
        </w:rPr>
        <w:t>lex</w:t>
      </w:r>
      <w:proofErr w:type="spellEnd"/>
      <w:r w:rsidR="009F4BAB" w:rsidRPr="00AA6144">
        <w:rPr>
          <w:i/>
          <w:color w:val="auto"/>
          <w:lang w:val="en-CA"/>
        </w:rPr>
        <w:t xml:space="preserve"> loci delicti</w:t>
      </w:r>
      <w:r w:rsidR="009F4BAB" w:rsidRPr="00AA6144">
        <w:rPr>
          <w:color w:val="auto"/>
          <w:lang w:val="en-CA"/>
        </w:rPr>
        <w:t xml:space="preserve"> and the determination of which provincial statute</w:t>
      </w:r>
      <w:r w:rsidR="00F16E57" w:rsidRPr="00AA6144">
        <w:rPr>
          <w:color w:val="auto"/>
          <w:lang w:val="en-CA"/>
        </w:rPr>
        <w:t xml:space="preserve"> of limitations would apply</w:t>
      </w:r>
      <w:r w:rsidR="008F2C21" w:rsidRPr="00AA6144">
        <w:rPr>
          <w:color w:val="auto"/>
          <w:lang w:val="en-CA"/>
        </w:rPr>
        <w:t xml:space="preserve"> when more than one province </w:t>
      </w:r>
      <w:r w:rsidR="00F21BC8" w:rsidRPr="00AA6144">
        <w:rPr>
          <w:color w:val="auto"/>
          <w:lang w:val="en-CA"/>
        </w:rPr>
        <w:t>is</w:t>
      </w:r>
      <w:r w:rsidR="008F2C21" w:rsidRPr="00AA6144">
        <w:rPr>
          <w:color w:val="auto"/>
          <w:lang w:val="en-CA"/>
        </w:rPr>
        <w:t xml:space="preserve"> engaged</w:t>
      </w:r>
      <w:r w:rsidR="0051601D" w:rsidRPr="00AA6144">
        <w:rPr>
          <w:color w:val="auto"/>
          <w:lang w:val="en-CA"/>
        </w:rPr>
        <w:t>.</w:t>
      </w:r>
      <w:r w:rsidR="00822A07" w:rsidRPr="00AA6144">
        <w:rPr>
          <w:rStyle w:val="FootnoteReference"/>
          <w:color w:val="auto"/>
          <w:lang w:val="en-CA"/>
        </w:rPr>
        <w:footnoteReference w:id="386"/>
      </w:r>
      <w:r w:rsidR="00822A07" w:rsidRPr="00AA6144">
        <w:rPr>
          <w:color w:val="auto"/>
          <w:lang w:val="en-CA"/>
        </w:rPr>
        <w:t xml:space="preserve"> </w:t>
      </w:r>
      <w:r w:rsidR="0051601D" w:rsidRPr="00AA6144">
        <w:rPr>
          <w:color w:val="auto"/>
          <w:lang w:val="en-CA"/>
        </w:rPr>
        <w:t xml:space="preserve"> The Court decided that </w:t>
      </w:r>
      <w:r w:rsidR="006A2CC8" w:rsidRPr="00AA6144">
        <w:rPr>
          <w:color w:val="auto"/>
          <w:lang w:val="en-CA"/>
        </w:rPr>
        <w:t>limitations periods were substantive law and thereby the limitation period</w:t>
      </w:r>
      <w:r w:rsidR="00DD1664" w:rsidRPr="00AA6144">
        <w:rPr>
          <w:color w:val="auto"/>
          <w:lang w:val="en-CA"/>
        </w:rPr>
        <w:t xml:space="preserve"> which</w:t>
      </w:r>
      <w:r w:rsidR="006A2CC8" w:rsidRPr="00AA6144">
        <w:rPr>
          <w:color w:val="auto"/>
          <w:lang w:val="en-CA"/>
        </w:rPr>
        <w:t xml:space="preserve"> applied was</w:t>
      </w:r>
      <w:r w:rsidR="00DD1664" w:rsidRPr="00AA6144">
        <w:rPr>
          <w:color w:val="auto"/>
          <w:lang w:val="en-CA"/>
        </w:rPr>
        <w:t xml:space="preserve"> that </w:t>
      </w:r>
      <w:r w:rsidR="00BD42E5" w:rsidRPr="00AA6144">
        <w:rPr>
          <w:color w:val="auto"/>
          <w:lang w:val="en-CA"/>
        </w:rPr>
        <w:t xml:space="preserve">which was </w:t>
      </w:r>
      <w:r w:rsidR="00DD1664" w:rsidRPr="00AA6144">
        <w:rPr>
          <w:color w:val="auto"/>
          <w:lang w:val="en-CA"/>
        </w:rPr>
        <w:t>in</w:t>
      </w:r>
      <w:r w:rsidR="006A2CC8" w:rsidRPr="00AA6144">
        <w:rPr>
          <w:color w:val="auto"/>
          <w:lang w:val="en-CA"/>
        </w:rPr>
        <w:t xml:space="preserve"> place where the wrong occurred, e.g. </w:t>
      </w:r>
      <w:proofErr w:type="spellStart"/>
      <w:r w:rsidR="006A2CC8" w:rsidRPr="00AA6144">
        <w:rPr>
          <w:i/>
          <w:color w:val="auto"/>
          <w:lang w:val="en-CA"/>
        </w:rPr>
        <w:t>lex</w:t>
      </w:r>
      <w:proofErr w:type="spellEnd"/>
      <w:r w:rsidR="006A2CC8" w:rsidRPr="00AA6144">
        <w:rPr>
          <w:i/>
          <w:color w:val="auto"/>
          <w:lang w:val="en-CA"/>
        </w:rPr>
        <w:t xml:space="preserve"> loci delicti</w:t>
      </w:r>
      <w:r w:rsidR="006A2CC8" w:rsidRPr="00AA6144">
        <w:rPr>
          <w:color w:val="auto"/>
          <w:lang w:val="en-CA"/>
        </w:rPr>
        <w:t>.</w:t>
      </w:r>
      <w:r w:rsidR="00DD1664" w:rsidRPr="00AA6144">
        <w:rPr>
          <w:rStyle w:val="FootnoteReference"/>
          <w:color w:val="auto"/>
          <w:lang w:val="en-CA"/>
        </w:rPr>
        <w:footnoteReference w:id="387"/>
      </w:r>
      <w:r w:rsidR="00DD1664" w:rsidRPr="00AA6144">
        <w:rPr>
          <w:color w:val="auto"/>
          <w:lang w:val="en-CA"/>
        </w:rPr>
        <w:t xml:space="preserve"> </w:t>
      </w:r>
      <w:r w:rsidR="002B107F" w:rsidRPr="00AA6144">
        <w:rPr>
          <w:color w:val="auto"/>
          <w:lang w:val="en-CA"/>
        </w:rPr>
        <w:t xml:space="preserve">A trial court in Ontario </w:t>
      </w:r>
      <w:r w:rsidR="00E641F6" w:rsidRPr="00AA6144">
        <w:rPr>
          <w:color w:val="auto"/>
          <w:lang w:val="en-CA"/>
        </w:rPr>
        <w:t>reiterated</w:t>
      </w:r>
      <w:r w:rsidR="006A423C" w:rsidRPr="00AA6144">
        <w:rPr>
          <w:color w:val="auto"/>
          <w:lang w:val="en-CA"/>
        </w:rPr>
        <w:t xml:space="preserve"> this</w:t>
      </w:r>
      <w:r w:rsidR="00E641F6" w:rsidRPr="00AA6144">
        <w:rPr>
          <w:color w:val="auto"/>
          <w:lang w:val="en-CA"/>
        </w:rPr>
        <w:t xml:space="preserve"> principle and extended it to extraterritorial limitation periods</w:t>
      </w:r>
      <w:r w:rsidR="00F21BC8" w:rsidRPr="00AA6144">
        <w:rPr>
          <w:color w:val="auto"/>
          <w:lang w:val="en-CA"/>
        </w:rPr>
        <w:t>,</w:t>
      </w:r>
      <w:r w:rsidR="00E641F6" w:rsidRPr="00AA6144">
        <w:rPr>
          <w:color w:val="auto"/>
          <w:lang w:val="en-CA"/>
        </w:rPr>
        <w:t xml:space="preserve"> </w:t>
      </w:r>
      <w:r w:rsidR="005F013A" w:rsidRPr="00AA6144">
        <w:rPr>
          <w:color w:val="auto"/>
          <w:lang w:val="en-CA"/>
        </w:rPr>
        <w:t>stating,</w:t>
      </w:r>
      <w:r w:rsidR="002B107F" w:rsidRPr="00AA6144">
        <w:rPr>
          <w:color w:val="auto"/>
          <w:lang w:val="en-CA"/>
        </w:rPr>
        <w:t xml:space="preserve"> “a statute of limitation, whether domestic or foreign, </w:t>
      </w:r>
      <w:r w:rsidR="00E641F6" w:rsidRPr="00AA6144">
        <w:rPr>
          <w:color w:val="auto"/>
          <w:lang w:val="en-CA"/>
        </w:rPr>
        <w:t>is substantive in nature”.</w:t>
      </w:r>
      <w:r w:rsidR="00E641F6" w:rsidRPr="00AA6144">
        <w:rPr>
          <w:rStyle w:val="FootnoteReference"/>
          <w:color w:val="auto"/>
          <w:lang w:val="en-CA"/>
        </w:rPr>
        <w:footnoteReference w:id="388"/>
      </w:r>
      <w:r w:rsidR="005F013A" w:rsidRPr="00AA6144">
        <w:rPr>
          <w:color w:val="auto"/>
          <w:lang w:val="en-CA"/>
        </w:rPr>
        <w:t xml:space="preserve"> More recently, in </w:t>
      </w:r>
      <w:r w:rsidR="005F013A" w:rsidRPr="00AA6144">
        <w:rPr>
          <w:i/>
          <w:color w:val="auto"/>
          <w:lang w:val="en-CA"/>
        </w:rPr>
        <w:t>Castillo v Castillo</w:t>
      </w:r>
      <w:r w:rsidR="005F013A" w:rsidRPr="00AA6144">
        <w:rPr>
          <w:color w:val="auto"/>
          <w:lang w:val="en-CA"/>
        </w:rPr>
        <w:t xml:space="preserve">, the Supreme Court of Canada applied </w:t>
      </w:r>
      <w:r w:rsidR="00F21BC8" w:rsidRPr="00AA6144">
        <w:rPr>
          <w:color w:val="auto"/>
          <w:lang w:val="en-CA"/>
        </w:rPr>
        <w:t>concluded</w:t>
      </w:r>
      <w:r w:rsidR="005F013A" w:rsidRPr="00AA6144">
        <w:rPr>
          <w:color w:val="auto"/>
          <w:lang w:val="en-CA"/>
        </w:rPr>
        <w:t xml:space="preserve"> that the statute of limitations applicable in an extraterritorial case is the limitation period of the place where the tort occurred and not the law of the forum in which the tort is being adjudicated.</w:t>
      </w:r>
      <w:r w:rsidR="001706A1" w:rsidRPr="00AA6144">
        <w:rPr>
          <w:rStyle w:val="FootnoteReference"/>
          <w:color w:val="auto"/>
          <w:lang w:val="en-CA"/>
        </w:rPr>
        <w:footnoteReference w:id="389"/>
      </w:r>
    </w:p>
    <w:p w14:paraId="37CA2B25" w14:textId="77777777" w:rsidR="001E2002" w:rsidRPr="00AA6144" w:rsidRDefault="001E2002" w:rsidP="00ED6828">
      <w:pPr>
        <w:pStyle w:val="Heading2"/>
        <w:rPr>
          <w:color w:val="auto"/>
          <w:lang w:val="en-CA"/>
        </w:rPr>
      </w:pPr>
      <w:bookmarkStart w:id="153" w:name="_Toc43382753"/>
      <w:r w:rsidRPr="00AA6144">
        <w:rPr>
          <w:color w:val="auto"/>
          <w:lang w:val="en-CA"/>
        </w:rPr>
        <w:t>6.4. D</w:t>
      </w:r>
      <w:r w:rsidR="00ED6828" w:rsidRPr="00AA6144">
        <w:rPr>
          <w:color w:val="auto"/>
          <w:lang w:val="en-CA"/>
        </w:rPr>
        <w:t>ouble</w:t>
      </w:r>
      <w:r w:rsidRPr="00AA6144">
        <w:rPr>
          <w:color w:val="auto"/>
          <w:lang w:val="en-CA"/>
        </w:rPr>
        <w:t xml:space="preserve"> criminality</w:t>
      </w:r>
      <w:bookmarkEnd w:id="153"/>
    </w:p>
    <w:p w14:paraId="61E5ED0D" w14:textId="77777777" w:rsidR="00DF338C" w:rsidRPr="00AA6144" w:rsidRDefault="00DF338C" w:rsidP="00DF338C">
      <w:pPr>
        <w:spacing w:after="0"/>
        <w:rPr>
          <w:lang w:val="en-CA"/>
        </w:rPr>
      </w:pPr>
    </w:p>
    <w:p w14:paraId="4CC3F7EB" w14:textId="77777777" w:rsidR="006062F8" w:rsidRPr="00AA6144" w:rsidRDefault="006062F8" w:rsidP="006062F8">
      <w:pPr>
        <w:rPr>
          <w:color w:val="auto"/>
          <w:lang w:val="en-CA"/>
        </w:rPr>
      </w:pPr>
      <w:r w:rsidRPr="00AA6144">
        <w:rPr>
          <w:color w:val="auto"/>
          <w:lang w:val="en-CA"/>
        </w:rPr>
        <w:t>Canada requires that</w:t>
      </w:r>
      <w:r w:rsidR="005158E3" w:rsidRPr="00AA6144">
        <w:rPr>
          <w:color w:val="auto"/>
          <w:lang w:val="en-CA"/>
        </w:rPr>
        <w:t xml:space="preserve"> the offence which underpins the request</w:t>
      </w:r>
      <w:r w:rsidR="00C75611" w:rsidRPr="00AA6144">
        <w:rPr>
          <w:color w:val="auto"/>
          <w:lang w:val="en-CA"/>
        </w:rPr>
        <w:t xml:space="preserve"> to extradite</w:t>
      </w:r>
      <w:r w:rsidR="005158E3" w:rsidRPr="00AA6144">
        <w:rPr>
          <w:color w:val="auto"/>
          <w:lang w:val="en-CA"/>
        </w:rPr>
        <w:t xml:space="preserve"> be criminalized in both Canada and the requesting state</w:t>
      </w:r>
      <w:r w:rsidR="007D6872" w:rsidRPr="00AA6144">
        <w:rPr>
          <w:color w:val="auto"/>
          <w:lang w:val="en-CA"/>
        </w:rPr>
        <w:t xml:space="preserve">. This rule is known as </w:t>
      </w:r>
      <w:r w:rsidRPr="00AA6144">
        <w:rPr>
          <w:color w:val="auto"/>
          <w:lang w:val="en-CA"/>
        </w:rPr>
        <w:t>double criminality</w:t>
      </w:r>
      <w:r w:rsidR="007D6872" w:rsidRPr="00AA6144">
        <w:rPr>
          <w:color w:val="auto"/>
          <w:lang w:val="en-CA"/>
        </w:rPr>
        <w:t xml:space="preserve">; it </w:t>
      </w:r>
      <w:r w:rsidRPr="00AA6144">
        <w:rPr>
          <w:color w:val="auto"/>
          <w:lang w:val="en-CA"/>
        </w:rPr>
        <w:t>is referred to in all of Canada’s extradition treaties and codified in s</w:t>
      </w:r>
      <w:r w:rsidR="00D14213" w:rsidRPr="00AA6144">
        <w:rPr>
          <w:color w:val="auto"/>
          <w:lang w:val="en-CA"/>
        </w:rPr>
        <w:t>ection</w:t>
      </w:r>
      <w:r w:rsidRPr="00AA6144">
        <w:rPr>
          <w:color w:val="auto"/>
          <w:lang w:val="en-CA"/>
        </w:rPr>
        <w:t xml:space="preserve"> 3(1) of the </w:t>
      </w:r>
      <w:r w:rsidRPr="00AA6144">
        <w:rPr>
          <w:i/>
          <w:color w:val="auto"/>
          <w:lang w:val="en-CA"/>
        </w:rPr>
        <w:t>Extradition Act</w:t>
      </w:r>
      <w:r w:rsidRPr="00AA6144">
        <w:rPr>
          <w:color w:val="auto"/>
          <w:lang w:val="en-CA"/>
        </w:rPr>
        <w:t>.</w:t>
      </w:r>
      <w:r w:rsidR="003A2F3E" w:rsidRPr="00AA6144">
        <w:rPr>
          <w:rStyle w:val="FootnoteReference"/>
          <w:color w:val="auto"/>
          <w:lang w:val="en-CA"/>
        </w:rPr>
        <w:footnoteReference w:id="390"/>
      </w:r>
      <w:r w:rsidRPr="00AA6144">
        <w:rPr>
          <w:color w:val="auto"/>
          <w:lang w:val="en-CA"/>
        </w:rPr>
        <w:t xml:space="preserve"> Double criminality has two components: one foreign and one domestic. </w:t>
      </w:r>
      <w:r w:rsidR="00B05959" w:rsidRPr="00AA6144">
        <w:rPr>
          <w:color w:val="auto"/>
          <w:lang w:val="en-CA"/>
        </w:rPr>
        <w:t>Section 3(1)</w:t>
      </w:r>
      <w:r w:rsidRPr="00AA6144">
        <w:rPr>
          <w:color w:val="auto"/>
          <w:lang w:val="en-CA"/>
        </w:rPr>
        <w:t>(a)</w:t>
      </w:r>
      <w:r w:rsidR="00B05959" w:rsidRPr="00AA6144">
        <w:rPr>
          <w:color w:val="auto"/>
          <w:lang w:val="en-CA"/>
        </w:rPr>
        <w:t xml:space="preserve"> of the </w:t>
      </w:r>
      <w:r w:rsidR="00B05959" w:rsidRPr="00AA6144">
        <w:rPr>
          <w:i/>
          <w:color w:val="auto"/>
          <w:lang w:val="en-CA"/>
        </w:rPr>
        <w:t>Extradition Act</w:t>
      </w:r>
      <w:r w:rsidRPr="00AA6144">
        <w:rPr>
          <w:color w:val="auto"/>
          <w:lang w:val="en-CA"/>
        </w:rPr>
        <w:t xml:space="preserve"> codifies the foreign aspect of the rule, requiring that the offence which provides the basis for </w:t>
      </w:r>
      <w:r w:rsidR="0055673E" w:rsidRPr="00AA6144">
        <w:rPr>
          <w:color w:val="auto"/>
          <w:lang w:val="en-CA"/>
        </w:rPr>
        <w:t xml:space="preserve">the </w:t>
      </w:r>
      <w:r w:rsidRPr="00AA6144">
        <w:rPr>
          <w:color w:val="auto"/>
          <w:lang w:val="en-CA"/>
        </w:rPr>
        <w:t xml:space="preserve">extradition request be criminal in the requesting state. </w:t>
      </w:r>
      <w:r w:rsidR="00431174" w:rsidRPr="00AA6144">
        <w:rPr>
          <w:color w:val="auto"/>
          <w:lang w:val="en-CA"/>
        </w:rPr>
        <w:t>Section 3(1)</w:t>
      </w:r>
      <w:r w:rsidRPr="00AA6144">
        <w:rPr>
          <w:color w:val="auto"/>
          <w:lang w:val="en-CA"/>
        </w:rPr>
        <w:t>(b) codifies the domestic aspect of the rule</w:t>
      </w:r>
      <w:r w:rsidR="008410EF" w:rsidRPr="00AA6144">
        <w:rPr>
          <w:color w:val="auto"/>
          <w:lang w:val="en-CA"/>
        </w:rPr>
        <w:t>,</w:t>
      </w:r>
      <w:r w:rsidRPr="00AA6144">
        <w:rPr>
          <w:color w:val="auto"/>
          <w:lang w:val="en-CA"/>
        </w:rPr>
        <w:t xml:space="preserve"> requiring that the conduct in question amount to an offence under Canadian law. The</w:t>
      </w:r>
      <w:r w:rsidR="001004CA" w:rsidRPr="00AA6144">
        <w:rPr>
          <w:color w:val="auto"/>
          <w:lang w:val="en-CA"/>
        </w:rPr>
        <w:t xml:space="preserve"> double criminality</w:t>
      </w:r>
      <w:r w:rsidRPr="00AA6144">
        <w:rPr>
          <w:color w:val="auto"/>
          <w:lang w:val="en-CA"/>
        </w:rPr>
        <w:t xml:space="preserve"> rule requires that both </w:t>
      </w:r>
      <w:r w:rsidR="001004CA" w:rsidRPr="00AA6144">
        <w:rPr>
          <w:color w:val="auto"/>
          <w:lang w:val="en-CA"/>
        </w:rPr>
        <w:t xml:space="preserve">the domestic and foreign </w:t>
      </w:r>
      <w:r w:rsidRPr="00AA6144">
        <w:rPr>
          <w:color w:val="auto"/>
          <w:lang w:val="en-CA"/>
        </w:rPr>
        <w:t>elements be satisfied.</w:t>
      </w:r>
    </w:p>
    <w:p w14:paraId="150AD74D" w14:textId="77777777" w:rsidR="006062F8" w:rsidRPr="00AA6144" w:rsidRDefault="006062F8" w:rsidP="0016636A">
      <w:pPr>
        <w:rPr>
          <w:color w:val="auto"/>
          <w:lang w:val="en-CA"/>
        </w:rPr>
      </w:pPr>
      <w:r w:rsidRPr="00AA6144">
        <w:rPr>
          <w:color w:val="auto"/>
          <w:lang w:val="en-CA"/>
        </w:rPr>
        <w:t xml:space="preserve">The Supreme Court of Canada in </w:t>
      </w:r>
      <w:r w:rsidRPr="00AA6144">
        <w:rPr>
          <w:i/>
          <w:color w:val="auto"/>
          <w:lang w:val="en-CA"/>
        </w:rPr>
        <w:t xml:space="preserve">Canada (Justice) v. </w:t>
      </w:r>
      <w:proofErr w:type="spellStart"/>
      <w:r w:rsidRPr="00AA6144">
        <w:rPr>
          <w:i/>
          <w:color w:val="auto"/>
          <w:lang w:val="en-CA"/>
        </w:rPr>
        <w:t>Fischbacher</w:t>
      </w:r>
      <w:proofErr w:type="spellEnd"/>
      <w:r w:rsidRPr="00AA6144">
        <w:rPr>
          <w:rStyle w:val="FootnoteReference"/>
          <w:i/>
          <w:color w:val="auto"/>
          <w:lang w:val="en-CA"/>
        </w:rPr>
        <w:footnoteReference w:id="391"/>
      </w:r>
      <w:r w:rsidRPr="00AA6144">
        <w:rPr>
          <w:color w:val="auto"/>
          <w:lang w:val="en-CA"/>
        </w:rPr>
        <w:t xml:space="preserve"> noted that, in theory, double criminality may be satisfied either by way of a conduct-based or offence-based test.</w:t>
      </w:r>
      <w:r w:rsidRPr="00AA6144">
        <w:rPr>
          <w:rStyle w:val="FootnoteReference"/>
          <w:color w:val="auto"/>
          <w:lang w:val="en-CA"/>
        </w:rPr>
        <w:footnoteReference w:id="392"/>
      </w:r>
      <w:r w:rsidRPr="00AA6144">
        <w:rPr>
          <w:color w:val="auto"/>
          <w:lang w:val="en-CA"/>
        </w:rPr>
        <w:t xml:space="preserve"> However, the Court stressed that pursuant to section 3(2) of the </w:t>
      </w:r>
      <w:r w:rsidRPr="00AA6144">
        <w:rPr>
          <w:i/>
          <w:color w:val="auto"/>
          <w:lang w:val="en-CA"/>
        </w:rPr>
        <w:t>Extradition Act</w:t>
      </w:r>
      <w:r w:rsidRPr="00AA6144">
        <w:rPr>
          <w:color w:val="auto"/>
          <w:lang w:val="en-CA"/>
        </w:rPr>
        <w:t xml:space="preserve">, Canada has adopted a conduct-based approach to double criminality. Therefore, it is not necessary that the offence in question </w:t>
      </w:r>
      <w:r w:rsidR="00E669F1" w:rsidRPr="00AA6144">
        <w:rPr>
          <w:color w:val="auto"/>
          <w:lang w:val="en-CA"/>
        </w:rPr>
        <w:t>“</w:t>
      </w:r>
      <w:r w:rsidRPr="00AA6144">
        <w:rPr>
          <w:color w:val="auto"/>
          <w:lang w:val="en-CA"/>
        </w:rPr>
        <w:t>match</w:t>
      </w:r>
      <w:r w:rsidR="00E669F1" w:rsidRPr="00AA6144">
        <w:rPr>
          <w:color w:val="auto"/>
          <w:lang w:val="en-CA"/>
        </w:rPr>
        <w:t>”</w:t>
      </w:r>
      <w:r w:rsidRPr="00AA6144">
        <w:rPr>
          <w:color w:val="auto"/>
          <w:lang w:val="en-CA"/>
        </w:rPr>
        <w:t xml:space="preserve"> an offence in the requesting state, so long as the </w:t>
      </w:r>
      <w:r w:rsidR="00E669F1" w:rsidRPr="00AA6144">
        <w:rPr>
          <w:color w:val="auto"/>
          <w:lang w:val="en-CA"/>
        </w:rPr>
        <w:t>“</w:t>
      </w:r>
      <w:r w:rsidRPr="00AA6144">
        <w:rPr>
          <w:color w:val="auto"/>
          <w:lang w:val="en-CA"/>
        </w:rPr>
        <w:t>essence of the offence</w:t>
      </w:r>
      <w:r w:rsidR="00E669F1" w:rsidRPr="00AA6144">
        <w:rPr>
          <w:color w:val="auto"/>
          <w:lang w:val="en-CA"/>
        </w:rPr>
        <w:t>”</w:t>
      </w:r>
      <w:r w:rsidRPr="00AA6144">
        <w:rPr>
          <w:color w:val="auto"/>
          <w:lang w:val="en-CA"/>
        </w:rPr>
        <w:t xml:space="preserve"> provides the elements of, and constitutes an offence in that state.</w:t>
      </w:r>
      <w:r w:rsidRPr="00AA6144">
        <w:rPr>
          <w:rStyle w:val="FootnoteReference"/>
          <w:color w:val="auto"/>
          <w:lang w:val="en-CA"/>
        </w:rPr>
        <w:footnoteReference w:id="393"/>
      </w:r>
      <w:r w:rsidRPr="00AA6144">
        <w:rPr>
          <w:color w:val="auto"/>
          <w:lang w:val="en-CA"/>
        </w:rPr>
        <w:t xml:space="preserve"> Ultimately, the procedure in the </w:t>
      </w:r>
      <w:r w:rsidR="008410EF" w:rsidRPr="00AA6144">
        <w:rPr>
          <w:i/>
          <w:color w:val="auto"/>
          <w:lang w:val="en-CA"/>
        </w:rPr>
        <w:t xml:space="preserve">Extradition </w:t>
      </w:r>
      <w:r w:rsidRPr="00AA6144">
        <w:rPr>
          <w:i/>
          <w:color w:val="auto"/>
          <w:lang w:val="en-CA"/>
        </w:rPr>
        <w:t xml:space="preserve">Act </w:t>
      </w:r>
      <w:r w:rsidR="008D7AF2" w:rsidRPr="00AA6144">
        <w:rPr>
          <w:color w:val="auto"/>
          <w:lang w:val="en-CA"/>
        </w:rPr>
        <w:t xml:space="preserve">gives </w:t>
      </w:r>
      <w:r w:rsidRPr="00AA6144">
        <w:rPr>
          <w:color w:val="auto"/>
          <w:lang w:val="en-CA"/>
        </w:rPr>
        <w:t>the Minister</w:t>
      </w:r>
      <w:r w:rsidR="00AD1051" w:rsidRPr="00AA6144">
        <w:rPr>
          <w:color w:val="auto"/>
          <w:lang w:val="en-CA"/>
        </w:rPr>
        <w:t xml:space="preserve"> of Justice</w:t>
      </w:r>
      <w:r w:rsidRPr="00AA6144">
        <w:rPr>
          <w:color w:val="auto"/>
          <w:lang w:val="en-CA"/>
        </w:rPr>
        <w:t xml:space="preserve"> discretion in considering whether the alleged conduct is criminal in the requesting state and whether the penalty meets the legislative or treaty requirements. Domestic aspects of double criminality are determined by an extradition judge tasked with determining whether the alleged conduct amounts to a criminal offence under Canadian law</w:t>
      </w:r>
      <w:r w:rsidR="00510A67" w:rsidRPr="00AA6144">
        <w:rPr>
          <w:color w:val="auto"/>
          <w:lang w:val="en-CA"/>
        </w:rPr>
        <w:t>.</w:t>
      </w:r>
      <w:r w:rsidR="00912909" w:rsidRPr="00AA6144">
        <w:rPr>
          <w:rStyle w:val="FootnoteReference"/>
          <w:color w:val="auto"/>
          <w:lang w:val="en-CA"/>
        </w:rPr>
        <w:footnoteReference w:id="394"/>
      </w:r>
    </w:p>
    <w:p w14:paraId="5BF27226" w14:textId="77777777" w:rsidR="00A95830" w:rsidRPr="00AA6144" w:rsidRDefault="00A95830" w:rsidP="0016636A">
      <w:pPr>
        <w:rPr>
          <w:color w:val="auto"/>
          <w:lang w:val="en-CA"/>
        </w:rPr>
      </w:pPr>
      <w:r w:rsidRPr="00AA6144">
        <w:rPr>
          <w:color w:val="auto"/>
          <w:lang w:val="en-CA"/>
        </w:rPr>
        <w:t>Whatever the merits may be for requiring double criminality with respect to conduct that only amounts to an ordinary crime, it has no merit when the conduct amounts to a crime under international law, even if the requesting state is seeking extradition to prosecute the person for an ordinary crime when its legislation does not characterize the conduct as a crime under international law. All states have a shared obligation to investigate and prosecute conduct that amounts to crimes under international law, either by doing so in their own courts or by extraditing the suspect to another state or surrendering that person to an international criminal court, and they cannot escape this obligation by refusing to extradite on the basis of double criminality.</w:t>
      </w:r>
    </w:p>
    <w:p w14:paraId="7F11F916" w14:textId="77777777" w:rsidR="001E2002" w:rsidRPr="00AA6144" w:rsidRDefault="001E2002" w:rsidP="001E2002">
      <w:pPr>
        <w:pStyle w:val="Heading2"/>
        <w:rPr>
          <w:color w:val="auto"/>
          <w:lang w:val="en-CA"/>
        </w:rPr>
      </w:pPr>
      <w:bookmarkStart w:id="154" w:name="_Toc43382754"/>
      <w:r w:rsidRPr="00AA6144">
        <w:rPr>
          <w:color w:val="auto"/>
          <w:lang w:val="en-CA"/>
        </w:rPr>
        <w:t>6.5. Immunities</w:t>
      </w:r>
      <w:bookmarkEnd w:id="154"/>
    </w:p>
    <w:p w14:paraId="6F8DC6A9" w14:textId="77777777" w:rsidR="00DF338C" w:rsidRPr="00AA6144" w:rsidRDefault="00DF338C" w:rsidP="00DF338C">
      <w:pPr>
        <w:spacing w:after="0"/>
        <w:rPr>
          <w:lang w:val="en-CA"/>
        </w:rPr>
      </w:pPr>
    </w:p>
    <w:p w14:paraId="2D0B4366" w14:textId="77777777" w:rsidR="00327325" w:rsidRPr="00AA6144" w:rsidRDefault="00464A1B" w:rsidP="002D2139">
      <w:pPr>
        <w:pStyle w:val="AIBodyText"/>
        <w:rPr>
          <w:color w:val="auto"/>
          <w:lang w:val="en-CA"/>
        </w:rPr>
      </w:pPr>
      <w:r w:rsidRPr="00AA6144">
        <w:rPr>
          <w:color w:val="auto"/>
          <w:lang w:val="en-CA"/>
        </w:rPr>
        <w:t xml:space="preserve">The </w:t>
      </w:r>
      <w:r w:rsidR="006062F8" w:rsidRPr="00AA6144">
        <w:rPr>
          <w:i/>
          <w:color w:val="auto"/>
          <w:lang w:val="en-CA"/>
        </w:rPr>
        <w:t>State Immunity Act</w:t>
      </w:r>
      <w:r w:rsidR="006062F8" w:rsidRPr="00AA6144">
        <w:rPr>
          <w:color w:val="auto"/>
          <w:lang w:val="en-CA"/>
        </w:rPr>
        <w:t xml:space="preserve"> </w:t>
      </w:r>
      <w:r w:rsidRPr="00AA6144">
        <w:rPr>
          <w:color w:val="auto"/>
          <w:lang w:val="en-CA"/>
        </w:rPr>
        <w:t>provides that a foreign state is immune from the jurisdiction of any Canadian court</w:t>
      </w:r>
      <w:r w:rsidR="002D2139" w:rsidRPr="00AA6144">
        <w:rPr>
          <w:color w:val="auto"/>
          <w:lang w:val="en-CA"/>
        </w:rPr>
        <w:t>,</w:t>
      </w:r>
      <w:r w:rsidR="000A0C33" w:rsidRPr="00AA6144">
        <w:rPr>
          <w:rStyle w:val="FootnoteReference"/>
          <w:color w:val="auto"/>
          <w:lang w:val="en-CA"/>
        </w:rPr>
        <w:footnoteReference w:id="395"/>
      </w:r>
      <w:r w:rsidR="006712FC" w:rsidRPr="00AA6144">
        <w:rPr>
          <w:color w:val="auto"/>
          <w:lang w:val="en-CA"/>
        </w:rPr>
        <w:t xml:space="preserve"> </w:t>
      </w:r>
      <w:r w:rsidR="002D2139" w:rsidRPr="00AA6144">
        <w:rPr>
          <w:color w:val="auto"/>
          <w:lang w:val="en-CA"/>
        </w:rPr>
        <w:t xml:space="preserve">and has </w:t>
      </w:r>
      <w:r w:rsidR="00A965F1" w:rsidRPr="00AA6144">
        <w:rPr>
          <w:color w:val="auto"/>
          <w:lang w:val="en-CA"/>
        </w:rPr>
        <w:t xml:space="preserve">been applied by </w:t>
      </w:r>
      <w:r w:rsidR="000177FF" w:rsidRPr="00AA6144">
        <w:rPr>
          <w:color w:val="auto"/>
          <w:lang w:val="en-CA"/>
        </w:rPr>
        <w:t xml:space="preserve">the Ontario Court of Appeal and the Quebec Court of Appeal </w:t>
      </w:r>
      <w:r w:rsidR="00A965F1" w:rsidRPr="00AA6144">
        <w:rPr>
          <w:color w:val="auto"/>
          <w:lang w:val="en-CA"/>
        </w:rPr>
        <w:t>in cases of torture</w:t>
      </w:r>
      <w:r w:rsidR="000F6522" w:rsidRPr="00AA6144">
        <w:rPr>
          <w:color w:val="auto"/>
          <w:lang w:val="en-CA"/>
        </w:rPr>
        <w:t>.</w:t>
      </w:r>
      <w:r w:rsidR="00305D47" w:rsidRPr="00AA6144">
        <w:rPr>
          <w:color w:val="auto"/>
          <w:lang w:val="en-CA"/>
        </w:rPr>
        <w:t xml:space="preserve"> </w:t>
      </w:r>
      <w:r w:rsidR="00796B61" w:rsidRPr="00AA6144">
        <w:rPr>
          <w:color w:val="auto"/>
          <w:lang w:val="en-CA"/>
        </w:rPr>
        <w:t xml:space="preserve">The </w:t>
      </w:r>
      <w:r w:rsidR="00796B61" w:rsidRPr="00AA6144">
        <w:rPr>
          <w:i/>
          <w:color w:val="auto"/>
          <w:lang w:val="en-CA"/>
        </w:rPr>
        <w:t xml:space="preserve">State Immunity Act </w:t>
      </w:r>
      <w:r w:rsidR="00796B61" w:rsidRPr="00AA6144">
        <w:rPr>
          <w:color w:val="auto"/>
          <w:lang w:val="en-CA"/>
        </w:rPr>
        <w:t>does not apply to criminal cases or proceedings.</w:t>
      </w:r>
      <w:r w:rsidR="000328CF" w:rsidRPr="00AA6144">
        <w:rPr>
          <w:rStyle w:val="FootnoteReference"/>
          <w:color w:val="auto"/>
          <w:lang w:val="en-CA"/>
        </w:rPr>
        <w:footnoteReference w:id="396"/>
      </w:r>
      <w:r w:rsidR="006062F8" w:rsidRPr="00AA6144">
        <w:rPr>
          <w:color w:val="auto"/>
          <w:lang w:val="en-CA"/>
        </w:rPr>
        <w:t xml:space="preserve"> </w:t>
      </w:r>
      <w:r w:rsidR="00C26526" w:rsidRPr="00AA6144">
        <w:rPr>
          <w:color w:val="auto"/>
          <w:lang w:val="en-CA"/>
        </w:rPr>
        <w:t xml:space="preserve">The </w:t>
      </w:r>
      <w:r w:rsidR="00C26526" w:rsidRPr="00AA6144">
        <w:rPr>
          <w:i/>
          <w:color w:val="auto"/>
          <w:lang w:val="en-CA"/>
        </w:rPr>
        <w:t xml:space="preserve">State Immunity Act </w:t>
      </w:r>
      <w:r w:rsidR="00C26526" w:rsidRPr="00AA6144">
        <w:rPr>
          <w:color w:val="auto"/>
          <w:lang w:val="en-CA"/>
        </w:rPr>
        <w:t xml:space="preserve">covers sovereign immunity and does not discuss diplomatic immunity. </w:t>
      </w:r>
    </w:p>
    <w:p w14:paraId="2425593A" w14:textId="6D1CC068" w:rsidR="006062F8" w:rsidRPr="00AA6144" w:rsidRDefault="006062F8" w:rsidP="006062F8">
      <w:pPr>
        <w:pStyle w:val="AIBodyText"/>
        <w:rPr>
          <w:color w:val="auto"/>
          <w:szCs w:val="18"/>
          <w:lang w:val="en-CA"/>
        </w:rPr>
      </w:pPr>
      <w:r w:rsidRPr="00AA6144">
        <w:rPr>
          <w:color w:val="auto"/>
          <w:lang w:val="en-CA"/>
        </w:rPr>
        <w:t xml:space="preserve">In </w:t>
      </w:r>
      <w:proofErr w:type="spellStart"/>
      <w:r w:rsidRPr="00AA6144">
        <w:rPr>
          <w:i/>
          <w:color w:val="auto"/>
          <w:lang w:val="en-CA"/>
        </w:rPr>
        <w:t>Bouzari</w:t>
      </w:r>
      <w:proofErr w:type="spellEnd"/>
      <w:r w:rsidRPr="00AA6144">
        <w:rPr>
          <w:i/>
          <w:color w:val="auto"/>
          <w:lang w:val="en-CA"/>
        </w:rPr>
        <w:t xml:space="preserve"> v. Islamic Republic of Iran</w:t>
      </w:r>
      <w:r w:rsidRPr="00AA6144">
        <w:rPr>
          <w:color w:val="auto"/>
          <w:lang w:val="en-CA"/>
        </w:rPr>
        <w:t>,</w:t>
      </w:r>
      <w:bookmarkStart w:id="155" w:name="_Ref267057386"/>
      <w:r w:rsidRPr="00AA6144">
        <w:rPr>
          <w:rStyle w:val="FootnoteReference"/>
          <w:color w:val="auto"/>
          <w:lang w:val="en-CA"/>
        </w:rPr>
        <w:footnoteReference w:id="397"/>
      </w:r>
      <w:bookmarkEnd w:id="155"/>
      <w:r w:rsidRPr="00AA6144">
        <w:rPr>
          <w:color w:val="auto"/>
          <w:lang w:val="en-CA"/>
        </w:rPr>
        <w:t xml:space="preserve"> the Ontario Court of Appeal held that Canadian law precludes claims against foreign sovereigns for acts not enumerated in the statute, including torture.</w:t>
      </w:r>
      <w:r w:rsidR="000E7A77" w:rsidRPr="00AA6144">
        <w:rPr>
          <w:rStyle w:val="FootnoteReference"/>
          <w:color w:val="auto"/>
          <w:lang w:val="en-CA"/>
        </w:rPr>
        <w:footnoteReference w:id="398"/>
      </w:r>
      <w:r w:rsidRPr="00AA6144">
        <w:rPr>
          <w:color w:val="auto"/>
          <w:lang w:val="en-CA"/>
        </w:rPr>
        <w:t xml:space="preserve"> The Court noted that, while the prohibition against torture constitutes a rule of </w:t>
      </w:r>
      <w:r w:rsidRPr="00AA6144">
        <w:rPr>
          <w:i/>
          <w:color w:val="auto"/>
          <w:lang w:val="en-CA"/>
        </w:rPr>
        <w:t>jus cogens</w:t>
      </w:r>
      <w:r w:rsidRPr="00AA6144">
        <w:rPr>
          <w:color w:val="auto"/>
          <w:lang w:val="en-CA"/>
        </w:rPr>
        <w:t xml:space="preserve">, </w:t>
      </w:r>
      <w:r w:rsidR="000E7A77" w:rsidRPr="00AA6144">
        <w:rPr>
          <w:color w:val="auto"/>
          <w:lang w:val="en-CA"/>
        </w:rPr>
        <w:t>Canada has legislated in a way that does not require courts to grant a civil remedy for torture committed abroad by a foreign state</w:t>
      </w:r>
      <w:r w:rsidRPr="00AA6144">
        <w:rPr>
          <w:color w:val="auto"/>
          <w:lang w:val="en-CA"/>
        </w:rPr>
        <w:t>.</w:t>
      </w:r>
      <w:r w:rsidRPr="00AA6144">
        <w:rPr>
          <w:rStyle w:val="FootnoteReference"/>
          <w:color w:val="auto"/>
          <w:lang w:val="en-CA"/>
        </w:rPr>
        <w:footnoteReference w:id="399"/>
      </w:r>
      <w:r w:rsidRPr="00AA6144">
        <w:rPr>
          <w:color w:val="auto"/>
          <w:lang w:val="en-CA"/>
        </w:rPr>
        <w:t xml:space="preserve"> </w:t>
      </w:r>
      <w:proofErr w:type="spellStart"/>
      <w:r w:rsidRPr="00AA6144">
        <w:rPr>
          <w:color w:val="auto"/>
          <w:lang w:val="en-CA"/>
        </w:rPr>
        <w:t>Bouzari’s</w:t>
      </w:r>
      <w:proofErr w:type="spellEnd"/>
      <w:r w:rsidRPr="00AA6144">
        <w:rPr>
          <w:color w:val="auto"/>
          <w:lang w:val="en-CA"/>
        </w:rPr>
        <w:t xml:space="preserve"> </w:t>
      </w:r>
      <w:r w:rsidRPr="00AA6144">
        <w:rPr>
          <w:color w:val="auto"/>
          <w:szCs w:val="18"/>
          <w:lang w:val="en-CA"/>
        </w:rPr>
        <w:t>request for leave to appeal to the Supreme Court of Canada was refused.</w:t>
      </w:r>
    </w:p>
    <w:p w14:paraId="47DCD040" w14:textId="7C26245B" w:rsidR="00C75D81" w:rsidRPr="00AA6144" w:rsidRDefault="00C75D81" w:rsidP="00AA6144">
      <w:pPr>
        <w:pStyle w:val="CommentText"/>
        <w:rPr>
          <w:szCs w:val="18"/>
          <w:lang w:val="en-CA"/>
        </w:rPr>
      </w:pPr>
      <w:r w:rsidRPr="00AA6144">
        <w:rPr>
          <w:color w:val="auto"/>
          <w:sz w:val="18"/>
          <w:szCs w:val="18"/>
          <w:lang w:val="en-CA"/>
        </w:rPr>
        <w:t xml:space="preserve">In </w:t>
      </w:r>
      <w:proofErr w:type="spellStart"/>
      <w:r w:rsidRPr="00AA6144">
        <w:rPr>
          <w:i/>
          <w:color w:val="auto"/>
          <w:sz w:val="18"/>
          <w:szCs w:val="18"/>
          <w:lang w:val="en-CA"/>
        </w:rPr>
        <w:t>Kazemi</w:t>
      </w:r>
      <w:proofErr w:type="spellEnd"/>
      <w:r w:rsidRPr="00AA6144">
        <w:rPr>
          <w:i/>
          <w:color w:val="auto"/>
          <w:sz w:val="18"/>
          <w:szCs w:val="18"/>
          <w:lang w:val="en-CA"/>
        </w:rPr>
        <w:t xml:space="preserve"> </w:t>
      </w:r>
      <w:r w:rsidR="00A85BC8" w:rsidRPr="00AA6144">
        <w:rPr>
          <w:i/>
          <w:color w:val="auto"/>
          <w:sz w:val="18"/>
          <w:szCs w:val="18"/>
          <w:lang w:val="en-CA"/>
        </w:rPr>
        <w:t>(Estate of) v. Islamic Republic of Iran</w:t>
      </w:r>
      <w:r w:rsidR="00A85BC8" w:rsidRPr="00AA6144">
        <w:rPr>
          <w:color w:val="auto"/>
          <w:sz w:val="18"/>
          <w:szCs w:val="18"/>
          <w:lang w:val="en-CA"/>
        </w:rPr>
        <w:t>,</w:t>
      </w:r>
      <w:r w:rsidR="008A4C8C" w:rsidRPr="00AA6144">
        <w:rPr>
          <w:rStyle w:val="FootnoteReference"/>
          <w:color w:val="auto"/>
          <w:sz w:val="18"/>
          <w:szCs w:val="18"/>
          <w:lang w:val="en-CA"/>
        </w:rPr>
        <w:footnoteReference w:id="400"/>
      </w:r>
      <w:r w:rsidR="00154795" w:rsidRPr="00AA6144">
        <w:rPr>
          <w:color w:val="auto"/>
          <w:sz w:val="18"/>
          <w:szCs w:val="18"/>
          <w:lang w:val="en-CA"/>
        </w:rPr>
        <w:t xml:space="preserve"> the </w:t>
      </w:r>
      <w:r w:rsidR="00B530CE" w:rsidRPr="00AA6144">
        <w:rPr>
          <w:color w:val="auto"/>
          <w:sz w:val="18"/>
          <w:szCs w:val="18"/>
          <w:lang w:val="en-CA"/>
        </w:rPr>
        <w:t xml:space="preserve">Quebec </w:t>
      </w:r>
      <w:r w:rsidR="00154795" w:rsidRPr="00AA6144">
        <w:rPr>
          <w:color w:val="auto"/>
          <w:sz w:val="18"/>
          <w:szCs w:val="18"/>
          <w:lang w:val="en-CA"/>
        </w:rPr>
        <w:t xml:space="preserve">Court of Appeal </w:t>
      </w:r>
      <w:r w:rsidR="008112CA" w:rsidRPr="00AA6144">
        <w:rPr>
          <w:color w:val="auto"/>
          <w:sz w:val="18"/>
          <w:szCs w:val="18"/>
          <w:lang w:val="en-CA"/>
        </w:rPr>
        <w:t xml:space="preserve">agreed with the </w:t>
      </w:r>
      <w:r w:rsidR="004565D9" w:rsidRPr="00AA6144">
        <w:rPr>
          <w:color w:val="auto"/>
          <w:sz w:val="18"/>
          <w:szCs w:val="18"/>
          <w:lang w:val="en-CA"/>
        </w:rPr>
        <w:t xml:space="preserve">analysis </w:t>
      </w:r>
      <w:r w:rsidR="008112CA" w:rsidRPr="00AA6144">
        <w:rPr>
          <w:color w:val="auto"/>
          <w:sz w:val="18"/>
          <w:szCs w:val="18"/>
          <w:lang w:val="en-CA"/>
        </w:rPr>
        <w:t xml:space="preserve">in </w:t>
      </w:r>
      <w:proofErr w:type="spellStart"/>
      <w:r w:rsidR="008112CA" w:rsidRPr="00AA6144">
        <w:rPr>
          <w:i/>
          <w:color w:val="auto"/>
          <w:sz w:val="18"/>
          <w:szCs w:val="18"/>
          <w:lang w:val="en-CA"/>
        </w:rPr>
        <w:t>Bouzari</w:t>
      </w:r>
      <w:proofErr w:type="spellEnd"/>
      <w:r w:rsidR="00AC63B9" w:rsidRPr="00AA6144">
        <w:rPr>
          <w:color w:val="auto"/>
          <w:sz w:val="18"/>
          <w:szCs w:val="18"/>
          <w:lang w:val="en-CA"/>
        </w:rPr>
        <w:t xml:space="preserve"> </w:t>
      </w:r>
      <w:r w:rsidR="008410EF" w:rsidRPr="00AA6144">
        <w:rPr>
          <w:color w:val="auto"/>
          <w:sz w:val="18"/>
          <w:szCs w:val="18"/>
          <w:lang w:val="en-CA"/>
        </w:rPr>
        <w:t xml:space="preserve">in </w:t>
      </w:r>
      <w:r w:rsidR="00360A66" w:rsidRPr="00AA6144">
        <w:rPr>
          <w:color w:val="auto"/>
          <w:sz w:val="18"/>
          <w:szCs w:val="18"/>
          <w:lang w:val="en-CA"/>
        </w:rPr>
        <w:t>determining that</w:t>
      </w:r>
      <w:r w:rsidR="00AC63B9" w:rsidRPr="00AA6144">
        <w:rPr>
          <w:color w:val="auto"/>
          <w:sz w:val="18"/>
          <w:szCs w:val="18"/>
          <w:lang w:val="en-CA"/>
        </w:rPr>
        <w:t xml:space="preserve"> the only exceptions to state immunity are those set out in the </w:t>
      </w:r>
      <w:r w:rsidR="00AC63B9" w:rsidRPr="00AA6144">
        <w:rPr>
          <w:i/>
          <w:color w:val="auto"/>
          <w:sz w:val="18"/>
          <w:szCs w:val="18"/>
          <w:lang w:val="en-CA"/>
        </w:rPr>
        <w:t>State Immunity Act</w:t>
      </w:r>
      <w:r w:rsidR="00AC63B9" w:rsidRPr="00AA6144">
        <w:rPr>
          <w:color w:val="auto"/>
          <w:sz w:val="18"/>
          <w:szCs w:val="18"/>
          <w:lang w:val="en-CA"/>
        </w:rPr>
        <w:t xml:space="preserve"> itself</w:t>
      </w:r>
      <w:r w:rsidR="00A64121" w:rsidRPr="00AA6144">
        <w:rPr>
          <w:color w:val="auto"/>
          <w:sz w:val="18"/>
          <w:szCs w:val="18"/>
          <w:lang w:val="en-CA"/>
        </w:rPr>
        <w:t>, and that torture is not one of those exceptions.</w:t>
      </w:r>
      <w:r w:rsidR="00AC63B9" w:rsidRPr="00AA6144">
        <w:rPr>
          <w:rStyle w:val="FootnoteReference"/>
          <w:color w:val="auto"/>
          <w:sz w:val="18"/>
          <w:szCs w:val="18"/>
          <w:lang w:val="en-CA"/>
        </w:rPr>
        <w:footnoteReference w:id="401"/>
      </w:r>
      <w:r w:rsidR="00A64121" w:rsidRPr="00AA6144">
        <w:rPr>
          <w:i/>
          <w:color w:val="auto"/>
          <w:sz w:val="18"/>
          <w:szCs w:val="18"/>
          <w:lang w:val="en-CA"/>
        </w:rPr>
        <w:t xml:space="preserve"> </w:t>
      </w:r>
      <w:proofErr w:type="spellStart"/>
      <w:r w:rsidR="00A64121" w:rsidRPr="00AA6144">
        <w:rPr>
          <w:i/>
          <w:color w:val="auto"/>
          <w:sz w:val="18"/>
          <w:szCs w:val="18"/>
          <w:lang w:val="en-CA"/>
        </w:rPr>
        <w:t>Kazemi</w:t>
      </w:r>
      <w:proofErr w:type="spellEnd"/>
      <w:r w:rsidR="00A64121" w:rsidRPr="00AA6144">
        <w:rPr>
          <w:i/>
          <w:color w:val="auto"/>
          <w:sz w:val="18"/>
          <w:szCs w:val="18"/>
          <w:lang w:val="en-CA"/>
        </w:rPr>
        <w:t xml:space="preserve"> </w:t>
      </w:r>
      <w:r w:rsidR="00DB25F7" w:rsidRPr="00AA6144">
        <w:rPr>
          <w:color w:val="auto"/>
          <w:sz w:val="18"/>
          <w:szCs w:val="18"/>
          <w:lang w:val="en-CA"/>
        </w:rPr>
        <w:t xml:space="preserve">was </w:t>
      </w:r>
      <w:r w:rsidR="00005660" w:rsidRPr="00AA6144">
        <w:rPr>
          <w:color w:val="auto"/>
          <w:sz w:val="18"/>
          <w:szCs w:val="18"/>
          <w:lang w:val="en-CA"/>
        </w:rPr>
        <w:t>appealed to the Supreme Court of Canada, where</w:t>
      </w:r>
      <w:r w:rsidR="00005660" w:rsidRPr="00AA6144">
        <w:rPr>
          <w:sz w:val="18"/>
          <w:szCs w:val="18"/>
          <w:lang w:val="en-CA"/>
        </w:rPr>
        <w:t xml:space="preserve"> the Court</w:t>
      </w:r>
      <w:r w:rsidR="00943B3B" w:rsidRPr="00AA6144">
        <w:rPr>
          <w:sz w:val="18"/>
          <w:szCs w:val="18"/>
          <w:lang w:val="en-CA"/>
        </w:rPr>
        <w:t xml:space="preserve"> addressed the tension between state immunity and the efforts of victims to seek remedies in Canadian courts for torture abroad, concluding that Canada’s State Immunity Act is consistent with international law.</w:t>
      </w:r>
      <w:r w:rsidR="00943B3B" w:rsidRPr="00AA6144">
        <w:rPr>
          <w:rStyle w:val="FootnoteReference"/>
          <w:sz w:val="18"/>
          <w:szCs w:val="18"/>
          <w:lang w:val="en-CA"/>
        </w:rPr>
        <w:footnoteReference w:id="402"/>
      </w:r>
      <w:r w:rsidR="00943B3B" w:rsidRPr="00AA6144">
        <w:rPr>
          <w:sz w:val="18"/>
          <w:szCs w:val="18"/>
          <w:lang w:val="en-CA"/>
        </w:rPr>
        <w:t xml:space="preserve"> </w:t>
      </w:r>
    </w:p>
    <w:p w14:paraId="7D2DFA58" w14:textId="77777777" w:rsidR="00DA77EB" w:rsidRPr="00AA6144" w:rsidRDefault="00DA77EB" w:rsidP="00FA5FDC">
      <w:pPr>
        <w:pStyle w:val="AIBodyText"/>
        <w:rPr>
          <w:color w:val="auto"/>
          <w:lang w:val="en-CA"/>
        </w:rPr>
      </w:pPr>
      <w:r w:rsidRPr="00AA6144">
        <w:rPr>
          <w:color w:val="auto"/>
          <w:lang w:val="en-CA"/>
        </w:rPr>
        <w:t xml:space="preserve">The </w:t>
      </w:r>
      <w:r w:rsidR="00EE240C" w:rsidRPr="00AA6144">
        <w:rPr>
          <w:color w:val="auto"/>
          <w:lang w:val="en-CA"/>
        </w:rPr>
        <w:t xml:space="preserve">current </w:t>
      </w:r>
      <w:r w:rsidRPr="00AA6144">
        <w:rPr>
          <w:color w:val="auto"/>
          <w:lang w:val="en-CA"/>
        </w:rPr>
        <w:t xml:space="preserve">decisions in </w:t>
      </w:r>
      <w:proofErr w:type="spellStart"/>
      <w:r w:rsidRPr="00AA6144">
        <w:rPr>
          <w:i/>
          <w:color w:val="auto"/>
          <w:lang w:val="en-CA"/>
        </w:rPr>
        <w:t>Bouzari</w:t>
      </w:r>
      <w:proofErr w:type="spellEnd"/>
      <w:r w:rsidRPr="00AA6144">
        <w:rPr>
          <w:i/>
          <w:color w:val="auto"/>
          <w:lang w:val="en-CA"/>
        </w:rPr>
        <w:t xml:space="preserve"> </w:t>
      </w:r>
      <w:r w:rsidRPr="00AA6144">
        <w:rPr>
          <w:color w:val="auto"/>
          <w:lang w:val="en-CA"/>
        </w:rPr>
        <w:t xml:space="preserve">and </w:t>
      </w:r>
      <w:proofErr w:type="spellStart"/>
      <w:r w:rsidRPr="00AA6144">
        <w:rPr>
          <w:i/>
          <w:color w:val="auto"/>
          <w:lang w:val="en-CA"/>
        </w:rPr>
        <w:t>Kazemi</w:t>
      </w:r>
      <w:proofErr w:type="spellEnd"/>
      <w:r w:rsidRPr="00AA6144">
        <w:rPr>
          <w:color w:val="auto"/>
          <w:lang w:val="en-CA"/>
        </w:rPr>
        <w:t xml:space="preserve"> render Canadian law inconsistent with the provisions of the Convention against Torture and Other Cruel, Inhuman or Degrading Treatment or Punishment on civil redress.</w:t>
      </w:r>
      <w:r w:rsidRPr="00AA6144">
        <w:rPr>
          <w:rStyle w:val="FootnoteReference"/>
          <w:color w:val="auto"/>
          <w:lang w:val="en-CA"/>
        </w:rPr>
        <w:t xml:space="preserve"> </w:t>
      </w:r>
      <w:r w:rsidRPr="00AA6144">
        <w:rPr>
          <w:rStyle w:val="FootnoteReference"/>
          <w:color w:val="auto"/>
          <w:lang w:val="en-CA"/>
        </w:rPr>
        <w:footnoteReference w:id="403"/>
      </w:r>
      <w:r w:rsidR="006961F1" w:rsidRPr="00AA6144">
        <w:rPr>
          <w:color w:val="auto"/>
          <w:lang w:val="en-CA"/>
        </w:rPr>
        <w:t>In view of this, the</w:t>
      </w:r>
      <w:r w:rsidR="00526A17" w:rsidRPr="00AA6144">
        <w:rPr>
          <w:color w:val="auto"/>
          <w:lang w:val="en-CA"/>
        </w:rPr>
        <w:t xml:space="preserve"> last concluding observations issued by</w:t>
      </w:r>
      <w:r w:rsidR="006961F1" w:rsidRPr="00AA6144">
        <w:rPr>
          <w:color w:val="auto"/>
          <w:lang w:val="en-CA"/>
        </w:rPr>
        <w:t xml:space="preserve"> the United Nations Committee Against Torture directed at Canada </w:t>
      </w:r>
      <w:r w:rsidR="00526A17" w:rsidRPr="00AA6144">
        <w:rPr>
          <w:color w:val="auto"/>
          <w:lang w:val="en-CA"/>
        </w:rPr>
        <w:t>called for amendment to the</w:t>
      </w:r>
      <w:r w:rsidR="006961F1" w:rsidRPr="00AA6144">
        <w:rPr>
          <w:color w:val="auto"/>
          <w:lang w:val="en-CA"/>
        </w:rPr>
        <w:t xml:space="preserve"> </w:t>
      </w:r>
      <w:r w:rsidR="006961F1" w:rsidRPr="00AA6144">
        <w:rPr>
          <w:i/>
          <w:color w:val="auto"/>
          <w:lang w:val="en-CA"/>
        </w:rPr>
        <w:t xml:space="preserve">State Immunity Act </w:t>
      </w:r>
      <w:r w:rsidR="006961F1" w:rsidRPr="00AA6144">
        <w:rPr>
          <w:color w:val="auto"/>
          <w:lang w:val="en-CA"/>
        </w:rPr>
        <w:t xml:space="preserve">to bring it into line with </w:t>
      </w:r>
      <w:r w:rsidR="0041415A" w:rsidRPr="00AA6144">
        <w:rPr>
          <w:color w:val="auto"/>
          <w:lang w:val="en-CA"/>
        </w:rPr>
        <w:t>Article 14 of the Convention.</w:t>
      </w:r>
      <w:r w:rsidR="00744CA8" w:rsidRPr="00AA6144">
        <w:rPr>
          <w:rStyle w:val="FootnoteReference"/>
          <w:color w:val="auto"/>
          <w:lang w:val="en-CA"/>
        </w:rPr>
        <w:footnoteReference w:id="404"/>
      </w:r>
    </w:p>
    <w:p w14:paraId="67E9ECAA" w14:textId="77777777" w:rsidR="00DA77EB" w:rsidRPr="00AA6144" w:rsidRDefault="00DA77EB" w:rsidP="00DA77EB">
      <w:pPr>
        <w:pStyle w:val="AIBodyText"/>
        <w:rPr>
          <w:color w:val="auto"/>
          <w:lang w:val="en-CA"/>
        </w:rPr>
      </w:pPr>
      <w:r w:rsidRPr="00AA6144">
        <w:rPr>
          <w:color w:val="auto"/>
          <w:lang w:val="en-CA"/>
        </w:rPr>
        <w:t xml:space="preserve"> Article 14 of the Convention against Torture states: </w:t>
      </w:r>
    </w:p>
    <w:p w14:paraId="142928C7" w14:textId="77777777" w:rsidR="00DA77EB" w:rsidRPr="00AA6144" w:rsidRDefault="00DA77EB" w:rsidP="00FA5FDC">
      <w:pPr>
        <w:pStyle w:val="AIBodyText"/>
        <w:ind w:left="357"/>
        <w:rPr>
          <w:color w:val="auto"/>
          <w:lang w:val="en-CA"/>
        </w:rPr>
      </w:pPr>
      <w:r w:rsidRPr="00AA6144">
        <w:rPr>
          <w:color w:val="auto"/>
          <w:lang w:val="en-CA"/>
        </w:rPr>
        <w:t xml:space="preserve">1. Each State Party shall ensure in its legal system that the victim of an act of torture obtains redress and has an enforceable right to fair and adequate compensation, including the means for as full rehabilitation as possible. In the event of the death of the victim as a result of an act of torture, his dependants shall be entitled to </w:t>
      </w:r>
      <w:proofErr w:type="gramStart"/>
      <w:r w:rsidRPr="00AA6144">
        <w:rPr>
          <w:color w:val="auto"/>
          <w:lang w:val="en-CA"/>
        </w:rPr>
        <w:t>compensation;</w:t>
      </w:r>
      <w:proofErr w:type="gramEnd"/>
      <w:r w:rsidRPr="00AA6144">
        <w:rPr>
          <w:color w:val="auto"/>
          <w:lang w:val="en-CA"/>
        </w:rPr>
        <w:t xml:space="preserve"> </w:t>
      </w:r>
    </w:p>
    <w:p w14:paraId="0A0E06CE" w14:textId="77777777" w:rsidR="00DA77EB" w:rsidRPr="00AA6144" w:rsidRDefault="00DA77EB" w:rsidP="00FA5FDC">
      <w:pPr>
        <w:pStyle w:val="AIBodyText"/>
        <w:ind w:left="357"/>
        <w:rPr>
          <w:color w:val="auto"/>
          <w:lang w:val="en-CA"/>
        </w:rPr>
      </w:pPr>
      <w:r w:rsidRPr="00AA6144">
        <w:rPr>
          <w:color w:val="auto"/>
          <w:lang w:val="en-CA"/>
        </w:rPr>
        <w:t>2. Nothing in this article shall affect any right of the victim or other persons to compensation which may exist under national law.</w:t>
      </w:r>
      <w:r w:rsidRPr="00AA6144">
        <w:rPr>
          <w:rStyle w:val="FootnoteReference"/>
          <w:color w:val="auto"/>
          <w:lang w:val="en-CA"/>
        </w:rPr>
        <w:footnoteReference w:id="405"/>
      </w:r>
    </w:p>
    <w:p w14:paraId="5727BC44" w14:textId="77777777" w:rsidR="002A5C56" w:rsidRPr="00AA6144" w:rsidRDefault="002A5C56" w:rsidP="00D7778C">
      <w:pPr>
        <w:pStyle w:val="AIBodyText"/>
        <w:rPr>
          <w:color w:val="auto"/>
          <w:lang w:val="en-CA"/>
        </w:rPr>
      </w:pPr>
      <w:r w:rsidRPr="00AA6144">
        <w:rPr>
          <w:color w:val="auto"/>
          <w:lang w:val="en-CA"/>
        </w:rPr>
        <w:t xml:space="preserve">Amnesty International </w:t>
      </w:r>
      <w:r w:rsidR="00514762" w:rsidRPr="00AA6144">
        <w:rPr>
          <w:color w:val="auto"/>
          <w:lang w:val="en-CA"/>
        </w:rPr>
        <w:t xml:space="preserve">has argued </w:t>
      </w:r>
      <w:r w:rsidRPr="00AA6144">
        <w:rPr>
          <w:color w:val="auto"/>
          <w:lang w:val="en-CA"/>
        </w:rPr>
        <w:t xml:space="preserve">that the judgment </w:t>
      </w:r>
      <w:r w:rsidR="00D7778C" w:rsidRPr="00AA6144">
        <w:rPr>
          <w:color w:val="auto"/>
          <w:lang w:val="en-CA"/>
        </w:rPr>
        <w:t xml:space="preserve">of the International Court of Justice </w:t>
      </w:r>
      <w:r w:rsidRPr="00AA6144">
        <w:rPr>
          <w:color w:val="auto"/>
          <w:lang w:val="en-CA"/>
        </w:rPr>
        <w:t xml:space="preserve">in the </w:t>
      </w:r>
      <w:r w:rsidRPr="00AA6144">
        <w:rPr>
          <w:i/>
          <w:color w:val="auto"/>
          <w:lang w:val="en-CA"/>
        </w:rPr>
        <w:t>Arrest Warrant</w:t>
      </w:r>
      <w:r w:rsidRPr="00AA6144">
        <w:rPr>
          <w:color w:val="auto"/>
          <w:lang w:val="en-CA"/>
        </w:rPr>
        <w:t xml:space="preserve"> case, which concluded that serving heads of state, heads of government and foreign ministers were immune from prosecution in foreign courts, is based on </w:t>
      </w:r>
      <w:r w:rsidR="00A81E10" w:rsidRPr="00AA6144">
        <w:rPr>
          <w:color w:val="auto"/>
          <w:lang w:val="en-CA"/>
        </w:rPr>
        <w:t xml:space="preserve">an </w:t>
      </w:r>
      <w:r w:rsidRPr="00AA6144">
        <w:rPr>
          <w:color w:val="auto"/>
          <w:lang w:val="en-CA"/>
        </w:rPr>
        <w:t xml:space="preserve">incorrect </w:t>
      </w:r>
      <w:r w:rsidR="00A81E10" w:rsidRPr="00AA6144">
        <w:rPr>
          <w:color w:val="auto"/>
          <w:lang w:val="en-CA"/>
        </w:rPr>
        <w:t>analysis of international</w:t>
      </w:r>
      <w:r w:rsidRPr="00AA6144">
        <w:rPr>
          <w:color w:val="auto"/>
          <w:lang w:val="en-CA"/>
        </w:rPr>
        <w:t xml:space="preserve"> law.</w:t>
      </w:r>
      <w:r w:rsidR="001577D0" w:rsidRPr="00AA6144">
        <w:rPr>
          <w:rStyle w:val="FootnoteReference"/>
          <w:color w:val="auto"/>
          <w:lang w:val="en-CA"/>
        </w:rPr>
        <w:footnoteReference w:id="406"/>
      </w:r>
      <w:r w:rsidRPr="00AA6144">
        <w:rPr>
          <w:color w:val="auto"/>
          <w:lang w:val="en-CA"/>
        </w:rPr>
        <w:t xml:space="preserve"> Amnesty International has urged that this ruling</w:t>
      </w:r>
      <w:r w:rsidR="00D7778C" w:rsidRPr="00AA6144">
        <w:rPr>
          <w:color w:val="auto"/>
          <w:lang w:val="en-CA"/>
        </w:rPr>
        <w:t>, which is binding only upon the states in that case,</w:t>
      </w:r>
      <w:r w:rsidRPr="00AA6144">
        <w:rPr>
          <w:color w:val="auto"/>
          <w:lang w:val="en-CA"/>
        </w:rPr>
        <w:t xml:space="preserve"> should be reversed and hopes that this will be done in the future, as </w:t>
      </w:r>
      <w:r w:rsidR="00A81E10" w:rsidRPr="00AA6144">
        <w:rPr>
          <w:color w:val="auto"/>
          <w:lang w:val="en-CA"/>
        </w:rPr>
        <w:t xml:space="preserve">no serving or former official should be able to </w:t>
      </w:r>
      <w:r w:rsidR="0088122C" w:rsidRPr="00AA6144">
        <w:rPr>
          <w:color w:val="auto"/>
          <w:lang w:val="en-CA"/>
        </w:rPr>
        <w:t xml:space="preserve">successfully </w:t>
      </w:r>
      <w:r w:rsidR="00A81E10" w:rsidRPr="00AA6144">
        <w:rPr>
          <w:color w:val="auto"/>
          <w:lang w:val="en-CA"/>
        </w:rPr>
        <w:t xml:space="preserve">assert a claim of </w:t>
      </w:r>
      <w:r w:rsidRPr="00AA6144">
        <w:rPr>
          <w:color w:val="auto"/>
          <w:lang w:val="en-CA"/>
        </w:rPr>
        <w:t xml:space="preserve">immunity </w:t>
      </w:r>
      <w:r w:rsidR="00D7778C" w:rsidRPr="00AA6144">
        <w:rPr>
          <w:color w:val="auto"/>
          <w:lang w:val="en-CA"/>
        </w:rPr>
        <w:t>with respect to</w:t>
      </w:r>
      <w:r w:rsidRPr="00AA6144">
        <w:rPr>
          <w:color w:val="auto"/>
          <w:lang w:val="en-CA"/>
        </w:rPr>
        <w:t xml:space="preserve"> the worst possible crimes ever committed. As expla</w:t>
      </w:r>
      <w:r w:rsidR="00A81E10" w:rsidRPr="00AA6144">
        <w:rPr>
          <w:color w:val="auto"/>
          <w:lang w:val="en-CA"/>
        </w:rPr>
        <w:t>in</w:t>
      </w:r>
      <w:r w:rsidRPr="00AA6144">
        <w:rPr>
          <w:color w:val="auto"/>
          <w:lang w:val="en-CA"/>
        </w:rPr>
        <w:t>ed elsewhere,</w:t>
      </w:r>
      <w:r w:rsidRPr="00AA6144">
        <w:rPr>
          <w:rStyle w:val="FootnoteReference"/>
          <w:color w:val="auto"/>
          <w:lang w:val="en-CA"/>
        </w:rPr>
        <w:footnoteReference w:id="407"/>
      </w:r>
      <w:r w:rsidRPr="00AA6144">
        <w:rPr>
          <w:color w:val="auto"/>
          <w:lang w:val="en-CA"/>
        </w:rPr>
        <w:t xml:space="preserve"> there is no convincing basis in customary international law to </w:t>
      </w:r>
      <w:r w:rsidR="0088122C" w:rsidRPr="00AA6144">
        <w:rPr>
          <w:color w:val="auto"/>
          <w:lang w:val="en-CA"/>
        </w:rPr>
        <w:t xml:space="preserve">grant </w:t>
      </w:r>
      <w:r w:rsidRPr="00AA6144">
        <w:rPr>
          <w:color w:val="auto"/>
          <w:lang w:val="en-CA"/>
        </w:rPr>
        <w:t xml:space="preserve">immunity </w:t>
      </w:r>
      <w:r w:rsidR="00043EA6" w:rsidRPr="00AA6144">
        <w:rPr>
          <w:color w:val="auto"/>
          <w:lang w:val="en-CA"/>
        </w:rPr>
        <w:t xml:space="preserve">to </w:t>
      </w:r>
      <w:r w:rsidRPr="00AA6144">
        <w:rPr>
          <w:color w:val="auto"/>
          <w:lang w:val="en-CA"/>
        </w:rPr>
        <w:t xml:space="preserve">state officials in </w:t>
      </w:r>
      <w:r w:rsidR="001577D0" w:rsidRPr="00AA6144">
        <w:rPr>
          <w:color w:val="auto"/>
          <w:lang w:val="en-CA"/>
        </w:rPr>
        <w:t xml:space="preserve">or out of </w:t>
      </w:r>
      <w:r w:rsidRPr="00AA6144">
        <w:rPr>
          <w:color w:val="auto"/>
          <w:lang w:val="en-CA"/>
        </w:rPr>
        <w:t>office when committing genocide, crimes against humanity and war crimes. I</w:t>
      </w:r>
      <w:r w:rsidR="001577D0" w:rsidRPr="00AA6144">
        <w:rPr>
          <w:color w:val="auto"/>
          <w:lang w:val="en-CA"/>
        </w:rPr>
        <w:t>ndeed,</w:t>
      </w:r>
      <w:r w:rsidRPr="00AA6144">
        <w:rPr>
          <w:color w:val="auto"/>
          <w:lang w:val="en-CA"/>
        </w:rPr>
        <w:t xml:space="preserve"> the International Court of Justice in the </w:t>
      </w:r>
      <w:r w:rsidRPr="00AA6144">
        <w:rPr>
          <w:i/>
          <w:color w:val="auto"/>
          <w:lang w:val="en-CA"/>
        </w:rPr>
        <w:t>Arrest Warrant</w:t>
      </w:r>
      <w:r w:rsidRPr="00AA6144">
        <w:rPr>
          <w:color w:val="auto"/>
          <w:lang w:val="en-CA"/>
        </w:rPr>
        <w:t xml:space="preserve"> case failed to cite any state practice or </w:t>
      </w:r>
      <w:proofErr w:type="spellStart"/>
      <w:r w:rsidRPr="00AA6144">
        <w:rPr>
          <w:i/>
          <w:color w:val="auto"/>
          <w:lang w:val="en-CA"/>
        </w:rPr>
        <w:t>opinio</w:t>
      </w:r>
      <w:proofErr w:type="spellEnd"/>
      <w:r w:rsidRPr="00AA6144">
        <w:rPr>
          <w:i/>
          <w:color w:val="auto"/>
          <w:lang w:val="en-CA"/>
        </w:rPr>
        <w:t xml:space="preserve"> </w:t>
      </w:r>
      <w:r w:rsidR="00043EA6" w:rsidRPr="00AA6144">
        <w:rPr>
          <w:i/>
          <w:color w:val="auto"/>
          <w:lang w:val="en-CA"/>
        </w:rPr>
        <w:t>juris</w:t>
      </w:r>
      <w:r w:rsidR="00043EA6" w:rsidRPr="00AA6144">
        <w:rPr>
          <w:color w:val="auto"/>
          <w:lang w:val="en-CA"/>
        </w:rPr>
        <w:t xml:space="preserve"> </w:t>
      </w:r>
      <w:r w:rsidRPr="00AA6144">
        <w:rPr>
          <w:color w:val="auto"/>
          <w:lang w:val="en-CA"/>
        </w:rPr>
        <w:t xml:space="preserve">in this respect. </w:t>
      </w:r>
    </w:p>
    <w:p w14:paraId="2A6E55B8" w14:textId="77777777" w:rsidR="002A5C56" w:rsidRPr="00AA6144" w:rsidRDefault="002A5C56" w:rsidP="00C443DA">
      <w:pPr>
        <w:pStyle w:val="AIBodyText"/>
        <w:rPr>
          <w:color w:val="auto"/>
          <w:lang w:val="en-CA"/>
        </w:rPr>
      </w:pPr>
      <w:r w:rsidRPr="00AA6144">
        <w:rPr>
          <w:color w:val="auto"/>
          <w:lang w:val="en-CA"/>
        </w:rPr>
        <w:t xml:space="preserve">Instruments adopted by the international community show a consistent rejection of </w:t>
      </w:r>
      <w:r w:rsidR="00B42758" w:rsidRPr="00AA6144">
        <w:rPr>
          <w:color w:val="auto"/>
          <w:lang w:val="en-CA"/>
        </w:rPr>
        <w:t xml:space="preserve">state </w:t>
      </w:r>
      <w:r w:rsidRPr="00AA6144">
        <w:rPr>
          <w:color w:val="auto"/>
          <w:lang w:val="en-CA"/>
        </w:rPr>
        <w:t>immunity from prosecution for crimes under international law for any government official since the Second World War.</w:t>
      </w:r>
      <w:r w:rsidR="00B42758" w:rsidRPr="00AA6144">
        <w:rPr>
          <w:color w:val="auto"/>
          <w:vertAlign w:val="superscript"/>
          <w:lang w:val="en-CA"/>
        </w:rPr>
        <w:footnoteReference w:id="408"/>
      </w:r>
      <w:r w:rsidRPr="00AA6144">
        <w:rPr>
          <w:color w:val="auto"/>
          <w:lang w:val="en-CA"/>
        </w:rPr>
        <w:t xml:space="preserve"> Those instruments articulate a customary international law rule and general principle of law. </w:t>
      </w:r>
      <w:r w:rsidR="00C443DA" w:rsidRPr="00AA6144">
        <w:rPr>
          <w:color w:val="auto"/>
          <w:lang w:val="en-CA"/>
        </w:rPr>
        <w:t xml:space="preserve">Indeed, several of the international instruments adopted over the past half century were expressly intended to apply both to international and national courts. </w:t>
      </w:r>
      <w:r w:rsidRPr="00AA6144">
        <w:rPr>
          <w:color w:val="auto"/>
          <w:lang w:val="en-CA"/>
        </w:rPr>
        <w:t xml:space="preserve">Moreover, even </w:t>
      </w:r>
      <w:r w:rsidR="00207694" w:rsidRPr="00AA6144">
        <w:rPr>
          <w:color w:val="auto"/>
          <w:lang w:val="en-CA"/>
        </w:rPr>
        <w:t xml:space="preserve">those </w:t>
      </w:r>
      <w:r w:rsidRPr="00AA6144">
        <w:rPr>
          <w:color w:val="auto"/>
          <w:lang w:val="en-CA"/>
        </w:rPr>
        <w:t xml:space="preserve">international instruments establishing international criminal </w:t>
      </w:r>
      <w:r w:rsidR="00B42758" w:rsidRPr="00AA6144">
        <w:rPr>
          <w:color w:val="auto"/>
          <w:lang w:val="en-CA"/>
        </w:rPr>
        <w:t xml:space="preserve">tribunals </w:t>
      </w:r>
      <w:r w:rsidRPr="00AA6144">
        <w:rPr>
          <w:color w:val="auto"/>
          <w:lang w:val="en-CA"/>
        </w:rPr>
        <w:t xml:space="preserve">envisaged that the same rules of international law reiterated in </w:t>
      </w:r>
      <w:r w:rsidR="00B24BDB" w:rsidRPr="00AA6144">
        <w:rPr>
          <w:color w:val="auto"/>
          <w:lang w:val="en-CA"/>
        </w:rPr>
        <w:t xml:space="preserve">the </w:t>
      </w:r>
      <w:r w:rsidRPr="00AA6144">
        <w:rPr>
          <w:color w:val="auto"/>
          <w:lang w:val="en-CA"/>
        </w:rPr>
        <w:t xml:space="preserve">instruments </w:t>
      </w:r>
      <w:r w:rsidR="00B24BDB" w:rsidRPr="00AA6144">
        <w:rPr>
          <w:color w:val="auto"/>
          <w:lang w:val="en-CA"/>
        </w:rPr>
        <w:t xml:space="preserve">would apply </w:t>
      </w:r>
      <w:r w:rsidRPr="00AA6144">
        <w:rPr>
          <w:color w:val="auto"/>
          <w:lang w:val="en-CA"/>
        </w:rPr>
        <w:t>with equal force to prosecutions by national courts.</w:t>
      </w:r>
      <w:r w:rsidRPr="00AA6144">
        <w:rPr>
          <w:rStyle w:val="FootnoteReference"/>
          <w:color w:val="auto"/>
          <w:lang w:val="en-CA"/>
        </w:rPr>
        <w:t xml:space="preserve"> </w:t>
      </w:r>
      <w:r w:rsidRPr="00AA6144">
        <w:rPr>
          <w:rStyle w:val="FootnoteReference"/>
          <w:color w:val="auto"/>
          <w:lang w:val="en-CA"/>
        </w:rPr>
        <w:footnoteReference w:id="409"/>
      </w:r>
    </w:p>
    <w:p w14:paraId="65DB4597" w14:textId="77777777" w:rsidR="001E2002" w:rsidRPr="00AA6144" w:rsidRDefault="001E2002" w:rsidP="001E2002">
      <w:pPr>
        <w:pStyle w:val="Heading2"/>
        <w:rPr>
          <w:color w:val="auto"/>
          <w:lang w:val="en-CA"/>
        </w:rPr>
      </w:pPr>
      <w:bookmarkStart w:id="156" w:name="_Toc43382755"/>
      <w:r w:rsidRPr="00AA6144">
        <w:rPr>
          <w:color w:val="auto"/>
          <w:lang w:val="en-CA"/>
        </w:rPr>
        <w:t>6.6. Bars on retroactive application of international criminal law in national law or other temporal restrictions</w:t>
      </w:r>
      <w:bookmarkEnd w:id="156"/>
    </w:p>
    <w:p w14:paraId="28099237" w14:textId="77777777" w:rsidR="00DF338C" w:rsidRPr="00AA6144" w:rsidRDefault="00DF338C" w:rsidP="00DF338C">
      <w:pPr>
        <w:spacing w:after="0"/>
        <w:rPr>
          <w:lang w:val="en-CA"/>
        </w:rPr>
      </w:pPr>
    </w:p>
    <w:p w14:paraId="123B1216" w14:textId="6B0D3957" w:rsidR="001E2002" w:rsidRDefault="001E2002" w:rsidP="00DC4ED4">
      <w:pPr>
        <w:pStyle w:val="AIBodyText"/>
        <w:rPr>
          <w:color w:val="auto"/>
          <w:szCs w:val="18"/>
          <w:lang w:val="en-CA"/>
        </w:rPr>
      </w:pPr>
      <w:r w:rsidRPr="00AA6144">
        <w:rPr>
          <w:color w:val="auto"/>
          <w:lang w:val="en-CA"/>
        </w:rPr>
        <w:t xml:space="preserve">States have recognized for </w:t>
      </w:r>
      <w:r w:rsidR="00E51A0A" w:rsidRPr="00AA6144">
        <w:rPr>
          <w:color w:val="auto"/>
          <w:lang w:val="en-CA"/>
        </w:rPr>
        <w:t>more than</w:t>
      </w:r>
      <w:r w:rsidRPr="00AA6144">
        <w:rPr>
          <w:color w:val="auto"/>
          <w:lang w:val="en-CA"/>
        </w:rPr>
        <w:t xml:space="preserve"> six decades</w:t>
      </w:r>
      <w:r w:rsidR="00DF0CDF" w:rsidRPr="00AA6144">
        <w:rPr>
          <w:color w:val="auto"/>
          <w:lang w:val="en-CA"/>
        </w:rPr>
        <w:t xml:space="preserve"> since the adoption of the Universal Declaration of Human Rights</w:t>
      </w:r>
      <w:r w:rsidRPr="00AA6144">
        <w:rPr>
          <w:color w:val="auto"/>
          <w:lang w:val="en-CA"/>
        </w:rPr>
        <w:t xml:space="preserve"> that the prohibition of retroactive criminal laws does not apply to </w:t>
      </w:r>
      <w:r w:rsidR="00C443DA" w:rsidRPr="00AA6144">
        <w:rPr>
          <w:color w:val="auto"/>
          <w:lang w:val="en-CA"/>
        </w:rPr>
        <w:t xml:space="preserve">retrospective </w:t>
      </w:r>
      <w:r w:rsidRPr="00AA6144">
        <w:rPr>
          <w:color w:val="auto"/>
          <w:lang w:val="en-CA"/>
        </w:rPr>
        <w:t>national criminal legislation enacted after the relevant conduct became recognized as criminal under international law.</w:t>
      </w:r>
      <w:r w:rsidRPr="00AA6144">
        <w:rPr>
          <w:rStyle w:val="FootnoteReference"/>
          <w:color w:val="auto"/>
          <w:lang w:val="en-CA"/>
        </w:rPr>
        <w:footnoteReference w:id="410"/>
      </w:r>
      <w:r w:rsidRPr="00AA6144">
        <w:rPr>
          <w:rStyle w:val="FootnoteReference"/>
          <w:color w:val="auto"/>
          <w:lang w:val="en-CA"/>
        </w:rPr>
        <w:t xml:space="preserve"> </w:t>
      </w:r>
      <w:r w:rsidRPr="00AA6144">
        <w:rPr>
          <w:color w:val="auto"/>
          <w:lang w:val="en-CA"/>
        </w:rPr>
        <w:t xml:space="preserve"> Article 15 of the </w:t>
      </w:r>
      <w:r w:rsidR="00684542" w:rsidRPr="00AA6144">
        <w:rPr>
          <w:color w:val="auto"/>
          <w:lang w:val="en-CA"/>
        </w:rPr>
        <w:t>International Covenant on Civil and Political Rights</w:t>
      </w:r>
      <w:r w:rsidRPr="00AA6144">
        <w:rPr>
          <w:color w:val="auto"/>
          <w:lang w:val="en-CA"/>
        </w:rPr>
        <w:t xml:space="preserve">, </w:t>
      </w:r>
      <w:r w:rsidR="00B91841" w:rsidRPr="00AA6144">
        <w:rPr>
          <w:color w:val="auto"/>
          <w:lang w:val="en-CA"/>
        </w:rPr>
        <w:t>which Canada ratified on May 19</w:t>
      </w:r>
      <w:r w:rsidR="00B91841" w:rsidRPr="00AA6144">
        <w:rPr>
          <w:color w:val="auto"/>
          <w:vertAlign w:val="superscript"/>
          <w:lang w:val="en-CA"/>
        </w:rPr>
        <w:t>th</w:t>
      </w:r>
      <w:r w:rsidR="00B91841" w:rsidRPr="00AA6144">
        <w:rPr>
          <w:color w:val="auto"/>
          <w:lang w:val="en-CA"/>
        </w:rPr>
        <w:t xml:space="preserve"> 1976</w:t>
      </w:r>
      <w:r w:rsidRPr="00AA6144">
        <w:rPr>
          <w:color w:val="auto"/>
          <w:lang w:val="en-CA"/>
        </w:rPr>
        <w:t>, contains a similar pro</w:t>
      </w:r>
      <w:r w:rsidR="00DF0CDF" w:rsidRPr="00AA6144">
        <w:rPr>
          <w:color w:val="auto"/>
          <w:lang w:val="en-CA"/>
        </w:rPr>
        <w:t>hibitio</w:t>
      </w:r>
      <w:r w:rsidRPr="00AA6144">
        <w:rPr>
          <w:color w:val="auto"/>
          <w:lang w:val="en-CA"/>
        </w:rPr>
        <w:t>n.</w:t>
      </w:r>
      <w:bookmarkStart w:id="157" w:name="_Ref267054773"/>
      <w:r w:rsidRPr="00AA6144">
        <w:rPr>
          <w:rStyle w:val="FootnoteReference"/>
          <w:color w:val="auto"/>
          <w:szCs w:val="20"/>
          <w:lang w:val="en-CA"/>
        </w:rPr>
        <w:footnoteReference w:id="411"/>
      </w:r>
      <w:bookmarkEnd w:id="157"/>
      <w:r w:rsidR="00DC4ED4" w:rsidRPr="00AA6144">
        <w:rPr>
          <w:color w:val="auto"/>
          <w:lang w:val="en-CA"/>
        </w:rPr>
        <w:t xml:space="preserve"> The Committee against Torture has made clear that national legislation defining torture as a crime under international law can apply to conduct which was considered as torture under international law prior to the enactment of that legislation.</w:t>
      </w:r>
      <w:r w:rsidR="00DC4ED4" w:rsidRPr="00AA6144">
        <w:rPr>
          <w:rStyle w:val="FootnoteReference"/>
          <w:color w:val="auto"/>
          <w:lang w:val="en-CA"/>
        </w:rPr>
        <w:footnoteReference w:id="412"/>
      </w:r>
      <w:r w:rsidR="000E37FD" w:rsidRPr="00AA6144">
        <w:rPr>
          <w:color w:val="auto"/>
          <w:lang w:val="en-CA"/>
        </w:rPr>
        <w:t xml:space="preserve"> The Special Tribunal for Lebanon has also concluded that: "According to the principle of legality, everybody must know in advance whether specific conduct is consonant with, or a violation of, penal law (...). This provision does not necessarily entail, however, that the authorities of a State party to the ICCPR may try and convict a person for a crime that is provided for in international law but not yet codified in the domestic legal order: in criminal matters, international law cannot substitute itself for national legislation; in other words, international criminalisation alone is not sufficient for domestic legal orders to punish that conduct. Nevertheless, Article 15 of the ICCPR allows at the very least that fresh national legislation (or, where admissible, a binding case) defining a crime that was already contemplated in international law may be applied to offences committed before its enactment without breaching the </w:t>
      </w:r>
      <w:proofErr w:type="spellStart"/>
      <w:r w:rsidR="000E37FD" w:rsidRPr="00AA6144">
        <w:rPr>
          <w:i/>
          <w:color w:val="auto"/>
          <w:lang w:val="en-CA"/>
        </w:rPr>
        <w:t>nullum</w:t>
      </w:r>
      <w:proofErr w:type="spellEnd"/>
      <w:r w:rsidR="000E37FD" w:rsidRPr="00AA6144">
        <w:rPr>
          <w:i/>
          <w:color w:val="auto"/>
          <w:lang w:val="en-CA"/>
        </w:rPr>
        <w:t xml:space="preserve"> </w:t>
      </w:r>
      <w:proofErr w:type="spellStart"/>
      <w:r w:rsidR="000E37FD" w:rsidRPr="00AA6144">
        <w:rPr>
          <w:i/>
          <w:color w:val="auto"/>
          <w:lang w:val="en-CA"/>
        </w:rPr>
        <w:t>crimen</w:t>
      </w:r>
      <w:proofErr w:type="spellEnd"/>
      <w:r w:rsidR="000E37FD" w:rsidRPr="00AA6144">
        <w:rPr>
          <w:color w:val="auto"/>
          <w:lang w:val="en-CA"/>
        </w:rPr>
        <w:t xml:space="preserve"> principle. This implies that individuals are expected and required to know that a certain conduct is criminalised in international law: at least from the time that the same conduct is criminalised also in a national legal order, a person may thus be punished by domestic courts even for conduct predating the adoption of national </w:t>
      </w:r>
      <w:r w:rsidR="000E37FD" w:rsidRPr="00AA6144">
        <w:rPr>
          <w:color w:val="auto"/>
          <w:szCs w:val="18"/>
          <w:lang w:val="en-CA"/>
        </w:rPr>
        <w:t>legislation".</w:t>
      </w:r>
      <w:r w:rsidR="00270462" w:rsidRPr="00AA6144">
        <w:rPr>
          <w:rStyle w:val="FootnoteReference"/>
          <w:color w:val="auto"/>
          <w:szCs w:val="18"/>
          <w:lang w:val="en-CA"/>
        </w:rPr>
        <w:footnoteReference w:id="413"/>
      </w:r>
    </w:p>
    <w:p w14:paraId="3643C0F0" w14:textId="77777777" w:rsidR="008C3C43" w:rsidRPr="008C3C43" w:rsidRDefault="008C3C43" w:rsidP="008C3C43">
      <w:pPr>
        <w:pStyle w:val="AIBodyText"/>
        <w:rPr>
          <w:color w:val="auto"/>
          <w:szCs w:val="18"/>
          <w:lang w:val="en-CA"/>
        </w:rPr>
      </w:pPr>
      <w:r w:rsidRPr="008C3C43">
        <w:rPr>
          <w:color w:val="auto"/>
          <w:szCs w:val="18"/>
          <w:lang w:val="en-CA"/>
        </w:rPr>
        <w:t xml:space="preserve">In the </w:t>
      </w:r>
      <w:proofErr w:type="spellStart"/>
      <w:r w:rsidRPr="008C3C43">
        <w:rPr>
          <w:i/>
          <w:iCs/>
          <w:color w:val="auto"/>
          <w:szCs w:val="18"/>
          <w:lang w:val="en-CA"/>
        </w:rPr>
        <w:t>Munyaneza</w:t>
      </w:r>
      <w:proofErr w:type="spellEnd"/>
      <w:r w:rsidRPr="008C3C43">
        <w:rPr>
          <w:i/>
          <w:iCs/>
          <w:color w:val="auto"/>
          <w:szCs w:val="18"/>
          <w:lang w:val="en-CA"/>
        </w:rPr>
        <w:t xml:space="preserve"> </w:t>
      </w:r>
      <w:r w:rsidRPr="008C3C43">
        <w:rPr>
          <w:color w:val="auto"/>
          <w:szCs w:val="18"/>
          <w:lang w:val="en-CA"/>
        </w:rPr>
        <w:t>appeal decision, the Quebec Court of Appeal addressed the retrospective quality of the Crimes Against Humanity and War Crimes Act:</w:t>
      </w:r>
    </w:p>
    <w:p w14:paraId="0CA309A7" w14:textId="68AC2D24" w:rsidR="00E90298" w:rsidRPr="008C3C43" w:rsidRDefault="008C3C43" w:rsidP="008C3C43">
      <w:pPr>
        <w:pStyle w:val="AIBodyText"/>
        <w:rPr>
          <w:color w:val="auto"/>
          <w:szCs w:val="18"/>
          <w:lang w:val="en-CA"/>
        </w:rPr>
      </w:pPr>
      <w:r w:rsidRPr="008C3C43">
        <w:rPr>
          <w:color w:val="auto"/>
          <w:szCs w:val="18"/>
          <w:lang w:val="en-CA"/>
        </w:rPr>
        <w:t>…the Act criminalizes in Canadian law all acts constituting crimes within the meaning of international law at the time they were committed. The Act does not attempt to create an offence ex post facto. Rather, it seeks merely to allow the prosecution in Canada of persons who, before the Act entered into force, committed acts that, at the time of their commission, constituted genocide, crimes against humanity, or war crimes, according to the definitions of those crimes under international law…The Act is thus consistent with paragraph 11(g) of the Charter, which recognizes that the criminal nature of an act at the moment it is committed may be assessed under either domestic or international law”. In summary, through the Act and the repeal of the 1987 amendments to the Criminal Code, Parliament did not create new legal consequences for the past but only for the future. At most, the Act is retrospective in effect but not retroactive… Consequently, the Act validly permits the prosecution of an individual in Canada for a war crime committed before 2000</w:t>
      </w:r>
      <w:r w:rsidR="004335C0" w:rsidRPr="00AA6144">
        <w:rPr>
          <w:rFonts w:ascii="Arial" w:hAnsi="Arial" w:cs="Arial"/>
          <w:szCs w:val="18"/>
        </w:rPr>
        <w:t>.</w:t>
      </w:r>
      <w:r w:rsidR="007945FF" w:rsidRPr="00AA6144">
        <w:rPr>
          <w:rStyle w:val="FootnoteReference"/>
          <w:rFonts w:ascii="Arial" w:hAnsi="Arial" w:cs="Arial"/>
          <w:szCs w:val="18"/>
        </w:rPr>
        <w:footnoteReference w:id="414"/>
      </w:r>
    </w:p>
    <w:p w14:paraId="7F31A21E" w14:textId="441ECCD6" w:rsidR="00EA4948" w:rsidRPr="00AA6144" w:rsidRDefault="001E2002" w:rsidP="0025182B">
      <w:pPr>
        <w:pStyle w:val="AIBodyText"/>
        <w:rPr>
          <w:color w:val="auto"/>
          <w:lang w:val="en-CA"/>
        </w:rPr>
      </w:pPr>
      <w:r w:rsidRPr="00AA6144">
        <w:rPr>
          <w:color w:val="auto"/>
          <w:lang w:val="en-CA"/>
        </w:rPr>
        <w:t xml:space="preserve">Thus, nothing in either </w:t>
      </w:r>
      <w:r w:rsidR="001B02B5" w:rsidRPr="00AA6144">
        <w:rPr>
          <w:color w:val="auto"/>
          <w:lang w:val="en-CA"/>
        </w:rPr>
        <w:t>the Universal Declaration of Human Rights or the International Covenant on Civil and Political Rights</w:t>
      </w:r>
      <w:r w:rsidR="00DC4ED4" w:rsidRPr="00AA6144">
        <w:rPr>
          <w:color w:val="auto"/>
          <w:lang w:val="en-CA"/>
        </w:rPr>
        <w:t xml:space="preserve"> </w:t>
      </w:r>
      <w:r w:rsidR="00D44EFF" w:rsidRPr="00AA6144">
        <w:rPr>
          <w:color w:val="auto"/>
          <w:lang w:val="en-CA"/>
        </w:rPr>
        <w:t xml:space="preserve">nor the Crimes Against Humanity and War Crimes Act </w:t>
      </w:r>
      <w:r w:rsidRPr="00AA6144">
        <w:rPr>
          <w:color w:val="auto"/>
          <w:lang w:val="en-CA"/>
        </w:rPr>
        <w:t xml:space="preserve">prevents </w:t>
      </w:r>
      <w:r w:rsidR="00B91841" w:rsidRPr="00AA6144">
        <w:rPr>
          <w:color w:val="auto"/>
          <w:lang w:val="en-CA"/>
        </w:rPr>
        <w:t>Canada</w:t>
      </w:r>
      <w:r w:rsidRPr="00AA6144">
        <w:rPr>
          <w:color w:val="auto"/>
          <w:lang w:val="en-CA"/>
        </w:rPr>
        <w:t xml:space="preserve"> from enacting </w:t>
      </w:r>
      <w:r w:rsidR="00284694" w:rsidRPr="00AA6144">
        <w:rPr>
          <w:color w:val="auto"/>
          <w:lang w:val="en-CA"/>
        </w:rPr>
        <w:t xml:space="preserve">domestic </w:t>
      </w:r>
      <w:r w:rsidRPr="00AA6144">
        <w:rPr>
          <w:color w:val="auto"/>
          <w:lang w:val="en-CA"/>
        </w:rPr>
        <w:t xml:space="preserve">legislation incorporating </w:t>
      </w:r>
      <w:r w:rsidR="00475A37" w:rsidRPr="00AA6144">
        <w:rPr>
          <w:color w:val="auto"/>
          <w:lang w:val="en-CA"/>
        </w:rPr>
        <w:t xml:space="preserve">crimes under </w:t>
      </w:r>
      <w:r w:rsidR="00284694" w:rsidRPr="00AA6144">
        <w:rPr>
          <w:color w:val="auto"/>
          <w:lang w:val="en-CA"/>
        </w:rPr>
        <w:t xml:space="preserve">international </w:t>
      </w:r>
      <w:r w:rsidR="00475A37" w:rsidRPr="00AA6144">
        <w:rPr>
          <w:color w:val="auto"/>
          <w:lang w:val="en-CA"/>
        </w:rPr>
        <w:t>law</w:t>
      </w:r>
      <w:r w:rsidRPr="00AA6144">
        <w:rPr>
          <w:color w:val="auto"/>
          <w:lang w:val="en-CA"/>
        </w:rPr>
        <w:t xml:space="preserve"> and permitting prosecutions for those crimes committed prior to the legislation</w:t>
      </w:r>
      <w:r w:rsidR="00284694" w:rsidRPr="00AA6144">
        <w:rPr>
          <w:color w:val="auto"/>
          <w:lang w:val="en-CA"/>
        </w:rPr>
        <w:t xml:space="preserve"> having</w:t>
      </w:r>
      <w:r w:rsidRPr="00AA6144">
        <w:rPr>
          <w:color w:val="auto"/>
          <w:lang w:val="en-CA"/>
        </w:rPr>
        <w:t xml:space="preserve"> entered into force.</w:t>
      </w:r>
      <w:r w:rsidR="00B91841" w:rsidRPr="00AA6144">
        <w:rPr>
          <w:color w:val="auto"/>
          <w:lang w:val="en-CA"/>
        </w:rPr>
        <w:t xml:space="preserve"> In </w:t>
      </w:r>
      <w:r w:rsidR="00B91841" w:rsidRPr="00AA6144">
        <w:rPr>
          <w:i/>
          <w:color w:val="auto"/>
          <w:lang w:val="en-CA"/>
        </w:rPr>
        <w:t>R</w:t>
      </w:r>
      <w:r w:rsidR="00B91841" w:rsidRPr="00AA6144">
        <w:rPr>
          <w:color w:val="auto"/>
          <w:lang w:val="en-CA"/>
        </w:rPr>
        <w:t xml:space="preserve"> v </w:t>
      </w:r>
      <w:proofErr w:type="spellStart"/>
      <w:r w:rsidR="00B91841" w:rsidRPr="00AA6144">
        <w:rPr>
          <w:i/>
          <w:color w:val="auto"/>
          <w:lang w:val="en-CA"/>
        </w:rPr>
        <w:t>Finta</w:t>
      </w:r>
      <w:proofErr w:type="spellEnd"/>
      <w:r w:rsidR="00B91841" w:rsidRPr="00AA6144">
        <w:rPr>
          <w:color w:val="auto"/>
          <w:lang w:val="en-CA"/>
        </w:rPr>
        <w:t>,</w:t>
      </w:r>
      <w:r w:rsidR="00B91841" w:rsidRPr="00AA6144">
        <w:rPr>
          <w:color w:val="auto"/>
          <w:vertAlign w:val="superscript"/>
          <w:lang w:val="en-CA"/>
        </w:rPr>
        <w:footnoteReference w:id="415"/>
      </w:r>
      <w:r w:rsidR="00B91841" w:rsidRPr="00AA6144">
        <w:rPr>
          <w:color w:val="auto"/>
          <w:lang w:val="en-CA"/>
        </w:rPr>
        <w:t xml:space="preserve"> the Supreme Court</w:t>
      </w:r>
      <w:r w:rsidR="00187312" w:rsidRPr="00AA6144">
        <w:rPr>
          <w:color w:val="auto"/>
          <w:lang w:val="en-CA"/>
        </w:rPr>
        <w:t xml:space="preserve"> of Canada</w:t>
      </w:r>
      <w:r w:rsidR="00B91841" w:rsidRPr="00AA6144">
        <w:rPr>
          <w:color w:val="auto"/>
          <w:lang w:val="en-CA"/>
        </w:rPr>
        <w:t xml:space="preserve"> held that</w:t>
      </w:r>
      <w:r w:rsidR="00187312" w:rsidRPr="00AA6144">
        <w:rPr>
          <w:color w:val="auto"/>
          <w:lang w:val="en-CA"/>
        </w:rPr>
        <w:t>:</w:t>
      </w:r>
      <w:r w:rsidR="00B91841" w:rsidRPr="00AA6144">
        <w:rPr>
          <w:color w:val="auto"/>
          <w:lang w:val="en-CA"/>
        </w:rPr>
        <w:t xml:space="preserve"> </w:t>
      </w:r>
    </w:p>
    <w:p w14:paraId="2E2547B8" w14:textId="77777777" w:rsidR="00EA4948" w:rsidRPr="00AA6144" w:rsidRDefault="00B91841" w:rsidP="000E1EB8">
      <w:pPr>
        <w:pStyle w:val="AIBodyText"/>
        <w:ind w:left="357" w:right="567" w:firstLine="40"/>
        <w:rPr>
          <w:color w:val="auto"/>
          <w:lang w:val="en-CA"/>
        </w:rPr>
      </w:pPr>
      <w:r w:rsidRPr="00AA6144">
        <w:rPr>
          <w:color w:val="auto"/>
          <w:lang w:val="en-CA"/>
        </w:rPr>
        <w:t xml:space="preserve">[t]he </w:t>
      </w:r>
      <w:proofErr w:type="gramStart"/>
      <w:r w:rsidRPr="00AA6144">
        <w:rPr>
          <w:color w:val="auto"/>
          <w:lang w:val="en-CA"/>
        </w:rPr>
        <w:t>war</w:t>
      </w:r>
      <w:proofErr w:type="gramEnd"/>
      <w:r w:rsidRPr="00AA6144">
        <w:rPr>
          <w:color w:val="auto"/>
          <w:lang w:val="en-CA"/>
        </w:rPr>
        <w:t xml:space="preserve"> crime provisions do not violate ss. 7 and 11(g) of the Charter because they are retroactive. The accused is not being charged or punished for an international offence, but a Canadian criminal offence that was in the [former Criminal] Code when it occurred. […] Section 11(g) of the Charter specifically refers to the permissibility of conviction </w:t>
      </w:r>
      <w:proofErr w:type="gramStart"/>
      <w:r w:rsidRPr="00AA6144">
        <w:rPr>
          <w:color w:val="auto"/>
          <w:lang w:val="en-CA"/>
        </w:rPr>
        <w:t>on the basis of</w:t>
      </w:r>
      <w:proofErr w:type="gramEnd"/>
      <w:r w:rsidRPr="00AA6144">
        <w:rPr>
          <w:color w:val="auto"/>
          <w:lang w:val="en-CA"/>
        </w:rPr>
        <w:t xml:space="preserve"> international law or the general principles of law recognized by the community of nations. One of the factors motivating the terms of the provision was to remove concerns about otherwise preventing prosecution of war criminals or those charged with crimes against humanity.</w:t>
      </w:r>
      <w:r w:rsidRPr="00AA6144">
        <w:rPr>
          <w:color w:val="auto"/>
          <w:vertAlign w:val="superscript"/>
          <w:lang w:val="en-CA"/>
        </w:rPr>
        <w:footnoteReference w:id="416"/>
      </w:r>
      <w:r w:rsidRPr="00AA6144">
        <w:rPr>
          <w:color w:val="auto"/>
          <w:lang w:val="en-CA"/>
        </w:rPr>
        <w:t xml:space="preserve"> </w:t>
      </w:r>
    </w:p>
    <w:p w14:paraId="673D2A32" w14:textId="77777777" w:rsidR="006F267F" w:rsidRPr="00AA6144" w:rsidRDefault="00187312" w:rsidP="00EA4948">
      <w:pPr>
        <w:pStyle w:val="AIBodyText"/>
        <w:rPr>
          <w:color w:val="auto"/>
          <w:lang w:val="en-CA"/>
        </w:rPr>
      </w:pPr>
      <w:r w:rsidRPr="00AA6144">
        <w:rPr>
          <w:color w:val="auto"/>
          <w:lang w:val="en-CA"/>
        </w:rPr>
        <w:t>In</w:t>
      </w:r>
      <w:r w:rsidR="006F267F" w:rsidRPr="00AA6144">
        <w:rPr>
          <w:color w:val="auto"/>
          <w:lang w:val="en-CA"/>
        </w:rPr>
        <w:t xml:space="preserve"> </w:t>
      </w:r>
      <w:r w:rsidR="000342D6" w:rsidRPr="00AA6144">
        <w:rPr>
          <w:i/>
          <w:color w:val="auto"/>
          <w:lang w:val="en-CA"/>
        </w:rPr>
        <w:t>British Columbia v. Imperial Tobacco Canada Ltd</w:t>
      </w:r>
      <w:r w:rsidR="000342D6" w:rsidRPr="00AA6144">
        <w:rPr>
          <w:color w:val="auto"/>
          <w:lang w:val="en-CA"/>
        </w:rPr>
        <w:t>.</w:t>
      </w:r>
      <w:r w:rsidRPr="00AA6144">
        <w:rPr>
          <w:color w:val="auto"/>
          <w:lang w:val="en-CA"/>
        </w:rPr>
        <w:t>, the Supreme Court of Canada</w:t>
      </w:r>
      <w:r w:rsidR="000342D6" w:rsidRPr="00AA6144">
        <w:rPr>
          <w:color w:val="auto"/>
          <w:lang w:val="en-CA"/>
        </w:rPr>
        <w:t xml:space="preserve"> held</w:t>
      </w:r>
      <w:r w:rsidR="006F267F" w:rsidRPr="00AA6144">
        <w:rPr>
          <w:color w:val="auto"/>
          <w:lang w:val="en-CA"/>
        </w:rPr>
        <w:t>, “[e]</w:t>
      </w:r>
      <w:proofErr w:type="spellStart"/>
      <w:r w:rsidR="006F267F" w:rsidRPr="00AA6144">
        <w:rPr>
          <w:color w:val="auto"/>
          <w:lang w:val="en-CA"/>
        </w:rPr>
        <w:t>xcept</w:t>
      </w:r>
      <w:proofErr w:type="spellEnd"/>
      <w:r w:rsidR="006F267F" w:rsidRPr="00AA6144">
        <w:rPr>
          <w:color w:val="auto"/>
          <w:lang w:val="en-CA"/>
        </w:rPr>
        <w:t xml:space="preserve"> for criminal law, the retrospectivity and retroactivity of which is limited by s. 11(g) of the Charter, there is no requirement of legislative </w:t>
      </w:r>
      <w:proofErr w:type="spellStart"/>
      <w:r w:rsidR="006F267F" w:rsidRPr="00AA6144">
        <w:rPr>
          <w:color w:val="auto"/>
          <w:lang w:val="en-CA"/>
        </w:rPr>
        <w:t>prospectivity</w:t>
      </w:r>
      <w:proofErr w:type="spellEnd"/>
      <w:r w:rsidR="006F267F" w:rsidRPr="00AA6144">
        <w:rPr>
          <w:color w:val="auto"/>
          <w:lang w:val="en-CA"/>
        </w:rPr>
        <w:t xml:space="preserve"> embodied in the rule of law or in any provision of our Constitution.”</w:t>
      </w:r>
      <w:r w:rsidR="006F267F" w:rsidRPr="00AA6144">
        <w:rPr>
          <w:color w:val="auto"/>
          <w:vertAlign w:val="superscript"/>
          <w:lang w:val="en-CA"/>
        </w:rPr>
        <w:footnoteReference w:id="417"/>
      </w:r>
      <w:r w:rsidR="006F267F" w:rsidRPr="00AA6144">
        <w:rPr>
          <w:color w:val="auto"/>
          <w:lang w:val="en-CA"/>
        </w:rPr>
        <w:t xml:space="preserve"> </w:t>
      </w:r>
      <w:r w:rsidR="000342D6" w:rsidRPr="00AA6144">
        <w:rPr>
          <w:color w:val="auto"/>
          <w:lang w:val="en-CA"/>
        </w:rPr>
        <w:t xml:space="preserve">Citing constitutional law scholar Peter Hogg, the </w:t>
      </w:r>
      <w:r w:rsidRPr="00AA6144">
        <w:rPr>
          <w:color w:val="auto"/>
          <w:lang w:val="en-CA"/>
        </w:rPr>
        <w:t>C</w:t>
      </w:r>
      <w:r w:rsidR="000342D6" w:rsidRPr="00AA6144">
        <w:rPr>
          <w:color w:val="auto"/>
          <w:lang w:val="en-CA"/>
        </w:rPr>
        <w:t>ourt stated</w:t>
      </w:r>
      <w:r w:rsidR="003E385F" w:rsidRPr="00AA6144">
        <w:rPr>
          <w:color w:val="auto"/>
          <w:lang w:val="en-CA"/>
        </w:rPr>
        <w:t xml:space="preserve"> that the legislature must expressly </w:t>
      </w:r>
      <w:r w:rsidR="00DB34EC" w:rsidRPr="00AA6144">
        <w:rPr>
          <w:color w:val="auto"/>
          <w:lang w:val="en-CA"/>
        </w:rPr>
        <w:t xml:space="preserve">indicate </w:t>
      </w:r>
      <w:r w:rsidR="00C17623" w:rsidRPr="00AA6144">
        <w:rPr>
          <w:color w:val="auto"/>
          <w:lang w:val="en-CA"/>
        </w:rPr>
        <w:t xml:space="preserve">any desired retroactive or retrospective effect </w:t>
      </w:r>
      <w:r w:rsidR="00E15CB3" w:rsidRPr="00AA6144">
        <w:rPr>
          <w:color w:val="auto"/>
          <w:lang w:val="en-CA"/>
        </w:rPr>
        <w:t xml:space="preserve">of the law </w:t>
      </w:r>
      <w:r w:rsidR="00C17623" w:rsidRPr="00AA6144">
        <w:rPr>
          <w:color w:val="auto"/>
          <w:lang w:val="en-CA"/>
        </w:rPr>
        <w:t>and</w:t>
      </w:r>
      <w:r w:rsidR="000342D6" w:rsidRPr="00AA6144">
        <w:rPr>
          <w:color w:val="auto"/>
          <w:lang w:val="en-CA"/>
        </w:rPr>
        <w:t xml:space="preserve"> “there is a presumption of statutory interpretation that a statute should not be given retroactive effect, but, if the retroactive effect is clearly expressed, then there is no room for interpretation and the statute is effective according to its terms.”</w:t>
      </w:r>
      <w:r w:rsidR="0047784B" w:rsidRPr="00AA6144">
        <w:rPr>
          <w:rStyle w:val="FootnoteReference"/>
          <w:color w:val="auto"/>
          <w:lang w:val="en-CA"/>
        </w:rPr>
        <w:footnoteReference w:id="418"/>
      </w:r>
      <w:r w:rsidR="003E385F" w:rsidRPr="00AA6144">
        <w:rPr>
          <w:color w:val="auto"/>
          <w:lang w:val="en-CA"/>
        </w:rPr>
        <w:t xml:space="preserve"> </w:t>
      </w:r>
    </w:p>
    <w:p w14:paraId="30889D87" w14:textId="77777777" w:rsidR="00A95078" w:rsidRPr="00AA6144" w:rsidRDefault="00B91841" w:rsidP="00EA4948">
      <w:pPr>
        <w:pStyle w:val="AIBodyText"/>
        <w:rPr>
          <w:color w:val="auto"/>
          <w:lang w:val="en-CA"/>
        </w:rPr>
      </w:pPr>
      <w:r w:rsidRPr="00AA6144">
        <w:rPr>
          <w:color w:val="auto"/>
          <w:lang w:val="en-CA"/>
        </w:rPr>
        <w:t xml:space="preserve">The </w:t>
      </w:r>
      <w:r w:rsidRPr="00AA6144">
        <w:rPr>
          <w:i/>
          <w:color w:val="auto"/>
          <w:lang w:val="en-CA"/>
        </w:rPr>
        <w:t>Crimes against Humanity and War Crimes Act</w:t>
      </w:r>
      <w:r w:rsidRPr="00AA6144">
        <w:rPr>
          <w:color w:val="auto"/>
          <w:lang w:val="en-CA"/>
        </w:rPr>
        <w:t xml:space="preserve"> makes a distinction between an offence committed in Canada and outside of Canada</w:t>
      </w:r>
      <w:r w:rsidR="003E331A" w:rsidRPr="00AA6144">
        <w:rPr>
          <w:color w:val="auto"/>
          <w:lang w:val="en-CA"/>
        </w:rPr>
        <w:t xml:space="preserve">. The provisions referring to offences committed outside of </w:t>
      </w:r>
      <w:r w:rsidR="00174C7F" w:rsidRPr="00AA6144">
        <w:rPr>
          <w:color w:val="auto"/>
          <w:lang w:val="en-CA"/>
        </w:rPr>
        <w:t xml:space="preserve">Canada </w:t>
      </w:r>
      <w:r w:rsidRPr="00AA6144">
        <w:rPr>
          <w:color w:val="auto"/>
          <w:lang w:val="en-CA"/>
        </w:rPr>
        <w:t xml:space="preserve">allows for </w:t>
      </w:r>
      <w:r w:rsidR="005E5DA1" w:rsidRPr="00AA6144">
        <w:rPr>
          <w:color w:val="auto"/>
          <w:lang w:val="en-CA"/>
        </w:rPr>
        <w:t xml:space="preserve">retrospective jurisdiction where </w:t>
      </w:r>
      <w:r w:rsidRPr="00AA6144">
        <w:rPr>
          <w:color w:val="auto"/>
          <w:lang w:val="en-CA"/>
        </w:rPr>
        <w:t xml:space="preserve">a person </w:t>
      </w:r>
      <w:r w:rsidR="00FA11D3" w:rsidRPr="00AA6144">
        <w:rPr>
          <w:color w:val="auto"/>
          <w:lang w:val="en-CA"/>
        </w:rPr>
        <w:t xml:space="preserve">can </w:t>
      </w:r>
      <w:r w:rsidRPr="00AA6144">
        <w:rPr>
          <w:color w:val="auto"/>
          <w:lang w:val="en-CA"/>
        </w:rPr>
        <w:t>be indicted either before or after the coming into force of section 6 (genocide, crime</w:t>
      </w:r>
      <w:r w:rsidR="003E331A" w:rsidRPr="00AA6144">
        <w:rPr>
          <w:color w:val="auto"/>
          <w:lang w:val="en-CA"/>
        </w:rPr>
        <w:t>s</w:t>
      </w:r>
      <w:r w:rsidRPr="00AA6144">
        <w:rPr>
          <w:color w:val="auto"/>
          <w:lang w:val="en-CA"/>
        </w:rPr>
        <w:t xml:space="preserve"> against humanity and war crime</w:t>
      </w:r>
      <w:r w:rsidR="003E331A" w:rsidRPr="00AA6144">
        <w:rPr>
          <w:color w:val="auto"/>
          <w:lang w:val="en-CA"/>
        </w:rPr>
        <w:t>s</w:t>
      </w:r>
      <w:r w:rsidRPr="00AA6144">
        <w:rPr>
          <w:color w:val="auto"/>
          <w:lang w:val="en-CA"/>
        </w:rPr>
        <w:t>)</w:t>
      </w:r>
      <w:r w:rsidR="00DE0AB8" w:rsidRPr="00AA6144">
        <w:rPr>
          <w:color w:val="auto"/>
          <w:lang w:val="en-CA"/>
        </w:rPr>
        <w:t>.</w:t>
      </w:r>
      <w:r w:rsidRPr="00AA6144">
        <w:rPr>
          <w:color w:val="auto"/>
          <w:vertAlign w:val="superscript"/>
          <w:lang w:val="en-CA"/>
        </w:rPr>
        <w:footnoteReference w:id="419"/>
      </w:r>
      <w:r w:rsidRPr="00AA6144">
        <w:rPr>
          <w:color w:val="auto"/>
          <w:lang w:val="en-CA"/>
        </w:rPr>
        <w:t xml:space="preserve"> </w:t>
      </w:r>
      <w:r w:rsidR="00A95078" w:rsidRPr="00AA6144">
        <w:rPr>
          <w:color w:val="auto"/>
          <w:lang w:val="en-CA"/>
        </w:rPr>
        <w:t xml:space="preserve"> </w:t>
      </w:r>
      <w:r w:rsidR="00161C66" w:rsidRPr="00AA6144">
        <w:rPr>
          <w:color w:val="auto"/>
          <w:lang w:val="en-CA"/>
        </w:rPr>
        <w:t>For offences committed in Canada, there is no retrospective application of the law.</w:t>
      </w:r>
      <w:r w:rsidR="00C22B88" w:rsidRPr="00AA6144">
        <w:rPr>
          <w:rStyle w:val="FootnoteReference"/>
          <w:color w:val="auto"/>
          <w:lang w:val="en-CA"/>
        </w:rPr>
        <w:footnoteReference w:id="420"/>
      </w:r>
    </w:p>
    <w:p w14:paraId="041003F6" w14:textId="77777777" w:rsidR="001E2002" w:rsidRPr="00AA6144" w:rsidRDefault="001E2002" w:rsidP="001E2002">
      <w:pPr>
        <w:pStyle w:val="Heading2"/>
        <w:rPr>
          <w:i/>
          <w:color w:val="auto"/>
          <w:lang w:val="en-CA"/>
        </w:rPr>
      </w:pPr>
      <w:bookmarkStart w:id="158" w:name="_Toc43382756"/>
      <w:r w:rsidRPr="00AA6144">
        <w:rPr>
          <w:color w:val="auto"/>
          <w:lang w:val="en-CA"/>
        </w:rPr>
        <w:t xml:space="preserve">6.7. </w:t>
      </w:r>
      <w:r w:rsidRPr="00AA6144">
        <w:rPr>
          <w:i/>
          <w:color w:val="auto"/>
          <w:lang w:val="en-CA"/>
        </w:rPr>
        <w:t>Ne bis in idem</w:t>
      </w:r>
      <w:bookmarkEnd w:id="158"/>
    </w:p>
    <w:p w14:paraId="7574A584" w14:textId="77777777" w:rsidR="00DF338C" w:rsidRPr="00AA6144" w:rsidRDefault="00DF338C" w:rsidP="00DF338C">
      <w:pPr>
        <w:spacing w:after="0"/>
        <w:rPr>
          <w:lang w:val="en-CA"/>
        </w:rPr>
      </w:pPr>
    </w:p>
    <w:p w14:paraId="16FEBF27" w14:textId="77777777" w:rsidR="00114D3F" w:rsidRPr="00AA6144" w:rsidRDefault="001E2002" w:rsidP="00114D3F">
      <w:pPr>
        <w:pStyle w:val="AIBodyText"/>
        <w:rPr>
          <w:color w:val="auto"/>
          <w:lang w:val="en-CA"/>
        </w:rPr>
      </w:pPr>
      <w:r w:rsidRPr="00AA6144">
        <w:rPr>
          <w:color w:val="auto"/>
          <w:lang w:val="en-CA"/>
        </w:rPr>
        <w:t xml:space="preserve">The principle of </w:t>
      </w:r>
      <w:r w:rsidRPr="00AA6144">
        <w:rPr>
          <w:i/>
          <w:color w:val="auto"/>
          <w:lang w:val="en-CA"/>
        </w:rPr>
        <w:t>ne bis in idem</w:t>
      </w:r>
      <w:r w:rsidRPr="00AA6144">
        <w:rPr>
          <w:color w:val="auto"/>
          <w:lang w:val="en-CA"/>
        </w:rPr>
        <w:t xml:space="preserve"> (that one cannot be tried twice for the same c</w:t>
      </w:r>
      <w:r w:rsidR="00A50C5F" w:rsidRPr="00AA6144">
        <w:rPr>
          <w:color w:val="auto"/>
          <w:lang w:val="en-CA"/>
        </w:rPr>
        <w:t>onduct</w:t>
      </w:r>
      <w:r w:rsidRPr="00AA6144">
        <w:rPr>
          <w:color w:val="auto"/>
          <w:lang w:val="en-CA"/>
        </w:rPr>
        <w:t xml:space="preserve">) is a fundamental principle of law recognized in international human rights treaties and other instruments, including the </w:t>
      </w:r>
      <w:r w:rsidR="007733EB" w:rsidRPr="00AA6144">
        <w:rPr>
          <w:color w:val="auto"/>
          <w:lang w:val="en-CA"/>
        </w:rPr>
        <w:t>International Convention on Civil and Political Rights</w:t>
      </w:r>
      <w:r w:rsidRPr="00AA6144">
        <w:rPr>
          <w:color w:val="auto"/>
          <w:lang w:val="en-CA"/>
        </w:rPr>
        <w:t xml:space="preserve">, the American Convention on Human Rights, Additional Protocol I and </w:t>
      </w:r>
      <w:r w:rsidR="003D2EB7" w:rsidRPr="00AA6144">
        <w:rPr>
          <w:color w:val="auto"/>
          <w:lang w:val="en-CA"/>
        </w:rPr>
        <w:t xml:space="preserve">the </w:t>
      </w:r>
      <w:r w:rsidRPr="00AA6144">
        <w:rPr>
          <w:color w:val="auto"/>
          <w:lang w:val="en-CA"/>
        </w:rPr>
        <w:t>constitutive instruments establishing the ICTY, ICTR and the Special Court for Sierra Leone.</w:t>
      </w:r>
      <w:r w:rsidRPr="00AA6144">
        <w:rPr>
          <w:rStyle w:val="FootnoteReference"/>
          <w:color w:val="auto"/>
          <w:lang w:val="en-CA"/>
        </w:rPr>
        <w:footnoteReference w:id="421"/>
      </w:r>
      <w:r w:rsidRPr="00AA6144">
        <w:rPr>
          <w:rStyle w:val="FootnoteReference"/>
          <w:color w:val="auto"/>
          <w:lang w:val="en-CA"/>
        </w:rPr>
        <w:t xml:space="preserve"> </w:t>
      </w:r>
      <w:r w:rsidRPr="00AA6144">
        <w:rPr>
          <w:color w:val="auto"/>
          <w:lang w:val="en-CA"/>
        </w:rPr>
        <w:t xml:space="preserve"> However, apart from the vertical exception between international courts and national courts, the principle only prohibits retrials after an acquittal by the same jurisdiction.</w:t>
      </w:r>
      <w:r w:rsidRPr="00AA6144">
        <w:rPr>
          <w:rStyle w:val="FootnoteReference"/>
          <w:color w:val="auto"/>
          <w:lang w:val="en-CA"/>
        </w:rPr>
        <w:footnoteReference w:id="422"/>
      </w:r>
      <w:r w:rsidRPr="00AA6144">
        <w:rPr>
          <w:color w:val="auto"/>
          <w:lang w:val="en-CA"/>
        </w:rPr>
        <w:t xml:space="preserve"> This limitation on the scope of the principle </w:t>
      </w:r>
      <w:r w:rsidR="003D2EB7" w:rsidRPr="00AA6144">
        <w:rPr>
          <w:color w:val="auto"/>
          <w:lang w:val="en-CA"/>
        </w:rPr>
        <w:t xml:space="preserve">of </w:t>
      </w:r>
      <w:r w:rsidR="003D2EB7" w:rsidRPr="00AA6144">
        <w:rPr>
          <w:i/>
          <w:color w:val="auto"/>
          <w:lang w:val="en-CA"/>
        </w:rPr>
        <w:t xml:space="preserve">ne bis in idem </w:t>
      </w:r>
      <w:r w:rsidRPr="00AA6144">
        <w:rPr>
          <w:color w:val="auto"/>
          <w:lang w:val="en-CA"/>
        </w:rPr>
        <w:t xml:space="preserve">can serve international justice by permitting other states to step in </w:t>
      </w:r>
      <w:r w:rsidR="00114D3F" w:rsidRPr="00AA6144">
        <w:rPr>
          <w:color w:val="auto"/>
          <w:lang w:val="en-CA"/>
        </w:rPr>
        <w:t>when the territorial state or the suspect’s state conducts a sham or unfair trial.</w:t>
      </w:r>
    </w:p>
    <w:p w14:paraId="45F7FAEF" w14:textId="77777777" w:rsidR="00BC57A3" w:rsidRPr="00AA6144" w:rsidRDefault="00BC57A3" w:rsidP="00BC57A3">
      <w:pPr>
        <w:pStyle w:val="AIBodyText"/>
        <w:rPr>
          <w:color w:val="auto"/>
          <w:lang w:val="en-CA"/>
        </w:rPr>
      </w:pPr>
      <w:r w:rsidRPr="00AA6144">
        <w:rPr>
          <w:color w:val="auto"/>
          <w:lang w:val="en-CA"/>
        </w:rPr>
        <w:t xml:space="preserve">Canadian law does not explicitly recognize the </w:t>
      </w:r>
      <w:r w:rsidRPr="00AA6144">
        <w:rPr>
          <w:i/>
          <w:color w:val="auto"/>
          <w:lang w:val="en-CA"/>
        </w:rPr>
        <w:t>ne bis in idem</w:t>
      </w:r>
      <w:r w:rsidRPr="00AA6144">
        <w:rPr>
          <w:color w:val="auto"/>
          <w:lang w:val="en-CA"/>
        </w:rPr>
        <w:t xml:space="preserve"> rule. However, there are three defence mechanisms that offer </w:t>
      </w:r>
      <w:proofErr w:type="gramStart"/>
      <w:r w:rsidRPr="00AA6144">
        <w:rPr>
          <w:color w:val="auto"/>
          <w:lang w:val="en-CA"/>
        </w:rPr>
        <w:t>more or less a</w:t>
      </w:r>
      <w:proofErr w:type="gramEnd"/>
      <w:r w:rsidRPr="00AA6144">
        <w:rPr>
          <w:color w:val="auto"/>
          <w:lang w:val="en-CA"/>
        </w:rPr>
        <w:t xml:space="preserve"> similar scope of protection. They are: </w:t>
      </w:r>
      <w:r w:rsidRPr="00AA6144">
        <w:rPr>
          <w:i/>
          <w:color w:val="auto"/>
          <w:lang w:val="en-CA"/>
        </w:rPr>
        <w:t>autrefois acquit</w:t>
      </w:r>
      <w:r w:rsidRPr="00AA6144">
        <w:rPr>
          <w:color w:val="auto"/>
          <w:lang w:val="en-CA"/>
        </w:rPr>
        <w:t xml:space="preserve"> or </w:t>
      </w:r>
      <w:r w:rsidRPr="00AA6144">
        <w:rPr>
          <w:i/>
          <w:color w:val="auto"/>
          <w:lang w:val="en-CA"/>
        </w:rPr>
        <w:t>autrefois convict</w:t>
      </w:r>
      <w:r w:rsidRPr="00AA6144">
        <w:rPr>
          <w:color w:val="auto"/>
          <w:lang w:val="en-CA"/>
        </w:rPr>
        <w:t xml:space="preserve">, issue estoppel and </w:t>
      </w:r>
      <w:r w:rsidRPr="00AA6144">
        <w:rPr>
          <w:i/>
          <w:color w:val="auto"/>
          <w:lang w:val="en-CA"/>
        </w:rPr>
        <w:t xml:space="preserve">res judicata. </w:t>
      </w:r>
      <w:r w:rsidR="006E369D" w:rsidRPr="00AA6144">
        <w:rPr>
          <w:i/>
          <w:color w:val="auto"/>
          <w:lang w:val="en-CA"/>
        </w:rPr>
        <w:t>Autrefois acquit</w:t>
      </w:r>
      <w:r w:rsidR="006E369D" w:rsidRPr="00AA6144">
        <w:rPr>
          <w:color w:val="auto"/>
          <w:lang w:val="en-CA"/>
        </w:rPr>
        <w:t xml:space="preserve"> and </w:t>
      </w:r>
      <w:r w:rsidR="006E369D" w:rsidRPr="00AA6144">
        <w:rPr>
          <w:i/>
          <w:color w:val="auto"/>
          <w:lang w:val="en-CA"/>
        </w:rPr>
        <w:t xml:space="preserve">autrefois convict </w:t>
      </w:r>
      <w:r w:rsidR="006E369D" w:rsidRPr="00AA6144">
        <w:rPr>
          <w:color w:val="auto"/>
          <w:lang w:val="en-CA"/>
        </w:rPr>
        <w:t xml:space="preserve">are special pleas set out in the </w:t>
      </w:r>
      <w:r w:rsidR="006E369D" w:rsidRPr="00AA6144">
        <w:rPr>
          <w:i/>
          <w:color w:val="auto"/>
          <w:lang w:val="en-CA"/>
        </w:rPr>
        <w:t>Criminal Code</w:t>
      </w:r>
      <w:r w:rsidR="006E369D" w:rsidRPr="00AA6144">
        <w:rPr>
          <w:color w:val="auto"/>
          <w:lang w:val="en-CA"/>
        </w:rPr>
        <w:t>.</w:t>
      </w:r>
      <w:r w:rsidR="00165770" w:rsidRPr="00AA6144">
        <w:rPr>
          <w:rStyle w:val="FootnoteReference"/>
          <w:color w:val="auto"/>
          <w:lang w:val="en-CA"/>
        </w:rPr>
        <w:footnoteReference w:id="423"/>
      </w:r>
      <w:r w:rsidR="006E369D" w:rsidRPr="00AA6144">
        <w:rPr>
          <w:color w:val="auto"/>
          <w:lang w:val="en-CA"/>
        </w:rPr>
        <w:t xml:space="preserve"> </w:t>
      </w:r>
      <w:r w:rsidRPr="00AA6144">
        <w:rPr>
          <w:color w:val="auto"/>
          <w:lang w:val="en-CA"/>
        </w:rPr>
        <w:t xml:space="preserve">The </w:t>
      </w:r>
      <w:r w:rsidRPr="00AA6144">
        <w:rPr>
          <w:i/>
          <w:color w:val="auto"/>
          <w:lang w:val="en-CA"/>
        </w:rPr>
        <w:t>autrefois convict</w:t>
      </w:r>
      <w:r w:rsidRPr="00AA6144">
        <w:rPr>
          <w:color w:val="auto"/>
          <w:lang w:val="en-CA"/>
        </w:rPr>
        <w:t xml:space="preserve"> principle prevents multiple convictions for the same offence and </w:t>
      </w:r>
      <w:r w:rsidRPr="00AA6144">
        <w:rPr>
          <w:i/>
          <w:color w:val="auto"/>
          <w:lang w:val="en-CA"/>
        </w:rPr>
        <w:t>autrefois acquit</w:t>
      </w:r>
      <w:r w:rsidRPr="00AA6144">
        <w:rPr>
          <w:color w:val="auto"/>
          <w:lang w:val="en-CA"/>
        </w:rPr>
        <w:t xml:space="preserve"> secures the finding of an acquittal.</w:t>
      </w:r>
      <w:r w:rsidR="00C4202A" w:rsidRPr="00AA6144">
        <w:rPr>
          <w:rStyle w:val="FootnoteReference"/>
          <w:color w:val="auto"/>
          <w:lang w:val="en-CA"/>
        </w:rPr>
        <w:footnoteReference w:id="424"/>
      </w:r>
      <w:r w:rsidRPr="00AA6144">
        <w:rPr>
          <w:color w:val="auto"/>
          <w:lang w:val="en-CA"/>
        </w:rPr>
        <w:t xml:space="preserve"> Issue estoppel prevents re</w:t>
      </w:r>
      <w:r w:rsidR="004A2862" w:rsidRPr="00AA6144">
        <w:rPr>
          <w:color w:val="auto"/>
          <w:lang w:val="en-CA"/>
        </w:rPr>
        <w:t>-</w:t>
      </w:r>
      <w:r w:rsidRPr="00AA6144">
        <w:rPr>
          <w:color w:val="auto"/>
          <w:lang w:val="en-CA"/>
        </w:rPr>
        <w:t>adjudication of a particular issue which has already been determined in other proceedings.</w:t>
      </w:r>
      <w:bookmarkStart w:id="159" w:name="_Ref267054865"/>
      <w:r w:rsidR="00A60440" w:rsidRPr="00AA6144">
        <w:rPr>
          <w:rStyle w:val="FootnoteReference"/>
          <w:color w:val="auto"/>
          <w:lang w:val="en-CA"/>
        </w:rPr>
        <w:footnoteReference w:id="425"/>
      </w:r>
      <w:bookmarkEnd w:id="159"/>
      <w:r w:rsidRPr="00AA6144">
        <w:rPr>
          <w:color w:val="auto"/>
          <w:lang w:val="en-CA"/>
        </w:rPr>
        <w:t xml:space="preserve"> </w:t>
      </w:r>
      <w:r w:rsidRPr="00AA6144">
        <w:rPr>
          <w:i/>
          <w:color w:val="auto"/>
          <w:lang w:val="en-CA"/>
        </w:rPr>
        <w:t xml:space="preserve">Res judicata </w:t>
      </w:r>
      <w:r w:rsidRPr="00AA6144">
        <w:rPr>
          <w:color w:val="auto"/>
          <w:lang w:val="en-CA"/>
        </w:rPr>
        <w:t>prevents multiple convictions of separate offences for the same conduct.</w:t>
      </w:r>
      <w:r w:rsidR="00016042" w:rsidRPr="00AA6144">
        <w:rPr>
          <w:rStyle w:val="FootnoteReference"/>
          <w:color w:val="auto"/>
          <w:lang w:val="en-CA"/>
        </w:rPr>
        <w:footnoteReference w:id="426"/>
      </w:r>
      <w:r w:rsidRPr="00AA6144">
        <w:rPr>
          <w:color w:val="auto"/>
          <w:lang w:val="en-CA"/>
        </w:rPr>
        <w:t xml:space="preserve"> </w:t>
      </w:r>
    </w:p>
    <w:p w14:paraId="55626C67" w14:textId="77777777" w:rsidR="00F93FC3" w:rsidRPr="00AA6144" w:rsidRDefault="00BC57A3" w:rsidP="00BC57A3">
      <w:pPr>
        <w:pStyle w:val="AIBodyText"/>
        <w:rPr>
          <w:color w:val="auto"/>
          <w:lang w:val="en-CA"/>
        </w:rPr>
      </w:pPr>
      <w:r w:rsidRPr="00AA6144">
        <w:rPr>
          <w:color w:val="auto"/>
          <w:lang w:val="en-CA"/>
        </w:rPr>
        <w:t xml:space="preserve">The </w:t>
      </w:r>
      <w:r w:rsidR="001A1599" w:rsidRPr="00AA6144">
        <w:rPr>
          <w:i/>
          <w:color w:val="auto"/>
          <w:lang w:val="en-CA"/>
        </w:rPr>
        <w:t xml:space="preserve">Crimes Against Humanity and </w:t>
      </w:r>
      <w:r w:rsidRPr="00AA6144">
        <w:rPr>
          <w:i/>
          <w:color w:val="auto"/>
          <w:lang w:val="en-CA"/>
        </w:rPr>
        <w:t>War Crimes Act</w:t>
      </w:r>
      <w:r w:rsidRPr="00AA6144">
        <w:rPr>
          <w:color w:val="auto"/>
          <w:lang w:val="en-CA"/>
        </w:rPr>
        <w:t xml:space="preserve"> recognizes the </w:t>
      </w:r>
      <w:r w:rsidRPr="00AA6144">
        <w:rPr>
          <w:i/>
          <w:color w:val="auto"/>
          <w:lang w:val="en-CA"/>
        </w:rPr>
        <w:t>autrefois acquit</w:t>
      </w:r>
      <w:r w:rsidRPr="00AA6144">
        <w:rPr>
          <w:color w:val="auto"/>
          <w:lang w:val="en-CA"/>
        </w:rPr>
        <w:t xml:space="preserve"> and </w:t>
      </w:r>
      <w:r w:rsidRPr="00AA6144">
        <w:rPr>
          <w:i/>
          <w:color w:val="auto"/>
          <w:lang w:val="en-CA"/>
        </w:rPr>
        <w:t>autrefois convict</w:t>
      </w:r>
      <w:r w:rsidRPr="00AA6144">
        <w:rPr>
          <w:color w:val="auto"/>
          <w:lang w:val="en-CA"/>
        </w:rPr>
        <w:t xml:space="preserve"> principles in section 12. Commentaries on Bill C-19</w:t>
      </w:r>
      <w:r w:rsidR="00F16DCD" w:rsidRPr="00AA6144">
        <w:rPr>
          <w:color w:val="auto"/>
          <w:lang w:val="en-CA"/>
        </w:rPr>
        <w:t xml:space="preserve"> (the precursor to the</w:t>
      </w:r>
      <w:r w:rsidRPr="00AA6144">
        <w:rPr>
          <w:color w:val="auto"/>
          <w:lang w:val="en-CA"/>
        </w:rPr>
        <w:t xml:space="preserve"> </w:t>
      </w:r>
      <w:r w:rsidR="00F16DCD" w:rsidRPr="00AA6144">
        <w:rPr>
          <w:i/>
          <w:color w:val="auto"/>
          <w:lang w:val="en-CA"/>
        </w:rPr>
        <w:t xml:space="preserve">War Crimes and </w:t>
      </w:r>
      <w:r w:rsidRPr="00AA6144">
        <w:rPr>
          <w:i/>
          <w:color w:val="auto"/>
          <w:lang w:val="en-CA"/>
        </w:rPr>
        <w:t>Crimes Against Humanity Act</w:t>
      </w:r>
      <w:r w:rsidRPr="00AA6144">
        <w:rPr>
          <w:color w:val="auto"/>
          <w:lang w:val="en-CA"/>
        </w:rPr>
        <w:t xml:space="preserve"> specify that “</w:t>
      </w:r>
      <w:r w:rsidR="00DE0AB8" w:rsidRPr="00AA6144">
        <w:rPr>
          <w:color w:val="auto"/>
          <w:lang w:val="en-CA"/>
        </w:rPr>
        <w:t>[c]</w:t>
      </w:r>
      <w:proofErr w:type="spellStart"/>
      <w:r w:rsidR="00DE0AB8" w:rsidRPr="00AA6144">
        <w:rPr>
          <w:color w:val="auto"/>
          <w:lang w:val="en-CA"/>
        </w:rPr>
        <w:t>lause</w:t>
      </w:r>
      <w:proofErr w:type="spellEnd"/>
      <w:r w:rsidR="00DE0AB8" w:rsidRPr="00AA6144">
        <w:rPr>
          <w:color w:val="auto"/>
          <w:lang w:val="en-CA"/>
        </w:rPr>
        <w:t xml:space="preserve"> </w:t>
      </w:r>
      <w:r w:rsidRPr="00AA6144">
        <w:rPr>
          <w:color w:val="auto"/>
          <w:lang w:val="en-CA"/>
        </w:rPr>
        <w:t xml:space="preserve">12(2) is based on Article 20(3) of the </w:t>
      </w:r>
      <w:r w:rsidR="005C5FF0" w:rsidRPr="00AA6144">
        <w:rPr>
          <w:color w:val="auto"/>
          <w:lang w:val="en-CA"/>
        </w:rPr>
        <w:t>Rome Statute</w:t>
      </w:r>
      <w:r w:rsidRPr="00AA6144">
        <w:rPr>
          <w:color w:val="auto"/>
          <w:lang w:val="en-CA"/>
        </w:rPr>
        <w:t xml:space="preserve">, which provides for a similar exception to the principle of </w:t>
      </w:r>
      <w:r w:rsidRPr="00AA6144">
        <w:rPr>
          <w:i/>
          <w:color w:val="auto"/>
          <w:lang w:val="en-CA"/>
        </w:rPr>
        <w:t>ne bis in idem</w:t>
      </w:r>
      <w:r w:rsidRPr="00AA6144">
        <w:rPr>
          <w:color w:val="auto"/>
          <w:lang w:val="en-CA"/>
        </w:rPr>
        <w:t xml:space="preserve"> in proceedings before the ICC.”</w:t>
      </w:r>
      <w:r w:rsidR="007F7C27" w:rsidRPr="00AA6144">
        <w:rPr>
          <w:rStyle w:val="FootnoteReference"/>
          <w:color w:val="auto"/>
          <w:lang w:val="en-CA"/>
        </w:rPr>
        <w:footnoteReference w:id="427"/>
      </w:r>
      <w:r w:rsidRPr="00AA6144">
        <w:rPr>
          <w:color w:val="auto"/>
          <w:lang w:val="en-CA"/>
        </w:rPr>
        <w:t xml:space="preserve"> Section 12(1) of the </w:t>
      </w:r>
      <w:r w:rsidRPr="00AA6144">
        <w:rPr>
          <w:i/>
          <w:color w:val="auto"/>
          <w:lang w:val="en-CA"/>
        </w:rPr>
        <w:t>Crimes Against Humanity</w:t>
      </w:r>
      <w:r w:rsidR="00BD3F7E" w:rsidRPr="00AA6144">
        <w:rPr>
          <w:i/>
          <w:color w:val="auto"/>
          <w:lang w:val="en-CA"/>
        </w:rPr>
        <w:t xml:space="preserve"> and War Crimes</w:t>
      </w:r>
      <w:r w:rsidRPr="00AA6144">
        <w:rPr>
          <w:i/>
          <w:color w:val="auto"/>
          <w:lang w:val="en-CA"/>
        </w:rPr>
        <w:t xml:space="preserve"> Act</w:t>
      </w:r>
      <w:r w:rsidRPr="00AA6144">
        <w:rPr>
          <w:color w:val="auto"/>
          <w:lang w:val="en-CA"/>
        </w:rPr>
        <w:t xml:space="preserve"> repeats </w:t>
      </w:r>
      <w:r w:rsidR="00F16DCD" w:rsidRPr="00AA6144">
        <w:rPr>
          <w:color w:val="auto"/>
          <w:lang w:val="en-CA"/>
        </w:rPr>
        <w:t xml:space="preserve">section </w:t>
      </w:r>
      <w:r w:rsidRPr="00AA6144">
        <w:rPr>
          <w:color w:val="auto"/>
          <w:lang w:val="en-CA"/>
        </w:rPr>
        <w:t xml:space="preserve">7(6) of the </w:t>
      </w:r>
      <w:r w:rsidRPr="00AA6144">
        <w:rPr>
          <w:i/>
          <w:color w:val="auto"/>
          <w:lang w:val="en-CA"/>
        </w:rPr>
        <w:t>Criminal Code</w:t>
      </w:r>
      <w:r w:rsidRPr="00AA6144">
        <w:rPr>
          <w:color w:val="auto"/>
          <w:lang w:val="en-CA"/>
        </w:rPr>
        <w:t>. However, unlike section 7(6), section 12</w:t>
      </w:r>
      <w:r w:rsidR="00F9675D" w:rsidRPr="00AA6144">
        <w:rPr>
          <w:color w:val="auto"/>
          <w:lang w:val="en-CA"/>
        </w:rPr>
        <w:t>(2)</w:t>
      </w:r>
      <w:r w:rsidRPr="00AA6144">
        <w:rPr>
          <w:color w:val="auto"/>
          <w:lang w:val="en-CA"/>
        </w:rPr>
        <w:t xml:space="preserve"> includes an exception </w:t>
      </w:r>
      <w:r w:rsidR="00F93FC3" w:rsidRPr="00AA6144">
        <w:rPr>
          <w:color w:val="auto"/>
          <w:lang w:val="en-CA"/>
        </w:rPr>
        <w:t xml:space="preserve">where a person cannot plead </w:t>
      </w:r>
      <w:r w:rsidR="00F93FC3" w:rsidRPr="00AA6144">
        <w:rPr>
          <w:i/>
          <w:color w:val="auto"/>
          <w:lang w:val="en-CA"/>
        </w:rPr>
        <w:t>autrefois acquit</w:t>
      </w:r>
      <w:r w:rsidR="00F93FC3" w:rsidRPr="00AA6144">
        <w:rPr>
          <w:color w:val="auto"/>
          <w:lang w:val="en-CA"/>
        </w:rPr>
        <w:t xml:space="preserve">. </w:t>
      </w:r>
      <w:r w:rsidR="00936020" w:rsidRPr="00AA6144">
        <w:rPr>
          <w:color w:val="auto"/>
          <w:lang w:val="en-CA"/>
        </w:rPr>
        <w:t>Section 12(2) states:</w:t>
      </w:r>
    </w:p>
    <w:p w14:paraId="3BE5937E" w14:textId="77777777" w:rsidR="00936020" w:rsidRPr="00AA6144" w:rsidRDefault="00936020" w:rsidP="000E1EB8">
      <w:pPr>
        <w:pStyle w:val="AIBodyText"/>
        <w:ind w:left="357" w:right="567"/>
        <w:rPr>
          <w:color w:val="auto"/>
          <w:lang w:val="en-CA"/>
        </w:rPr>
      </w:pPr>
      <w:r w:rsidRPr="00AA6144">
        <w:rPr>
          <w:color w:val="auto"/>
          <w:lang w:val="en-CA"/>
        </w:rPr>
        <w:t xml:space="preserve">(2) Despite subsection (1), a person may not plead </w:t>
      </w:r>
      <w:r w:rsidRPr="00AA6144">
        <w:rPr>
          <w:i/>
          <w:iCs/>
          <w:color w:val="auto"/>
          <w:lang w:val="en-CA"/>
        </w:rPr>
        <w:t>autrefois acquit</w:t>
      </w:r>
      <w:r w:rsidRPr="00AA6144">
        <w:rPr>
          <w:color w:val="auto"/>
          <w:lang w:val="en-CA"/>
        </w:rPr>
        <w:t xml:space="preserve">, </w:t>
      </w:r>
      <w:r w:rsidRPr="00AA6144">
        <w:rPr>
          <w:i/>
          <w:iCs/>
          <w:color w:val="auto"/>
          <w:lang w:val="en-CA"/>
        </w:rPr>
        <w:t>autrefois convict</w:t>
      </w:r>
      <w:r w:rsidRPr="00AA6144">
        <w:rPr>
          <w:color w:val="auto"/>
          <w:lang w:val="en-CA"/>
        </w:rPr>
        <w:t xml:space="preserve"> or pardon in respect of an offence under any of sections 4 to 7 if the person was tried in a court of a foreign state or territory and the proceedings in that court</w:t>
      </w:r>
    </w:p>
    <w:p w14:paraId="71582E13" w14:textId="77777777" w:rsidR="00936020" w:rsidRPr="00AA6144" w:rsidRDefault="00936020" w:rsidP="000E1EB8">
      <w:pPr>
        <w:pStyle w:val="AIBodyText"/>
        <w:ind w:left="714" w:right="567"/>
        <w:rPr>
          <w:color w:val="auto"/>
          <w:lang w:val="en-CA"/>
        </w:rPr>
      </w:pPr>
      <w:r w:rsidRPr="00AA6144">
        <w:rPr>
          <w:color w:val="auto"/>
          <w:lang w:val="en-CA"/>
        </w:rPr>
        <w:t>(</w:t>
      </w:r>
      <w:r w:rsidRPr="00AA6144">
        <w:rPr>
          <w:i/>
          <w:iCs/>
          <w:color w:val="auto"/>
          <w:lang w:val="en-CA"/>
        </w:rPr>
        <w:t>a</w:t>
      </w:r>
      <w:r w:rsidRPr="00AA6144">
        <w:rPr>
          <w:color w:val="auto"/>
          <w:lang w:val="en-CA"/>
        </w:rPr>
        <w:t>) were for the purpose of shielding the person from criminal responsibility; or</w:t>
      </w:r>
      <w:r w:rsidRPr="00AA6144">
        <w:rPr>
          <w:color w:val="auto"/>
          <w:lang w:val="en-CA"/>
        </w:rPr>
        <w:br/>
        <w:t>(</w:t>
      </w:r>
      <w:r w:rsidRPr="00AA6144">
        <w:rPr>
          <w:i/>
          <w:iCs/>
          <w:color w:val="auto"/>
          <w:lang w:val="en-CA"/>
        </w:rPr>
        <w:t>b</w:t>
      </w:r>
      <w:r w:rsidRPr="00AA6144">
        <w:rPr>
          <w:color w:val="auto"/>
          <w:lang w:val="en-CA"/>
        </w:rPr>
        <w:t>) were not otherwise conducted independently or impartially in accordance with the norms of due process recognized by international law, and were conducted in a manner that, in the circumstances, was inconsistent with an intent to bring the person to justice.</w:t>
      </w:r>
      <w:r w:rsidRPr="00AA6144">
        <w:rPr>
          <w:rStyle w:val="FootnoteReference"/>
          <w:color w:val="auto"/>
          <w:lang w:val="en-CA"/>
        </w:rPr>
        <w:footnoteReference w:id="428"/>
      </w:r>
    </w:p>
    <w:p w14:paraId="5EEC7EEB" w14:textId="77777777" w:rsidR="00BC57A3" w:rsidRPr="00AA6144" w:rsidRDefault="00BC57A3" w:rsidP="00BC57A3">
      <w:pPr>
        <w:pStyle w:val="AIBodyText"/>
        <w:rPr>
          <w:color w:val="auto"/>
          <w:lang w:val="en-CA"/>
        </w:rPr>
      </w:pPr>
      <w:r w:rsidRPr="00AA6144">
        <w:rPr>
          <w:color w:val="auto"/>
          <w:lang w:val="en-CA"/>
        </w:rPr>
        <w:t xml:space="preserve"> </w:t>
      </w:r>
      <w:r w:rsidR="003508A3" w:rsidRPr="00AA6144">
        <w:rPr>
          <w:color w:val="auto"/>
          <w:lang w:val="en-CA"/>
        </w:rPr>
        <w:t>Section 607</w:t>
      </w:r>
      <w:r w:rsidR="00366590" w:rsidRPr="00AA6144">
        <w:rPr>
          <w:color w:val="auto"/>
          <w:lang w:val="en-CA"/>
        </w:rPr>
        <w:t>(6)</w:t>
      </w:r>
      <w:r w:rsidR="003508A3" w:rsidRPr="00AA6144">
        <w:rPr>
          <w:color w:val="auto"/>
          <w:lang w:val="en-CA"/>
        </w:rPr>
        <w:t xml:space="preserve"> of the </w:t>
      </w:r>
      <w:r w:rsidR="003508A3" w:rsidRPr="00AA6144">
        <w:rPr>
          <w:i/>
          <w:color w:val="auto"/>
          <w:lang w:val="en-CA"/>
        </w:rPr>
        <w:t xml:space="preserve">Criminal Code </w:t>
      </w:r>
      <w:r w:rsidR="003508A3" w:rsidRPr="00AA6144">
        <w:rPr>
          <w:color w:val="auto"/>
          <w:lang w:val="en-CA"/>
        </w:rPr>
        <w:t xml:space="preserve">provide an exception for the </w:t>
      </w:r>
      <w:r w:rsidR="00513B4D" w:rsidRPr="00AA6144">
        <w:rPr>
          <w:color w:val="auto"/>
          <w:lang w:val="en-CA"/>
        </w:rPr>
        <w:t>special plea</w:t>
      </w:r>
      <w:r w:rsidR="00366590" w:rsidRPr="00AA6144">
        <w:rPr>
          <w:color w:val="auto"/>
          <w:lang w:val="en-CA"/>
        </w:rPr>
        <w:t xml:space="preserve"> </w:t>
      </w:r>
      <w:r w:rsidR="004A19B8" w:rsidRPr="00AA6144">
        <w:rPr>
          <w:color w:val="auto"/>
          <w:lang w:val="en-CA"/>
        </w:rPr>
        <w:t xml:space="preserve">of </w:t>
      </w:r>
      <w:r w:rsidR="004A19B8" w:rsidRPr="00AA6144">
        <w:rPr>
          <w:i/>
          <w:color w:val="auto"/>
          <w:lang w:val="en-CA"/>
        </w:rPr>
        <w:t>autrefois convict</w:t>
      </w:r>
      <w:r w:rsidR="004A19B8" w:rsidRPr="00AA6144">
        <w:rPr>
          <w:color w:val="auto"/>
          <w:lang w:val="en-CA"/>
        </w:rPr>
        <w:t xml:space="preserve"> relating to </w:t>
      </w:r>
      <w:r w:rsidR="003508A3" w:rsidRPr="00AA6144">
        <w:rPr>
          <w:color w:val="auto"/>
          <w:lang w:val="en-CA"/>
        </w:rPr>
        <w:t xml:space="preserve">the crimes in the </w:t>
      </w:r>
      <w:r w:rsidR="003508A3" w:rsidRPr="00AA6144">
        <w:rPr>
          <w:i/>
          <w:color w:val="auto"/>
          <w:lang w:val="en-CA"/>
        </w:rPr>
        <w:t>CAHWCA</w:t>
      </w:r>
      <w:r w:rsidR="00366590" w:rsidRPr="00AA6144">
        <w:rPr>
          <w:color w:val="auto"/>
          <w:lang w:val="en-CA"/>
        </w:rPr>
        <w:t xml:space="preserve">; where a person is alleged to have committed an offence outside Canada for which he or she was convicted by a foreign court </w:t>
      </w:r>
      <w:r w:rsidR="00366590" w:rsidRPr="00AA6144">
        <w:rPr>
          <w:i/>
          <w:color w:val="auto"/>
          <w:lang w:val="en-CA"/>
        </w:rPr>
        <w:t>in absentia</w:t>
      </w:r>
      <w:r w:rsidR="00366590" w:rsidRPr="00AA6144">
        <w:rPr>
          <w:color w:val="auto"/>
          <w:lang w:val="en-CA"/>
        </w:rPr>
        <w:t xml:space="preserve">, the plea of </w:t>
      </w:r>
      <w:r w:rsidR="00366590" w:rsidRPr="00AA6144">
        <w:rPr>
          <w:i/>
          <w:color w:val="auto"/>
          <w:lang w:val="en-CA"/>
        </w:rPr>
        <w:t xml:space="preserve">autrefois convict </w:t>
      </w:r>
      <w:r w:rsidR="00366590" w:rsidRPr="00AA6144">
        <w:rPr>
          <w:color w:val="auto"/>
          <w:lang w:val="en-CA"/>
        </w:rPr>
        <w:t>is not available if the accused was not punished in accordance with the sentence imposed by the foreign court</w:t>
      </w:r>
      <w:r w:rsidR="003508A3" w:rsidRPr="00AA6144">
        <w:rPr>
          <w:color w:val="auto"/>
          <w:lang w:val="en-CA"/>
        </w:rPr>
        <w:t>.</w:t>
      </w:r>
      <w:r w:rsidR="003508A3" w:rsidRPr="00AA6144">
        <w:rPr>
          <w:rStyle w:val="FootnoteReference"/>
          <w:color w:val="auto"/>
          <w:lang w:val="en-CA"/>
        </w:rPr>
        <w:footnoteReference w:id="429"/>
      </w:r>
      <w:r w:rsidR="003508A3" w:rsidRPr="00AA6144">
        <w:rPr>
          <w:color w:val="auto"/>
          <w:lang w:val="en-CA"/>
        </w:rPr>
        <w:t xml:space="preserve"> </w:t>
      </w:r>
    </w:p>
    <w:p w14:paraId="31CDEC7E" w14:textId="77777777" w:rsidR="00BC57A3" w:rsidRPr="00AA6144" w:rsidRDefault="00BC57A3" w:rsidP="00BC57A3">
      <w:pPr>
        <w:pStyle w:val="AIBodyText"/>
        <w:rPr>
          <w:color w:val="auto"/>
          <w:lang w:val="en-CA"/>
        </w:rPr>
      </w:pPr>
      <w:r w:rsidRPr="00AA6144">
        <w:rPr>
          <w:color w:val="auto"/>
          <w:lang w:val="en-CA"/>
        </w:rPr>
        <w:t xml:space="preserve">Section 11(h) of the </w:t>
      </w:r>
      <w:r w:rsidRPr="00AA6144">
        <w:rPr>
          <w:i/>
          <w:color w:val="auto"/>
          <w:lang w:val="en-CA"/>
        </w:rPr>
        <w:t>Canadian Charter of Rights and Freedoms</w:t>
      </w:r>
      <w:r w:rsidRPr="00AA6144">
        <w:rPr>
          <w:color w:val="auto"/>
          <w:lang w:val="en-CA"/>
        </w:rPr>
        <w:t xml:space="preserve"> </w:t>
      </w:r>
      <w:r w:rsidR="009E77F0" w:rsidRPr="00AA6144">
        <w:rPr>
          <w:color w:val="auto"/>
          <w:lang w:val="en-CA"/>
        </w:rPr>
        <w:t>prohibits</w:t>
      </w:r>
      <w:r w:rsidRPr="00AA6144">
        <w:rPr>
          <w:color w:val="auto"/>
          <w:lang w:val="en-CA"/>
        </w:rPr>
        <w:t xml:space="preserve"> double jeopardy.</w:t>
      </w:r>
      <w:r w:rsidR="009E77F0" w:rsidRPr="00AA6144">
        <w:rPr>
          <w:color w:val="auto"/>
          <w:lang w:val="en-CA"/>
        </w:rPr>
        <w:t xml:space="preserve"> Section 11(h) establishes that any person charged with an offence "if finally acquitted of the offence, not to be tried for it again, and if finally found guilty and punished for the offence, not to be tried or punished for it again”.</w:t>
      </w:r>
      <w:r w:rsidR="009E77F0" w:rsidRPr="00AA6144">
        <w:rPr>
          <w:rStyle w:val="FootnoteReference"/>
          <w:color w:val="auto"/>
          <w:lang w:val="en-CA"/>
        </w:rPr>
        <w:footnoteReference w:id="430"/>
      </w:r>
      <w:r w:rsidR="005B4F3C" w:rsidRPr="00AA6144">
        <w:rPr>
          <w:color w:val="auto"/>
          <w:lang w:val="en-CA"/>
        </w:rPr>
        <w:t xml:space="preserve"> </w:t>
      </w:r>
      <w:r w:rsidR="005B4F3C" w:rsidRPr="00AA6144">
        <w:rPr>
          <w:i/>
          <w:color w:val="auto"/>
          <w:lang w:val="en-CA"/>
        </w:rPr>
        <w:t>Charter</w:t>
      </w:r>
      <w:r w:rsidRPr="00AA6144">
        <w:rPr>
          <w:color w:val="auto"/>
          <w:lang w:val="en-CA"/>
        </w:rPr>
        <w:t xml:space="preserve"> jurisprudence has outlined criteria that the accused must establish</w:t>
      </w:r>
      <w:r w:rsidR="00865C02" w:rsidRPr="00AA6144">
        <w:rPr>
          <w:color w:val="auto"/>
          <w:lang w:val="en-CA"/>
        </w:rPr>
        <w:t xml:space="preserve"> to argue double jeopa</w:t>
      </w:r>
      <w:r w:rsidR="005B4F3C" w:rsidRPr="00AA6144">
        <w:rPr>
          <w:color w:val="auto"/>
          <w:lang w:val="en-CA"/>
        </w:rPr>
        <w:t>rdy</w:t>
      </w:r>
      <w:r w:rsidRPr="00AA6144">
        <w:rPr>
          <w:color w:val="auto"/>
          <w:lang w:val="en-CA"/>
        </w:rPr>
        <w:t xml:space="preserve">, on a balance of probabilities, namely: </w:t>
      </w:r>
      <w:r w:rsidR="00AC032D" w:rsidRPr="00AA6144">
        <w:rPr>
          <w:color w:val="auto"/>
          <w:lang w:val="en-CA"/>
        </w:rPr>
        <w:t xml:space="preserve">identification that </w:t>
      </w:r>
      <w:r w:rsidRPr="00AA6144">
        <w:rPr>
          <w:color w:val="auto"/>
          <w:lang w:val="en-CA"/>
        </w:rPr>
        <w:t xml:space="preserve">the charges relating to the facts and the reproached offences and demonstration that the former adjudication was pronounced on merits. In </w:t>
      </w:r>
      <w:r w:rsidRPr="00AA6144">
        <w:rPr>
          <w:i/>
          <w:color w:val="auto"/>
          <w:lang w:val="en-CA"/>
        </w:rPr>
        <w:t xml:space="preserve">R v. </w:t>
      </w:r>
      <w:proofErr w:type="gramStart"/>
      <w:r w:rsidRPr="00AA6144">
        <w:rPr>
          <w:i/>
          <w:color w:val="auto"/>
          <w:lang w:val="en-CA"/>
        </w:rPr>
        <w:t>Pan;</w:t>
      </w:r>
      <w:proofErr w:type="gramEnd"/>
      <w:r w:rsidRPr="00AA6144">
        <w:rPr>
          <w:i/>
          <w:color w:val="auto"/>
          <w:lang w:val="en-CA"/>
        </w:rPr>
        <w:t xml:space="preserve"> R v. Sawyer</w:t>
      </w:r>
      <w:r w:rsidR="00AC032D" w:rsidRPr="00AA6144">
        <w:rPr>
          <w:color w:val="auto"/>
          <w:lang w:val="en-CA"/>
        </w:rPr>
        <w:t>,</w:t>
      </w:r>
      <w:r w:rsidRPr="00AA6144">
        <w:rPr>
          <w:rStyle w:val="FootnoteReference"/>
          <w:color w:val="auto"/>
          <w:lang w:val="en-CA"/>
        </w:rPr>
        <w:footnoteReference w:id="431"/>
      </w:r>
      <w:r w:rsidRPr="00AA6144">
        <w:rPr>
          <w:color w:val="auto"/>
          <w:lang w:val="en-CA"/>
        </w:rPr>
        <w:t xml:space="preserve"> the Supreme Court </w:t>
      </w:r>
      <w:r w:rsidR="00AC032D" w:rsidRPr="00AA6144">
        <w:rPr>
          <w:color w:val="auto"/>
          <w:lang w:val="en-CA"/>
        </w:rPr>
        <w:t xml:space="preserve">of Canada </w:t>
      </w:r>
      <w:r w:rsidRPr="00AA6144">
        <w:rPr>
          <w:color w:val="auto"/>
          <w:lang w:val="en-CA"/>
        </w:rPr>
        <w:t xml:space="preserve">agreed that section 11(h) of the </w:t>
      </w:r>
      <w:r w:rsidRPr="00AA6144">
        <w:rPr>
          <w:i/>
          <w:color w:val="auto"/>
          <w:lang w:val="en-CA"/>
        </w:rPr>
        <w:t>Charter</w:t>
      </w:r>
      <w:r w:rsidR="00AC032D" w:rsidRPr="00AA6144">
        <w:rPr>
          <w:color w:val="auto"/>
          <w:lang w:val="en-CA"/>
        </w:rPr>
        <w:t>:</w:t>
      </w:r>
    </w:p>
    <w:p w14:paraId="43F65F90" w14:textId="77777777" w:rsidR="00BC57A3" w:rsidRPr="00AA6144" w:rsidRDefault="00BC57A3" w:rsidP="000E1EB8">
      <w:pPr>
        <w:pStyle w:val="AIBodyText"/>
        <w:tabs>
          <w:tab w:val="left" w:pos="0"/>
        </w:tabs>
        <w:ind w:left="357" w:right="567"/>
        <w:rPr>
          <w:color w:val="auto"/>
          <w:lang w:val="en-CA"/>
        </w:rPr>
      </w:pPr>
      <w:r w:rsidRPr="00AA6144">
        <w:rPr>
          <w:color w:val="auto"/>
          <w:lang w:val="en-CA"/>
        </w:rPr>
        <w:t xml:space="preserve">enshrines the principles underlying the pleas of </w:t>
      </w:r>
      <w:r w:rsidRPr="00AA6144">
        <w:rPr>
          <w:i/>
          <w:color w:val="auto"/>
          <w:lang w:val="en-CA"/>
        </w:rPr>
        <w:t>autrefois acquit</w:t>
      </w:r>
      <w:r w:rsidRPr="00AA6144">
        <w:rPr>
          <w:color w:val="auto"/>
          <w:lang w:val="en-CA"/>
        </w:rPr>
        <w:t xml:space="preserve"> and </w:t>
      </w:r>
      <w:r w:rsidRPr="00AA6144">
        <w:rPr>
          <w:i/>
          <w:color w:val="auto"/>
          <w:lang w:val="en-CA"/>
        </w:rPr>
        <w:t>autrefois convict</w:t>
      </w:r>
      <w:r w:rsidRPr="00AA6144">
        <w:rPr>
          <w:color w:val="auto"/>
          <w:lang w:val="en-CA"/>
        </w:rPr>
        <w:t xml:space="preserve"> which are applicable, as previously indicated, only where the first trial has proceeded to verdict and do not apply where the first trial has proved abortive. In my view, however, s. 7 of the </w:t>
      </w:r>
      <w:r w:rsidRPr="00AA6144">
        <w:rPr>
          <w:i/>
          <w:color w:val="auto"/>
          <w:lang w:val="en-CA"/>
        </w:rPr>
        <w:t xml:space="preserve">Charter </w:t>
      </w:r>
      <w:r w:rsidRPr="00AA6144">
        <w:rPr>
          <w:color w:val="auto"/>
          <w:lang w:val="en-CA"/>
        </w:rPr>
        <w:t>constitutionalizing the requirement of “fundamental justice” might, in some circumstances, bar a second trial where the first trial has been improperly terminated. […] The principle of double jeopardy might also preclude a further trial if the Crown were to proceed unfairly in depriving the accused of a verdict.</w:t>
      </w:r>
      <w:r w:rsidRPr="00AA6144">
        <w:rPr>
          <w:rStyle w:val="FootnoteReference"/>
          <w:color w:val="auto"/>
          <w:lang w:val="en-CA"/>
        </w:rPr>
        <w:footnoteReference w:id="432"/>
      </w:r>
    </w:p>
    <w:p w14:paraId="5DBCDD38" w14:textId="77777777" w:rsidR="00BC57A3" w:rsidRPr="00AA6144" w:rsidRDefault="00BC57A3" w:rsidP="00BC57A3">
      <w:pPr>
        <w:pStyle w:val="AIBodyText"/>
        <w:tabs>
          <w:tab w:val="left" w:pos="7938"/>
        </w:tabs>
        <w:ind w:right="141"/>
        <w:rPr>
          <w:color w:val="auto"/>
          <w:lang w:val="en-CA"/>
        </w:rPr>
      </w:pPr>
      <w:r w:rsidRPr="00AA6144">
        <w:rPr>
          <w:color w:val="auto"/>
          <w:lang w:val="en-CA"/>
        </w:rPr>
        <w:t xml:space="preserve">However, </w:t>
      </w:r>
      <w:r w:rsidR="008B301F" w:rsidRPr="00AA6144">
        <w:rPr>
          <w:color w:val="auto"/>
          <w:lang w:val="en-CA"/>
        </w:rPr>
        <w:t xml:space="preserve">as the Saskatchewan Court of Appeal has noted, </w:t>
      </w:r>
      <w:r w:rsidRPr="00AA6144">
        <w:rPr>
          <w:color w:val="auto"/>
          <w:lang w:val="en-CA"/>
        </w:rPr>
        <w:t>a “single act may have more than one aspect, and it may give rise to more than one legal consequence.”</w:t>
      </w:r>
      <w:r w:rsidR="00CB5C67" w:rsidRPr="00AA6144">
        <w:rPr>
          <w:rStyle w:val="FootnoteReference"/>
          <w:color w:val="auto"/>
          <w:lang w:val="en-CA"/>
        </w:rPr>
        <w:footnoteReference w:id="433"/>
      </w:r>
      <w:r w:rsidRPr="00AA6144">
        <w:rPr>
          <w:color w:val="auto"/>
          <w:lang w:val="en-CA"/>
        </w:rPr>
        <w:t xml:space="preserve"> Therefore, the </w:t>
      </w:r>
      <w:r w:rsidRPr="00AA6144">
        <w:rPr>
          <w:i/>
          <w:color w:val="auto"/>
          <w:lang w:val="en-CA"/>
        </w:rPr>
        <w:t>autrefois acquit</w:t>
      </w:r>
      <w:r w:rsidRPr="00AA6144">
        <w:rPr>
          <w:color w:val="auto"/>
          <w:lang w:val="en-CA"/>
        </w:rPr>
        <w:t xml:space="preserve"> and </w:t>
      </w:r>
      <w:r w:rsidRPr="00AA6144">
        <w:rPr>
          <w:i/>
          <w:color w:val="auto"/>
          <w:lang w:val="en-CA"/>
        </w:rPr>
        <w:t>autrefois convict</w:t>
      </w:r>
      <w:r w:rsidRPr="00AA6144">
        <w:rPr>
          <w:color w:val="auto"/>
          <w:lang w:val="en-CA"/>
        </w:rPr>
        <w:t xml:space="preserve"> principles may not be applicable. It is also important to note that </w:t>
      </w:r>
      <w:r w:rsidRPr="00AA6144">
        <w:rPr>
          <w:i/>
          <w:color w:val="auto"/>
          <w:lang w:val="en-CA"/>
        </w:rPr>
        <w:t xml:space="preserve">res judicata </w:t>
      </w:r>
      <w:r w:rsidRPr="00AA6144">
        <w:rPr>
          <w:color w:val="auto"/>
          <w:lang w:val="en-CA"/>
        </w:rPr>
        <w:t xml:space="preserve">has a wider scope than the </w:t>
      </w:r>
      <w:r w:rsidRPr="00AA6144">
        <w:rPr>
          <w:i/>
          <w:color w:val="auto"/>
          <w:lang w:val="en-CA"/>
        </w:rPr>
        <w:t>autrefois acquit</w:t>
      </w:r>
      <w:r w:rsidRPr="00AA6144">
        <w:rPr>
          <w:color w:val="auto"/>
          <w:lang w:val="en-CA"/>
        </w:rPr>
        <w:t xml:space="preserve">, </w:t>
      </w:r>
      <w:r w:rsidRPr="00AA6144">
        <w:rPr>
          <w:i/>
          <w:color w:val="auto"/>
          <w:lang w:val="en-CA"/>
        </w:rPr>
        <w:t xml:space="preserve">autrefois convict </w:t>
      </w:r>
      <w:r w:rsidRPr="00AA6144">
        <w:rPr>
          <w:color w:val="auto"/>
          <w:lang w:val="en-CA"/>
        </w:rPr>
        <w:t>rule as it forbids multiple convictions.</w:t>
      </w:r>
      <w:r w:rsidR="00022946" w:rsidRPr="00AA6144">
        <w:rPr>
          <w:rStyle w:val="FootnoteReference"/>
          <w:color w:val="auto"/>
          <w:lang w:val="en-CA"/>
        </w:rPr>
        <w:footnoteReference w:id="434"/>
      </w:r>
    </w:p>
    <w:p w14:paraId="317F993E" w14:textId="77777777" w:rsidR="001E2002" w:rsidRPr="00AA6144" w:rsidRDefault="001E2002" w:rsidP="00114D3F">
      <w:pPr>
        <w:pStyle w:val="Heading2"/>
        <w:rPr>
          <w:color w:val="auto"/>
          <w:lang w:val="en-CA"/>
        </w:rPr>
      </w:pPr>
      <w:bookmarkStart w:id="160" w:name="_Toc43382757"/>
      <w:r w:rsidRPr="00AA6144">
        <w:rPr>
          <w:color w:val="auto"/>
          <w:lang w:val="en-CA"/>
        </w:rPr>
        <w:t>6.8. Political control over decisions to investigate and prosecute</w:t>
      </w:r>
      <w:bookmarkEnd w:id="160"/>
    </w:p>
    <w:p w14:paraId="0726A895" w14:textId="77777777" w:rsidR="00DF338C" w:rsidRPr="00AA6144" w:rsidRDefault="00DF338C" w:rsidP="00DF338C">
      <w:pPr>
        <w:spacing w:after="0"/>
        <w:rPr>
          <w:lang w:val="en-CA"/>
        </w:rPr>
      </w:pPr>
    </w:p>
    <w:p w14:paraId="711E136C" w14:textId="77777777" w:rsidR="008351D6" w:rsidRPr="00AA6144" w:rsidRDefault="008351D6" w:rsidP="008351D6">
      <w:pPr>
        <w:pStyle w:val="AIBodyText"/>
        <w:rPr>
          <w:color w:val="auto"/>
          <w:lang w:val="en-CA"/>
        </w:rPr>
      </w:pPr>
      <w:r w:rsidRPr="00AA6144">
        <w:rPr>
          <w:color w:val="auto"/>
          <w:lang w:val="en-CA"/>
        </w:rPr>
        <w:t>In pri</w:t>
      </w:r>
      <w:r w:rsidR="000E1EB8" w:rsidRPr="00AA6144">
        <w:rPr>
          <w:color w:val="auto"/>
          <w:lang w:val="en-CA"/>
        </w:rPr>
        <w:t xml:space="preserve">nciple, the Minister of Justice, in his or her capacity as the Attorney General of Canada or one of the provinces, </w:t>
      </w:r>
      <w:r w:rsidRPr="00AA6144">
        <w:rPr>
          <w:color w:val="auto"/>
          <w:lang w:val="en-CA"/>
        </w:rPr>
        <w:t>determines whether to institute a criminal prosecution</w:t>
      </w:r>
      <w:r w:rsidR="00E66858" w:rsidRPr="00AA6144">
        <w:rPr>
          <w:color w:val="auto"/>
          <w:lang w:val="en-CA"/>
        </w:rPr>
        <w:t>. Criminal</w:t>
      </w:r>
      <w:r w:rsidRPr="00AA6144">
        <w:rPr>
          <w:color w:val="auto"/>
          <w:lang w:val="en-CA"/>
        </w:rPr>
        <w:t xml:space="preserve"> proceedings are</w:t>
      </w:r>
      <w:r w:rsidR="00E66858" w:rsidRPr="00AA6144">
        <w:rPr>
          <w:color w:val="auto"/>
          <w:lang w:val="en-CA"/>
        </w:rPr>
        <w:t xml:space="preserve"> either</w:t>
      </w:r>
      <w:r w:rsidRPr="00AA6144">
        <w:rPr>
          <w:color w:val="auto"/>
          <w:lang w:val="en-CA"/>
        </w:rPr>
        <w:t xml:space="preserve"> conducted by </w:t>
      </w:r>
      <w:r w:rsidR="000E1EB8" w:rsidRPr="00AA6144">
        <w:rPr>
          <w:color w:val="auto"/>
          <w:lang w:val="en-CA"/>
        </w:rPr>
        <w:t>one of the</w:t>
      </w:r>
      <w:r w:rsidRPr="00AA6144">
        <w:rPr>
          <w:color w:val="auto"/>
          <w:lang w:val="en-CA"/>
        </w:rPr>
        <w:t xml:space="preserve"> Attorney</w:t>
      </w:r>
      <w:r w:rsidR="000E1EB8" w:rsidRPr="00AA6144">
        <w:rPr>
          <w:color w:val="auto"/>
          <w:lang w:val="en-CA"/>
        </w:rPr>
        <w:t>s</w:t>
      </w:r>
      <w:r w:rsidRPr="00AA6144">
        <w:rPr>
          <w:color w:val="auto"/>
          <w:lang w:val="en-CA"/>
        </w:rPr>
        <w:t xml:space="preserve"> General</w:t>
      </w:r>
      <w:r w:rsidRPr="00AA6144">
        <w:rPr>
          <w:color w:val="auto"/>
          <w:vertAlign w:val="superscript"/>
          <w:lang w:val="en-CA"/>
        </w:rPr>
        <w:footnoteReference w:id="435"/>
      </w:r>
      <w:r w:rsidR="008B301F" w:rsidRPr="00AA6144">
        <w:rPr>
          <w:color w:val="auto"/>
          <w:lang w:val="en-CA"/>
        </w:rPr>
        <w:t xml:space="preserve"> </w:t>
      </w:r>
      <w:r w:rsidR="00E66858" w:rsidRPr="00AA6144">
        <w:rPr>
          <w:color w:val="auto"/>
          <w:lang w:val="en-CA"/>
        </w:rPr>
        <w:t>or</w:t>
      </w:r>
      <w:r w:rsidR="000E1EB8" w:rsidRPr="00AA6144">
        <w:rPr>
          <w:color w:val="auto"/>
          <w:lang w:val="en-CA"/>
        </w:rPr>
        <w:t>, at the federal level,</w:t>
      </w:r>
      <w:r w:rsidR="00E66858" w:rsidRPr="00AA6144">
        <w:rPr>
          <w:color w:val="auto"/>
          <w:lang w:val="en-CA"/>
        </w:rPr>
        <w:t xml:space="preserve"> by the Deputy Attorney General, who is the Director of Public Prosecutions.</w:t>
      </w:r>
      <w:bookmarkStart w:id="161" w:name="_Ref267055362"/>
      <w:r w:rsidR="00E66858" w:rsidRPr="00AA6144">
        <w:rPr>
          <w:rStyle w:val="FootnoteReference"/>
          <w:color w:val="auto"/>
          <w:lang w:val="en-CA"/>
        </w:rPr>
        <w:footnoteReference w:id="436"/>
      </w:r>
      <w:bookmarkEnd w:id="161"/>
      <w:r w:rsidR="00E66858" w:rsidRPr="00AA6144">
        <w:rPr>
          <w:color w:val="auto"/>
          <w:lang w:val="en-CA"/>
        </w:rPr>
        <w:t xml:space="preserve"> </w:t>
      </w:r>
      <w:r w:rsidRPr="00AA6144">
        <w:rPr>
          <w:color w:val="auto"/>
          <w:lang w:val="en-CA"/>
        </w:rPr>
        <w:t>The decision whether to prosecute is discretionary and courts do not intervene in its exercise unless a lack of objectivity, impartiality or flagrant reprehensible conduct can be established.</w:t>
      </w:r>
      <w:r w:rsidRPr="00AA6144">
        <w:rPr>
          <w:color w:val="auto"/>
          <w:vertAlign w:val="superscript"/>
          <w:lang w:val="en-CA"/>
        </w:rPr>
        <w:footnoteReference w:id="437"/>
      </w:r>
      <w:r w:rsidRPr="00AA6144">
        <w:rPr>
          <w:color w:val="auto"/>
          <w:lang w:val="en-CA"/>
        </w:rPr>
        <w:t xml:space="preserve"> </w:t>
      </w:r>
    </w:p>
    <w:p w14:paraId="29DC1863" w14:textId="77777777" w:rsidR="003B7BD1" w:rsidRPr="00AA6144" w:rsidRDefault="008351D6" w:rsidP="008351D6">
      <w:pPr>
        <w:pStyle w:val="AIBodyText"/>
        <w:rPr>
          <w:color w:val="auto"/>
          <w:lang w:val="en-CA"/>
        </w:rPr>
      </w:pPr>
      <w:r w:rsidRPr="00AA6144">
        <w:rPr>
          <w:color w:val="auto"/>
          <w:lang w:val="en-CA"/>
        </w:rPr>
        <w:t xml:space="preserve">The Supreme Court </w:t>
      </w:r>
      <w:r w:rsidR="00A55CF6" w:rsidRPr="00AA6144">
        <w:rPr>
          <w:color w:val="auto"/>
          <w:lang w:val="en-CA"/>
        </w:rPr>
        <w:t xml:space="preserve">summarized </w:t>
      </w:r>
      <w:r w:rsidRPr="00AA6144">
        <w:rPr>
          <w:color w:val="auto"/>
          <w:lang w:val="en-CA"/>
        </w:rPr>
        <w:t>the discretionary power of the Attorney</w:t>
      </w:r>
      <w:r w:rsidR="000E1EB8" w:rsidRPr="00AA6144">
        <w:rPr>
          <w:color w:val="auto"/>
          <w:lang w:val="en-CA"/>
        </w:rPr>
        <w:t>s</w:t>
      </w:r>
      <w:r w:rsidRPr="00AA6144">
        <w:rPr>
          <w:color w:val="auto"/>
          <w:lang w:val="en-CA"/>
        </w:rPr>
        <w:t xml:space="preserve"> General in </w:t>
      </w:r>
      <w:r w:rsidRPr="00AA6144">
        <w:rPr>
          <w:i/>
          <w:color w:val="auto"/>
          <w:lang w:val="en-CA"/>
        </w:rPr>
        <w:t>Krieger</w:t>
      </w:r>
      <w:r w:rsidRPr="00AA6144">
        <w:rPr>
          <w:color w:val="auto"/>
          <w:lang w:val="en-CA"/>
        </w:rPr>
        <w:t xml:space="preserve"> </w:t>
      </w:r>
      <w:r w:rsidRPr="00AA6144">
        <w:rPr>
          <w:i/>
          <w:color w:val="auto"/>
          <w:lang w:val="en-CA"/>
        </w:rPr>
        <w:t>v Law of Society Alberta</w:t>
      </w:r>
      <w:r w:rsidR="00A55CF6" w:rsidRPr="00AA6144">
        <w:rPr>
          <w:color w:val="auto"/>
          <w:lang w:val="en-CA"/>
        </w:rPr>
        <w:t xml:space="preserve">, stating that it includes: </w:t>
      </w:r>
    </w:p>
    <w:p w14:paraId="7BA05512" w14:textId="77777777" w:rsidR="003B7BD1" w:rsidRPr="00AA6144" w:rsidRDefault="008351D6" w:rsidP="000E1EB8">
      <w:pPr>
        <w:pStyle w:val="AIBodyText"/>
        <w:ind w:left="357"/>
        <w:rPr>
          <w:color w:val="auto"/>
          <w:lang w:val="en-CA"/>
        </w:rPr>
      </w:pPr>
      <w:r w:rsidRPr="00AA6144">
        <w:rPr>
          <w:color w:val="auto"/>
          <w:lang w:val="en-CA"/>
        </w:rPr>
        <w:t xml:space="preserve">(a) the discretion whether to bring the prosecution of a charge laid by police; </w:t>
      </w:r>
      <w:r w:rsidR="003B7BD1" w:rsidRPr="00AA6144">
        <w:rPr>
          <w:color w:val="auto"/>
          <w:lang w:val="en-CA"/>
        </w:rPr>
        <w:br/>
      </w:r>
      <w:r w:rsidRPr="00AA6144">
        <w:rPr>
          <w:color w:val="auto"/>
          <w:lang w:val="en-CA"/>
        </w:rPr>
        <w:t>(b) the discretion to enter a stay of proceedings in either a private or public prosecution, as codified in the Criminal Code, R.S.C. 1985, c.  C-46, ss. 579 and 579.1;</w:t>
      </w:r>
      <w:r w:rsidR="003B7BD1" w:rsidRPr="00AA6144">
        <w:rPr>
          <w:color w:val="auto"/>
          <w:lang w:val="en-CA"/>
        </w:rPr>
        <w:br/>
      </w:r>
      <w:r w:rsidRPr="00AA6144">
        <w:rPr>
          <w:color w:val="auto"/>
          <w:lang w:val="en-CA"/>
        </w:rPr>
        <w:t xml:space="preserve">(c) the discretion to accept a guilty plea to a lesser charge; </w:t>
      </w:r>
      <w:r w:rsidR="003B7BD1" w:rsidRPr="00AA6144">
        <w:rPr>
          <w:color w:val="auto"/>
          <w:lang w:val="en-CA"/>
        </w:rPr>
        <w:br/>
      </w:r>
      <w:r w:rsidRPr="00AA6144">
        <w:rPr>
          <w:color w:val="auto"/>
          <w:lang w:val="en-CA"/>
        </w:rPr>
        <w:t xml:space="preserve">(d) the discretion to withdraw from criminal proceedings altogether:  </w:t>
      </w:r>
      <w:r w:rsidRPr="00AA6144">
        <w:rPr>
          <w:i/>
          <w:color w:val="auto"/>
          <w:lang w:val="en-CA"/>
        </w:rPr>
        <w:t>R v Osborne</w:t>
      </w:r>
      <w:r w:rsidRPr="00AA6144">
        <w:rPr>
          <w:color w:val="auto"/>
          <w:lang w:val="en-CA"/>
        </w:rPr>
        <w:t xml:space="preserve"> (1975), 25 C.C.C. (2d) 405 (N.B.C.A.); and </w:t>
      </w:r>
      <w:r w:rsidR="003B7BD1" w:rsidRPr="00AA6144">
        <w:rPr>
          <w:color w:val="auto"/>
          <w:lang w:val="en-CA"/>
        </w:rPr>
        <w:br/>
      </w:r>
      <w:r w:rsidRPr="00AA6144">
        <w:rPr>
          <w:color w:val="auto"/>
          <w:lang w:val="en-CA"/>
        </w:rPr>
        <w:t xml:space="preserve">(e) the discretion to take control of a private prosecution:  </w:t>
      </w:r>
      <w:r w:rsidRPr="00AA6144">
        <w:rPr>
          <w:i/>
          <w:color w:val="auto"/>
          <w:lang w:val="en-CA"/>
        </w:rPr>
        <w:t xml:space="preserve">R v </w:t>
      </w:r>
      <w:proofErr w:type="spellStart"/>
      <w:r w:rsidRPr="00AA6144">
        <w:rPr>
          <w:i/>
          <w:color w:val="auto"/>
          <w:lang w:val="en-CA"/>
        </w:rPr>
        <w:t>Osiowy</w:t>
      </w:r>
      <w:proofErr w:type="spellEnd"/>
      <w:r w:rsidRPr="00AA6144">
        <w:rPr>
          <w:i/>
          <w:color w:val="auto"/>
          <w:lang w:val="en-CA"/>
        </w:rPr>
        <w:t xml:space="preserve"> </w:t>
      </w:r>
      <w:r w:rsidRPr="00AA6144">
        <w:rPr>
          <w:color w:val="auto"/>
          <w:lang w:val="en-CA"/>
        </w:rPr>
        <w:t>(1989), 50 C.C.C. (3d) 189 (Sask. C.A.).</w:t>
      </w:r>
      <w:r w:rsidR="003B7BD1" w:rsidRPr="00AA6144">
        <w:rPr>
          <w:rStyle w:val="FootnoteReference"/>
          <w:color w:val="auto"/>
          <w:lang w:val="en-CA"/>
        </w:rPr>
        <w:footnoteReference w:id="438"/>
      </w:r>
      <w:r w:rsidRPr="00AA6144">
        <w:rPr>
          <w:color w:val="auto"/>
          <w:lang w:val="en-CA"/>
        </w:rPr>
        <w:t xml:space="preserve">  </w:t>
      </w:r>
    </w:p>
    <w:p w14:paraId="50EC7BD7" w14:textId="77777777" w:rsidR="008351D6" w:rsidRPr="00AA6144" w:rsidRDefault="008351D6" w:rsidP="003B7BD1">
      <w:pPr>
        <w:pStyle w:val="AIBodyText"/>
        <w:rPr>
          <w:color w:val="auto"/>
          <w:lang w:val="en-CA"/>
        </w:rPr>
      </w:pPr>
      <w:r w:rsidRPr="00AA6144">
        <w:rPr>
          <w:color w:val="auto"/>
          <w:lang w:val="en-CA"/>
        </w:rPr>
        <w:t xml:space="preserve">While there are other discretionary decisions, these are the core </w:t>
      </w:r>
      <w:r w:rsidR="00695645" w:rsidRPr="00AA6144">
        <w:rPr>
          <w:color w:val="auto"/>
          <w:lang w:val="en-CA"/>
        </w:rPr>
        <w:t xml:space="preserve">prosecutorial discretionary powers </w:t>
      </w:r>
      <w:r w:rsidRPr="00AA6144">
        <w:rPr>
          <w:color w:val="auto"/>
          <w:lang w:val="en-CA"/>
        </w:rPr>
        <w:t xml:space="preserve">of the delegated sovereign authority </w:t>
      </w:r>
      <w:r w:rsidR="005C464B" w:rsidRPr="00AA6144">
        <w:rPr>
          <w:color w:val="auto"/>
          <w:lang w:val="en-CA"/>
        </w:rPr>
        <w:t>to</w:t>
      </w:r>
      <w:r w:rsidRPr="00AA6144">
        <w:rPr>
          <w:color w:val="auto"/>
          <w:lang w:val="en-CA"/>
        </w:rPr>
        <w:t xml:space="preserve"> the office of the Attorney</w:t>
      </w:r>
      <w:r w:rsidR="004A4623" w:rsidRPr="00AA6144">
        <w:rPr>
          <w:color w:val="auto"/>
          <w:lang w:val="en-CA"/>
        </w:rPr>
        <w:t>s</w:t>
      </w:r>
      <w:r w:rsidRPr="00AA6144">
        <w:rPr>
          <w:color w:val="auto"/>
          <w:lang w:val="en-CA"/>
        </w:rPr>
        <w:t xml:space="preserve"> General. </w:t>
      </w:r>
      <w:r w:rsidR="00F5272B" w:rsidRPr="00AA6144">
        <w:rPr>
          <w:color w:val="auto"/>
          <w:lang w:val="en-CA"/>
        </w:rPr>
        <w:t>The office of the Attorney General is</w:t>
      </w:r>
      <w:r w:rsidR="00A55CF6" w:rsidRPr="00AA6144">
        <w:rPr>
          <w:color w:val="auto"/>
          <w:lang w:val="en-CA"/>
        </w:rPr>
        <w:t xml:space="preserve">, according to </w:t>
      </w:r>
      <w:r w:rsidR="00A55CF6" w:rsidRPr="00AA6144">
        <w:rPr>
          <w:color w:val="auto"/>
          <w:szCs w:val="16"/>
          <w:lang w:val="en-CA"/>
        </w:rPr>
        <w:t xml:space="preserve">Pierre Béliveau and Martin </w:t>
      </w:r>
      <w:proofErr w:type="spellStart"/>
      <w:r w:rsidR="00A55CF6" w:rsidRPr="00AA6144">
        <w:rPr>
          <w:color w:val="auto"/>
          <w:szCs w:val="16"/>
          <w:lang w:val="en-CA"/>
        </w:rPr>
        <w:t>Vauclair</w:t>
      </w:r>
      <w:proofErr w:type="spellEnd"/>
      <w:r w:rsidR="00A55CF6" w:rsidRPr="00AA6144">
        <w:rPr>
          <w:color w:val="auto"/>
          <w:szCs w:val="16"/>
          <w:lang w:val="en-CA"/>
        </w:rPr>
        <w:t xml:space="preserve">, </w:t>
      </w:r>
      <w:r w:rsidR="004B0760" w:rsidRPr="00AA6144">
        <w:rPr>
          <w:color w:val="auto"/>
          <w:lang w:val="en-CA"/>
        </w:rPr>
        <w:t>“</w:t>
      </w:r>
      <w:r w:rsidRPr="00AA6144">
        <w:rPr>
          <w:color w:val="auto"/>
          <w:lang w:val="en-CA"/>
        </w:rPr>
        <w:t>protected from the influence of improper political and other vitiating factors by the principle of independence</w:t>
      </w:r>
      <w:r w:rsidR="004B0760" w:rsidRPr="00AA6144">
        <w:rPr>
          <w:color w:val="auto"/>
          <w:lang w:val="en-CA"/>
        </w:rPr>
        <w:t>.</w:t>
      </w:r>
      <w:r w:rsidR="00B51FD8" w:rsidRPr="00AA6144">
        <w:rPr>
          <w:color w:val="auto"/>
          <w:lang w:val="en-CA"/>
        </w:rPr>
        <w:t>”</w:t>
      </w:r>
      <w:r w:rsidRPr="00AA6144">
        <w:rPr>
          <w:color w:val="auto"/>
          <w:vertAlign w:val="superscript"/>
          <w:lang w:val="en-CA"/>
        </w:rPr>
        <w:footnoteReference w:id="439"/>
      </w:r>
      <w:r w:rsidRPr="00AA6144">
        <w:rPr>
          <w:color w:val="auto"/>
          <w:lang w:val="en-CA"/>
        </w:rPr>
        <w:t xml:space="preserve"> Courts </w:t>
      </w:r>
      <w:r w:rsidR="005C464B" w:rsidRPr="00AA6144">
        <w:rPr>
          <w:color w:val="auto"/>
          <w:lang w:val="en-CA"/>
        </w:rPr>
        <w:t xml:space="preserve">will </w:t>
      </w:r>
      <w:r w:rsidRPr="00AA6144">
        <w:rPr>
          <w:color w:val="auto"/>
          <w:lang w:val="en-CA"/>
        </w:rPr>
        <w:t>intervene in the Attorney General’s work in case of abuse of process</w:t>
      </w:r>
      <w:r w:rsidR="005C464B" w:rsidRPr="00AA6144">
        <w:rPr>
          <w:color w:val="auto"/>
          <w:lang w:val="en-CA"/>
        </w:rPr>
        <w:t>,</w:t>
      </w:r>
      <w:r w:rsidRPr="00AA6144">
        <w:rPr>
          <w:color w:val="auto"/>
          <w:lang w:val="en-CA"/>
        </w:rPr>
        <w:t xml:space="preserve"> he or she </w:t>
      </w:r>
      <w:r w:rsidR="005C464B" w:rsidRPr="00AA6144">
        <w:rPr>
          <w:color w:val="auto"/>
          <w:lang w:val="en-CA"/>
        </w:rPr>
        <w:t xml:space="preserve">otherwise </w:t>
      </w:r>
      <w:r w:rsidRPr="00AA6144">
        <w:rPr>
          <w:color w:val="auto"/>
          <w:lang w:val="en-CA"/>
        </w:rPr>
        <w:t xml:space="preserve">enjoys relatively </w:t>
      </w:r>
      <w:r w:rsidR="000707BF" w:rsidRPr="00AA6144">
        <w:rPr>
          <w:color w:val="auto"/>
          <w:lang w:val="en-CA"/>
        </w:rPr>
        <w:t xml:space="preserve">broad </w:t>
      </w:r>
      <w:r w:rsidRPr="00AA6144">
        <w:rPr>
          <w:color w:val="auto"/>
          <w:lang w:val="en-CA"/>
        </w:rPr>
        <w:t xml:space="preserve">prosecutorial powers. In </w:t>
      </w:r>
      <w:proofErr w:type="spellStart"/>
      <w:r w:rsidRPr="00AA6144">
        <w:rPr>
          <w:i/>
          <w:color w:val="auto"/>
          <w:lang w:val="en-CA"/>
        </w:rPr>
        <w:t>Nelles</w:t>
      </w:r>
      <w:proofErr w:type="spellEnd"/>
      <w:r w:rsidR="00A55CF6" w:rsidRPr="00AA6144">
        <w:rPr>
          <w:i/>
          <w:color w:val="auto"/>
          <w:lang w:val="en-CA"/>
        </w:rPr>
        <w:t xml:space="preserve"> v Ontario </w:t>
      </w:r>
      <w:r w:rsidRPr="00AA6144">
        <w:rPr>
          <w:color w:val="auto"/>
          <w:vertAlign w:val="superscript"/>
          <w:lang w:val="en-CA"/>
        </w:rPr>
        <w:footnoteReference w:id="440"/>
      </w:r>
      <w:r w:rsidRPr="00AA6144">
        <w:rPr>
          <w:color w:val="auto"/>
          <w:lang w:val="en-CA"/>
        </w:rPr>
        <w:t xml:space="preserve"> and </w:t>
      </w:r>
      <w:r w:rsidRPr="00AA6144">
        <w:rPr>
          <w:i/>
          <w:color w:val="auto"/>
          <w:lang w:val="en-CA"/>
        </w:rPr>
        <w:t>Proulx</w:t>
      </w:r>
      <w:r w:rsidR="00A55CF6" w:rsidRPr="00AA6144">
        <w:rPr>
          <w:i/>
          <w:color w:val="auto"/>
          <w:lang w:val="en-CA"/>
        </w:rPr>
        <w:t xml:space="preserve"> v </w:t>
      </w:r>
      <w:r w:rsidR="00A55CF6" w:rsidRPr="00AA6144">
        <w:rPr>
          <w:i/>
          <w:color w:val="auto"/>
          <w:szCs w:val="16"/>
          <w:lang w:val="en-CA"/>
        </w:rPr>
        <w:t>Québec</w:t>
      </w:r>
      <w:r w:rsidRPr="00AA6144">
        <w:rPr>
          <w:color w:val="auto"/>
          <w:lang w:val="en-CA"/>
        </w:rPr>
        <w:t>,</w:t>
      </w:r>
      <w:r w:rsidRPr="00AA6144">
        <w:rPr>
          <w:color w:val="auto"/>
          <w:vertAlign w:val="superscript"/>
          <w:lang w:val="en-CA"/>
        </w:rPr>
        <w:footnoteReference w:id="441"/>
      </w:r>
      <w:r w:rsidRPr="00AA6144">
        <w:rPr>
          <w:color w:val="auto"/>
          <w:lang w:val="en-CA"/>
        </w:rPr>
        <w:t xml:space="preserve"> the Supreme Court </w:t>
      </w:r>
      <w:r w:rsidR="005C464B" w:rsidRPr="00AA6144">
        <w:rPr>
          <w:color w:val="auto"/>
          <w:lang w:val="en-CA"/>
        </w:rPr>
        <w:t xml:space="preserve">of Canada </w:t>
      </w:r>
      <w:r w:rsidRPr="00AA6144">
        <w:rPr>
          <w:color w:val="auto"/>
          <w:lang w:val="en-CA"/>
        </w:rPr>
        <w:t>concluded that the Attorney General possesses relative</w:t>
      </w:r>
      <w:r w:rsidR="005C464B" w:rsidRPr="00AA6144">
        <w:rPr>
          <w:color w:val="auto"/>
          <w:lang w:val="en-CA"/>
        </w:rPr>
        <w:t xml:space="preserve"> and</w:t>
      </w:r>
      <w:r w:rsidRPr="00AA6144">
        <w:rPr>
          <w:color w:val="auto"/>
          <w:lang w:val="en-CA"/>
        </w:rPr>
        <w:t xml:space="preserve"> </w:t>
      </w:r>
      <w:r w:rsidR="005C464B" w:rsidRPr="00AA6144">
        <w:rPr>
          <w:color w:val="auto"/>
          <w:lang w:val="en-CA"/>
        </w:rPr>
        <w:t>not</w:t>
      </w:r>
      <w:r w:rsidRPr="00AA6144">
        <w:rPr>
          <w:color w:val="auto"/>
          <w:lang w:val="en-CA"/>
        </w:rPr>
        <w:t xml:space="preserve"> absolute</w:t>
      </w:r>
      <w:r w:rsidR="005C464B" w:rsidRPr="00AA6144">
        <w:rPr>
          <w:color w:val="auto"/>
          <w:lang w:val="en-CA"/>
        </w:rPr>
        <w:t xml:space="preserve"> civil</w:t>
      </w:r>
      <w:r w:rsidRPr="00AA6144">
        <w:rPr>
          <w:color w:val="auto"/>
          <w:lang w:val="en-CA"/>
        </w:rPr>
        <w:t xml:space="preserve"> immunity</w:t>
      </w:r>
      <w:r w:rsidR="005C464B" w:rsidRPr="00AA6144">
        <w:rPr>
          <w:color w:val="auto"/>
          <w:lang w:val="en-CA"/>
        </w:rPr>
        <w:t>,</w:t>
      </w:r>
      <w:r w:rsidRPr="00AA6144">
        <w:rPr>
          <w:color w:val="auto"/>
          <w:lang w:val="en-CA"/>
        </w:rPr>
        <w:t xml:space="preserve"> in the case of abuse of process.</w:t>
      </w:r>
      <w:r w:rsidRPr="00AA6144">
        <w:rPr>
          <w:color w:val="auto"/>
          <w:vertAlign w:val="superscript"/>
          <w:lang w:val="en-CA"/>
        </w:rPr>
        <w:footnoteReference w:id="442"/>
      </w:r>
      <w:r w:rsidRPr="00AA6144">
        <w:rPr>
          <w:color w:val="auto"/>
          <w:lang w:val="en-CA"/>
        </w:rPr>
        <w:t xml:space="preserve"> </w:t>
      </w:r>
    </w:p>
    <w:p w14:paraId="1B57BAF4" w14:textId="77777777" w:rsidR="0021191F" w:rsidRPr="00AA6144" w:rsidRDefault="008351D6" w:rsidP="005C464B">
      <w:pPr>
        <w:pStyle w:val="AIBodyText"/>
        <w:rPr>
          <w:color w:val="auto"/>
          <w:lang w:val="en-CA"/>
        </w:rPr>
      </w:pPr>
      <w:r w:rsidRPr="00AA6144">
        <w:rPr>
          <w:color w:val="auto"/>
          <w:lang w:val="en-CA"/>
        </w:rPr>
        <w:t xml:space="preserve">In </w:t>
      </w:r>
      <w:r w:rsidRPr="00AA6144">
        <w:rPr>
          <w:i/>
          <w:color w:val="auto"/>
          <w:lang w:val="en-CA"/>
        </w:rPr>
        <w:t>R</w:t>
      </w:r>
      <w:r w:rsidRPr="00AA6144">
        <w:rPr>
          <w:color w:val="auto"/>
          <w:lang w:val="en-CA"/>
        </w:rPr>
        <w:t xml:space="preserve"> v </w:t>
      </w:r>
      <w:r w:rsidRPr="00AA6144">
        <w:rPr>
          <w:i/>
          <w:color w:val="auto"/>
          <w:lang w:val="en-CA"/>
        </w:rPr>
        <w:t>Power</w:t>
      </w:r>
      <w:r w:rsidRPr="00AA6144">
        <w:rPr>
          <w:color w:val="auto"/>
          <w:lang w:val="en-CA"/>
        </w:rPr>
        <w:t>, the Supreme Court</w:t>
      </w:r>
      <w:r w:rsidR="005C464B" w:rsidRPr="00AA6144">
        <w:rPr>
          <w:color w:val="auto"/>
          <w:lang w:val="en-CA"/>
        </w:rPr>
        <w:t xml:space="preserve"> of Canada</w:t>
      </w:r>
      <w:r w:rsidR="001D5770" w:rsidRPr="00AA6144">
        <w:rPr>
          <w:color w:val="auto"/>
          <w:lang w:val="en-CA"/>
        </w:rPr>
        <w:t xml:space="preserve"> recognized that courts </w:t>
      </w:r>
      <w:r w:rsidR="00C61C10" w:rsidRPr="00AA6144">
        <w:rPr>
          <w:color w:val="auto"/>
          <w:lang w:val="en-CA"/>
        </w:rPr>
        <w:t>should be</w:t>
      </w:r>
      <w:r w:rsidR="001D5770" w:rsidRPr="00AA6144">
        <w:rPr>
          <w:color w:val="auto"/>
          <w:lang w:val="en-CA"/>
        </w:rPr>
        <w:t xml:space="preserve"> </w:t>
      </w:r>
      <w:r w:rsidR="00BD3089" w:rsidRPr="00AA6144">
        <w:rPr>
          <w:color w:val="auto"/>
          <w:lang w:val="en-CA"/>
        </w:rPr>
        <w:t>reluctant to “second-guess” the prosecutor’s motive when he or she makes a decision in the context of their prosecutorial function.</w:t>
      </w:r>
      <w:r w:rsidR="00001B08" w:rsidRPr="00AA6144">
        <w:rPr>
          <w:color w:val="auto"/>
          <w:vertAlign w:val="superscript"/>
          <w:lang w:val="en-CA"/>
        </w:rPr>
        <w:footnoteReference w:id="443"/>
      </w:r>
      <w:r w:rsidR="001D5770" w:rsidRPr="00AA6144">
        <w:rPr>
          <w:color w:val="auto"/>
          <w:lang w:val="en-CA"/>
        </w:rPr>
        <w:t xml:space="preserve"> </w:t>
      </w:r>
      <w:r w:rsidR="0021191F" w:rsidRPr="00AA6144">
        <w:rPr>
          <w:color w:val="auto"/>
          <w:lang w:val="en-CA"/>
        </w:rPr>
        <w:t xml:space="preserve">Courts should intervene </w:t>
      </w:r>
      <w:r w:rsidR="00B3138F" w:rsidRPr="00AA6144">
        <w:rPr>
          <w:color w:val="auto"/>
          <w:lang w:val="en-CA"/>
        </w:rPr>
        <w:t>in decisions of prosecutorial discretion only</w:t>
      </w:r>
      <w:r w:rsidR="005C464B" w:rsidRPr="00AA6144">
        <w:rPr>
          <w:color w:val="auto"/>
          <w:lang w:val="en-CA"/>
        </w:rPr>
        <w:t xml:space="preserve"> “</w:t>
      </w:r>
      <w:r w:rsidR="0021191F" w:rsidRPr="00AA6144">
        <w:rPr>
          <w:color w:val="auto"/>
          <w:lang w:val="en-CA"/>
        </w:rPr>
        <w:t>where there is conspicuous evidence of improper motives or of bad faith or of an act so wrong that it violates the conscience of the community, such that it would genuinely be unfair and indecent to proceed</w:t>
      </w:r>
      <w:r w:rsidR="005C464B" w:rsidRPr="00AA6144">
        <w:rPr>
          <w:color w:val="auto"/>
          <w:lang w:val="en-CA"/>
        </w:rPr>
        <w:t>.”</w:t>
      </w:r>
      <w:r w:rsidR="0021191F" w:rsidRPr="00AA6144">
        <w:rPr>
          <w:rStyle w:val="FootnoteReference"/>
          <w:color w:val="auto"/>
          <w:lang w:val="en-CA"/>
        </w:rPr>
        <w:footnoteReference w:id="444"/>
      </w:r>
    </w:p>
    <w:p w14:paraId="0FABDFEF" w14:textId="77777777" w:rsidR="008351D6" w:rsidRPr="00AA6144" w:rsidRDefault="001C2549" w:rsidP="00303D3C">
      <w:pPr>
        <w:pStyle w:val="AIBodyText"/>
        <w:rPr>
          <w:color w:val="auto"/>
          <w:lang w:val="en-CA"/>
        </w:rPr>
      </w:pPr>
      <w:r w:rsidRPr="00AA6144">
        <w:rPr>
          <w:color w:val="auto"/>
          <w:lang w:val="en-CA"/>
        </w:rPr>
        <w:t>The Attorney</w:t>
      </w:r>
      <w:r w:rsidR="0016168B" w:rsidRPr="00AA6144">
        <w:rPr>
          <w:color w:val="auto"/>
          <w:lang w:val="en-CA"/>
        </w:rPr>
        <w:t>s</w:t>
      </w:r>
      <w:r w:rsidRPr="00AA6144">
        <w:rPr>
          <w:color w:val="auto"/>
          <w:lang w:val="en-CA"/>
        </w:rPr>
        <w:t xml:space="preserve"> General play a </w:t>
      </w:r>
      <w:r w:rsidR="0057558D" w:rsidRPr="00AA6144">
        <w:rPr>
          <w:color w:val="auto"/>
          <w:lang w:val="en-CA"/>
        </w:rPr>
        <w:t>central</w:t>
      </w:r>
      <w:r w:rsidRPr="00AA6144">
        <w:rPr>
          <w:color w:val="auto"/>
          <w:lang w:val="en-CA"/>
        </w:rPr>
        <w:t xml:space="preserve"> role in the Canadian justice system</w:t>
      </w:r>
      <w:r w:rsidR="00382F99" w:rsidRPr="00AA6144">
        <w:rPr>
          <w:color w:val="auto"/>
          <w:lang w:val="en-CA"/>
        </w:rPr>
        <w:t xml:space="preserve">, and their independence from political pressure </w:t>
      </w:r>
      <w:r w:rsidR="009775CC" w:rsidRPr="00AA6144">
        <w:rPr>
          <w:color w:val="auto"/>
          <w:lang w:val="en-CA"/>
        </w:rPr>
        <w:t>is paramount to the functioning of an adversarial criminal justice system</w:t>
      </w:r>
      <w:r w:rsidRPr="00AA6144">
        <w:rPr>
          <w:color w:val="auto"/>
          <w:lang w:val="en-CA"/>
        </w:rPr>
        <w:t xml:space="preserve">. </w:t>
      </w:r>
      <w:r w:rsidR="00354B84" w:rsidRPr="00AA6144">
        <w:rPr>
          <w:color w:val="auto"/>
          <w:lang w:val="en-CA"/>
        </w:rPr>
        <w:t xml:space="preserve">As the Supreme Court </w:t>
      </w:r>
      <w:r w:rsidR="0016168B" w:rsidRPr="00AA6144">
        <w:rPr>
          <w:color w:val="auto"/>
          <w:lang w:val="en-CA"/>
        </w:rPr>
        <w:t xml:space="preserve">of Canada </w:t>
      </w:r>
      <w:r w:rsidR="00354B84" w:rsidRPr="00AA6144">
        <w:rPr>
          <w:color w:val="auto"/>
          <w:lang w:val="en-CA"/>
        </w:rPr>
        <w:t xml:space="preserve">recognized in </w:t>
      </w:r>
      <w:r w:rsidR="00354B84" w:rsidRPr="00AA6144">
        <w:rPr>
          <w:i/>
          <w:color w:val="auto"/>
          <w:lang w:val="en-CA"/>
        </w:rPr>
        <w:t>Boucher v. The Queen</w:t>
      </w:r>
      <w:r w:rsidR="00354B84" w:rsidRPr="00AA6144">
        <w:rPr>
          <w:color w:val="auto"/>
          <w:lang w:val="en-CA"/>
        </w:rPr>
        <w:t xml:space="preserve">, </w:t>
      </w:r>
      <w:r w:rsidR="00303D3C" w:rsidRPr="00AA6144">
        <w:rPr>
          <w:color w:val="auto"/>
          <w:lang w:val="en-CA"/>
        </w:rPr>
        <w:t>“t</w:t>
      </w:r>
      <w:r w:rsidR="008351D6" w:rsidRPr="00AA6144">
        <w:rPr>
          <w:color w:val="auto"/>
          <w:lang w:val="en-CA"/>
        </w:rPr>
        <w:t>he role of prosecutor excludes any notion of winning or losing; his function is a matter of public duty</w:t>
      </w:r>
      <w:r w:rsidR="0016168B" w:rsidRPr="00AA6144">
        <w:rPr>
          <w:color w:val="auto"/>
          <w:lang w:val="en-CA"/>
        </w:rPr>
        <w:t>.</w:t>
      </w:r>
      <w:r w:rsidR="00303D3C" w:rsidRPr="00AA6144">
        <w:rPr>
          <w:color w:val="auto"/>
          <w:lang w:val="en-CA"/>
        </w:rPr>
        <w:t>”</w:t>
      </w:r>
      <w:r w:rsidR="008351D6" w:rsidRPr="00AA6144">
        <w:rPr>
          <w:color w:val="auto"/>
          <w:vertAlign w:val="superscript"/>
          <w:lang w:val="en-CA"/>
        </w:rPr>
        <w:footnoteReference w:id="445"/>
      </w:r>
      <w:r w:rsidR="008351D6" w:rsidRPr="00AA6144">
        <w:rPr>
          <w:color w:val="auto"/>
          <w:lang w:val="en-CA"/>
        </w:rPr>
        <w:t xml:space="preserve"> Hence, </w:t>
      </w:r>
      <w:r w:rsidR="00CB7C45" w:rsidRPr="00AA6144">
        <w:rPr>
          <w:color w:val="auto"/>
          <w:lang w:val="en-CA"/>
        </w:rPr>
        <w:t xml:space="preserve">a prosecutor is not to make decisions </w:t>
      </w:r>
      <w:r w:rsidR="000E56A8" w:rsidRPr="00AA6144">
        <w:rPr>
          <w:color w:val="auto"/>
          <w:lang w:val="en-CA"/>
        </w:rPr>
        <w:t>based on political interference</w:t>
      </w:r>
      <w:r w:rsidR="00CB7C45" w:rsidRPr="00AA6144">
        <w:rPr>
          <w:color w:val="auto"/>
          <w:lang w:val="en-CA"/>
        </w:rPr>
        <w:t xml:space="preserve">, but instead makes a decision to prosecute based on available information and evidence sufficient to secure a conviction. </w:t>
      </w:r>
      <w:r w:rsidR="0016168B" w:rsidRPr="00AA6144">
        <w:rPr>
          <w:color w:val="auto"/>
          <w:lang w:val="en-CA"/>
        </w:rPr>
        <w:t>I</w:t>
      </w:r>
      <w:r w:rsidR="00CB7C45" w:rsidRPr="00AA6144">
        <w:rPr>
          <w:color w:val="auto"/>
          <w:lang w:val="en-CA"/>
        </w:rPr>
        <w:t xml:space="preserve">n </w:t>
      </w:r>
      <w:r w:rsidR="00CB7C45" w:rsidRPr="00AA6144">
        <w:rPr>
          <w:i/>
          <w:color w:val="auto"/>
          <w:lang w:val="en-CA"/>
        </w:rPr>
        <w:t>Bain</w:t>
      </w:r>
      <w:r w:rsidR="00CB7C45" w:rsidRPr="00AA6144">
        <w:rPr>
          <w:color w:val="auto"/>
          <w:lang w:val="en-CA"/>
        </w:rPr>
        <w:t>,</w:t>
      </w:r>
      <w:r w:rsidR="0016168B" w:rsidRPr="00AA6144">
        <w:rPr>
          <w:color w:val="auto"/>
          <w:lang w:val="en-CA"/>
        </w:rPr>
        <w:t xml:space="preserve"> the Court nevertheless</w:t>
      </w:r>
      <w:r w:rsidR="00CB7C45" w:rsidRPr="00AA6144">
        <w:rPr>
          <w:color w:val="auto"/>
          <w:lang w:val="en-CA"/>
        </w:rPr>
        <w:t xml:space="preserve"> recognized that </w:t>
      </w:r>
      <w:r w:rsidR="0016168B" w:rsidRPr="00AA6144">
        <w:rPr>
          <w:color w:val="auto"/>
          <w:lang w:val="en-CA"/>
        </w:rPr>
        <w:t xml:space="preserve">prosecutors </w:t>
      </w:r>
      <w:r w:rsidR="00CB5CF0" w:rsidRPr="00AA6144">
        <w:rPr>
          <w:color w:val="auto"/>
          <w:lang w:val="en-CA"/>
        </w:rPr>
        <w:t>“are subject to all the emotional and psychological pressures that are exerted by individuals and the community […] for example they may be moved by sympathy for a helpless victim, or by contempt for the cruel and perverted acts of an accused […].”</w:t>
      </w:r>
      <w:r w:rsidR="00CB5CF0" w:rsidRPr="00AA6144">
        <w:rPr>
          <w:rStyle w:val="FootnoteReference"/>
          <w:color w:val="auto"/>
          <w:lang w:val="en-CA"/>
        </w:rPr>
        <w:footnoteReference w:id="446"/>
      </w:r>
    </w:p>
    <w:p w14:paraId="4FBA9DA1" w14:textId="77777777" w:rsidR="00E0472D" w:rsidRPr="00AA6144" w:rsidRDefault="000E56A8" w:rsidP="00BC45B3">
      <w:pPr>
        <w:pStyle w:val="AIBodyText"/>
        <w:rPr>
          <w:color w:val="auto"/>
          <w:lang w:val="en-CA"/>
        </w:rPr>
      </w:pPr>
      <w:r w:rsidRPr="00AA6144">
        <w:rPr>
          <w:color w:val="auto"/>
          <w:lang w:val="en-CA"/>
        </w:rPr>
        <w:t xml:space="preserve">The existence of the Public Prosecution Service of Canada (PPSC) and the Director of Public Prosecutions (DPP) helps to maintain independence between prosecutorial discretion and politics. The </w:t>
      </w:r>
      <w:r w:rsidR="008351D6" w:rsidRPr="00AA6144">
        <w:rPr>
          <w:color w:val="auto"/>
          <w:lang w:val="en-CA"/>
        </w:rPr>
        <w:t xml:space="preserve">DPP acts under and on behalf of the Attorney General of Canada, </w:t>
      </w:r>
      <w:r w:rsidR="00BC45B3" w:rsidRPr="00AA6144">
        <w:rPr>
          <w:color w:val="auto"/>
          <w:lang w:val="en-CA"/>
        </w:rPr>
        <w:t>“</w:t>
      </w:r>
      <w:r w:rsidR="008351D6" w:rsidRPr="00AA6144">
        <w:rPr>
          <w:color w:val="auto"/>
          <w:lang w:val="en-CA"/>
        </w:rPr>
        <w:t>but he or she is independent of the latter since the creation of this function was specifically designed to create a prosecution service independent from the Ministry of Justice.</w:t>
      </w:r>
      <w:r w:rsidR="00003BD1" w:rsidRPr="00AA6144">
        <w:rPr>
          <w:color w:val="auto"/>
          <w:lang w:val="en-CA"/>
        </w:rPr>
        <w:t>”</w:t>
      </w:r>
      <w:r w:rsidR="008351D6" w:rsidRPr="00AA6144">
        <w:rPr>
          <w:color w:val="auto"/>
          <w:vertAlign w:val="superscript"/>
          <w:lang w:val="en-CA"/>
        </w:rPr>
        <w:footnoteReference w:id="447"/>
      </w:r>
    </w:p>
    <w:p w14:paraId="453E001B" w14:textId="77777777" w:rsidR="001E2002" w:rsidRPr="00AA6144" w:rsidRDefault="00E0472D" w:rsidP="00E0472D">
      <w:pPr>
        <w:pStyle w:val="AIBodyText"/>
        <w:rPr>
          <w:color w:val="auto"/>
          <w:lang w:val="en-CA"/>
        </w:rPr>
      </w:pPr>
      <w:r w:rsidRPr="00AA6144">
        <w:rPr>
          <w:color w:val="auto"/>
          <w:lang w:val="en-CA"/>
        </w:rPr>
        <w:t>P</w:t>
      </w:r>
      <w:r w:rsidR="001E2002" w:rsidRPr="00AA6144">
        <w:rPr>
          <w:color w:val="auto"/>
          <w:lang w:val="en-CA"/>
        </w:rPr>
        <w:t xml:space="preserve">olitical interference in the process of justice </w:t>
      </w:r>
      <w:r w:rsidRPr="00AA6144">
        <w:rPr>
          <w:color w:val="auto"/>
          <w:lang w:val="en-CA"/>
        </w:rPr>
        <w:t>is contrary to international standards</w:t>
      </w:r>
      <w:r w:rsidR="001E2002" w:rsidRPr="00AA6144">
        <w:rPr>
          <w:color w:val="auto"/>
          <w:lang w:val="en-CA"/>
        </w:rPr>
        <w:t>.</w:t>
      </w:r>
      <w:r w:rsidR="001E2002" w:rsidRPr="00AA6144">
        <w:rPr>
          <w:rStyle w:val="FootnoteReference"/>
          <w:color w:val="auto"/>
          <w:lang w:val="en-CA"/>
        </w:rPr>
        <w:footnoteReference w:id="448"/>
      </w:r>
      <w:r w:rsidR="001E2002" w:rsidRPr="00AA6144">
        <w:rPr>
          <w:color w:val="auto"/>
          <w:lang w:val="en-CA"/>
        </w:rPr>
        <w:t xml:space="preserve"> </w:t>
      </w:r>
      <w:r w:rsidR="008B255A" w:rsidRPr="00AA6144">
        <w:rPr>
          <w:color w:val="auto"/>
          <w:lang w:val="en-CA"/>
        </w:rPr>
        <w:t xml:space="preserve">There exists at least one example </w:t>
      </w:r>
      <w:r w:rsidR="00A66BA7" w:rsidRPr="00AA6144">
        <w:rPr>
          <w:color w:val="auto"/>
          <w:lang w:val="en-CA"/>
        </w:rPr>
        <w:t>of</w:t>
      </w:r>
      <w:r w:rsidR="008B255A" w:rsidRPr="00AA6144">
        <w:rPr>
          <w:color w:val="auto"/>
          <w:lang w:val="en-CA"/>
        </w:rPr>
        <w:t xml:space="preserve"> political influence </w:t>
      </w:r>
      <w:r w:rsidR="00A66BA7" w:rsidRPr="00AA6144">
        <w:rPr>
          <w:color w:val="auto"/>
          <w:lang w:val="en-CA"/>
        </w:rPr>
        <w:t xml:space="preserve">overriding justice in Canada. The Canadian Centre for International Justice (CCIJ) and the US-based Center for Constitutional Rights sent a letter and draft indictment to the Attorney General of Canada calling for the investigation and prosecution of </w:t>
      </w:r>
      <w:r w:rsidR="0016168B" w:rsidRPr="00AA6144">
        <w:rPr>
          <w:color w:val="auto"/>
          <w:lang w:val="en-CA"/>
        </w:rPr>
        <w:t xml:space="preserve">former U.S. President </w:t>
      </w:r>
      <w:r w:rsidR="00A66BA7" w:rsidRPr="00AA6144">
        <w:rPr>
          <w:color w:val="auto"/>
          <w:lang w:val="en-CA"/>
        </w:rPr>
        <w:t>George W</w:t>
      </w:r>
      <w:r w:rsidR="00077743" w:rsidRPr="00AA6144">
        <w:rPr>
          <w:color w:val="auto"/>
          <w:lang w:val="en-CA"/>
        </w:rPr>
        <w:t>.</w:t>
      </w:r>
      <w:r w:rsidR="00A66BA7" w:rsidRPr="00AA6144">
        <w:rPr>
          <w:color w:val="auto"/>
          <w:lang w:val="en-CA"/>
        </w:rPr>
        <w:t xml:space="preserve"> Bush</w:t>
      </w:r>
      <w:r w:rsidR="0016168B" w:rsidRPr="00AA6144">
        <w:rPr>
          <w:color w:val="auto"/>
          <w:lang w:val="en-CA"/>
        </w:rPr>
        <w:t>. The alleged offence was the</w:t>
      </w:r>
      <w:r w:rsidR="00A66BA7" w:rsidRPr="00AA6144">
        <w:rPr>
          <w:color w:val="auto"/>
          <w:lang w:val="en-CA"/>
        </w:rPr>
        <w:t xml:space="preserve"> </w:t>
      </w:r>
      <w:r w:rsidR="0016168B" w:rsidRPr="00AA6144">
        <w:rPr>
          <w:color w:val="auto"/>
          <w:lang w:val="en-CA"/>
        </w:rPr>
        <w:t>torture o</w:t>
      </w:r>
      <w:r w:rsidR="00A66BA7" w:rsidRPr="00AA6144">
        <w:rPr>
          <w:color w:val="auto"/>
          <w:lang w:val="en-CA"/>
        </w:rPr>
        <w:t xml:space="preserve">f detainees at </w:t>
      </w:r>
      <w:r w:rsidR="0016168B" w:rsidRPr="00AA6144">
        <w:rPr>
          <w:color w:val="auto"/>
          <w:lang w:val="en-CA"/>
        </w:rPr>
        <w:t xml:space="preserve">the U.S. prison in </w:t>
      </w:r>
      <w:r w:rsidR="00A66BA7" w:rsidRPr="00AA6144">
        <w:rPr>
          <w:color w:val="auto"/>
          <w:lang w:val="en-CA"/>
        </w:rPr>
        <w:t>Guantanamo</w:t>
      </w:r>
      <w:r w:rsidR="0016168B" w:rsidRPr="00AA6144">
        <w:rPr>
          <w:color w:val="auto"/>
          <w:lang w:val="en-CA"/>
        </w:rPr>
        <w:t xml:space="preserve"> Bay, an act that Mr. Bush admitted to having authorized in his memoirs</w:t>
      </w:r>
      <w:r w:rsidR="00A66BA7" w:rsidRPr="00AA6144">
        <w:rPr>
          <w:color w:val="auto"/>
          <w:lang w:val="en-CA"/>
        </w:rPr>
        <w:t xml:space="preserve">. </w:t>
      </w:r>
      <w:proofErr w:type="gramStart"/>
      <w:r w:rsidR="0016168B" w:rsidRPr="00AA6144">
        <w:rPr>
          <w:color w:val="auto"/>
          <w:lang w:val="en-CA"/>
        </w:rPr>
        <w:t>Despite the fact that</w:t>
      </w:r>
      <w:proofErr w:type="gramEnd"/>
      <w:r w:rsidR="0016168B" w:rsidRPr="00AA6144">
        <w:rPr>
          <w:color w:val="auto"/>
          <w:lang w:val="en-CA"/>
        </w:rPr>
        <w:t xml:space="preserve"> the CCIJ was able to initiate a private prosecution, t</w:t>
      </w:r>
      <w:r w:rsidR="00953626" w:rsidRPr="00AA6144">
        <w:rPr>
          <w:color w:val="auto"/>
          <w:lang w:val="en-CA"/>
        </w:rPr>
        <w:t xml:space="preserve">he Attorney General of British Columbia intervened and stayed the proceedings. </w:t>
      </w:r>
      <w:r w:rsidR="0016168B" w:rsidRPr="00AA6144">
        <w:rPr>
          <w:color w:val="auto"/>
          <w:lang w:val="en-CA"/>
        </w:rPr>
        <w:t xml:space="preserve">In response to a complaint before the </w:t>
      </w:r>
      <w:r w:rsidR="00953626" w:rsidRPr="00AA6144">
        <w:rPr>
          <w:color w:val="auto"/>
          <w:lang w:val="en-CA"/>
        </w:rPr>
        <w:t>UN Committee against Torture</w:t>
      </w:r>
      <w:r w:rsidR="0016168B" w:rsidRPr="00AA6144">
        <w:rPr>
          <w:color w:val="auto"/>
          <w:lang w:val="en-CA"/>
        </w:rPr>
        <w:t xml:space="preserve">, </w:t>
      </w:r>
      <w:r w:rsidR="00DB0263" w:rsidRPr="00AA6144">
        <w:rPr>
          <w:color w:val="auto"/>
          <w:lang w:val="en-CA"/>
        </w:rPr>
        <w:t>Canada admitted to never having investigated the claims against Mr. Bush</w:t>
      </w:r>
      <w:r w:rsidR="000F255C" w:rsidRPr="00AA6144">
        <w:rPr>
          <w:color w:val="auto"/>
          <w:lang w:val="en-CA"/>
        </w:rPr>
        <w:t>.</w:t>
      </w:r>
      <w:r w:rsidR="0086535A" w:rsidRPr="00AA6144">
        <w:rPr>
          <w:rStyle w:val="FootnoteReference"/>
          <w:color w:val="auto"/>
          <w:lang w:val="en-CA"/>
        </w:rPr>
        <w:footnoteReference w:id="449"/>
      </w:r>
      <w:r w:rsidR="000F255C" w:rsidRPr="00AA6144">
        <w:rPr>
          <w:color w:val="auto"/>
          <w:lang w:val="en-CA"/>
        </w:rPr>
        <w:t xml:space="preserve"> </w:t>
      </w:r>
    </w:p>
    <w:p w14:paraId="7696E4BF" w14:textId="77777777" w:rsidR="001E2002" w:rsidRPr="00AA6144" w:rsidRDefault="001E2002" w:rsidP="001E2002">
      <w:pPr>
        <w:pStyle w:val="Heading2"/>
        <w:rPr>
          <w:color w:val="auto"/>
          <w:lang w:val="en-CA"/>
        </w:rPr>
      </w:pPr>
      <w:bookmarkStart w:id="162" w:name="_Toc43382758"/>
      <w:r w:rsidRPr="00AA6144">
        <w:rPr>
          <w:color w:val="auto"/>
          <w:lang w:val="en-CA"/>
        </w:rPr>
        <w:t xml:space="preserve">6.9. </w:t>
      </w:r>
      <w:r w:rsidR="008421C3" w:rsidRPr="00AA6144">
        <w:rPr>
          <w:color w:val="auto"/>
          <w:lang w:val="en-CA"/>
        </w:rPr>
        <w:t>Discrimination in law and practice</w:t>
      </w:r>
      <w:bookmarkEnd w:id="162"/>
    </w:p>
    <w:p w14:paraId="15D26488" w14:textId="77777777" w:rsidR="00DF338C" w:rsidRPr="00AA6144" w:rsidRDefault="00DF338C" w:rsidP="00DF338C">
      <w:pPr>
        <w:spacing w:after="0"/>
        <w:rPr>
          <w:lang w:val="en-CA"/>
        </w:rPr>
      </w:pPr>
    </w:p>
    <w:p w14:paraId="436773AC" w14:textId="77777777" w:rsidR="00E56506" w:rsidRPr="00AA6144" w:rsidRDefault="00E56506" w:rsidP="00E56506">
      <w:pPr>
        <w:pStyle w:val="AIBodyText"/>
        <w:rPr>
          <w:color w:val="auto"/>
          <w:lang w:val="en-CA"/>
        </w:rPr>
      </w:pPr>
      <w:r w:rsidRPr="00AA6144">
        <w:rPr>
          <w:color w:val="auto"/>
          <w:lang w:val="en-CA"/>
        </w:rPr>
        <w:t xml:space="preserve">Laws and practices that discriminate on the grounds of gender, race, religion national, </w:t>
      </w:r>
      <w:proofErr w:type="gramStart"/>
      <w:r w:rsidRPr="00AA6144">
        <w:rPr>
          <w:color w:val="auto"/>
          <w:lang w:val="en-CA"/>
        </w:rPr>
        <w:t>ethnic</w:t>
      </w:r>
      <w:proofErr w:type="gramEnd"/>
      <w:r w:rsidRPr="00AA6144">
        <w:rPr>
          <w:color w:val="auto"/>
          <w:lang w:val="en-CA"/>
        </w:rPr>
        <w:t xml:space="preserve"> or social origin, </w:t>
      </w:r>
      <w:r w:rsidR="0086535A" w:rsidRPr="00AA6144">
        <w:rPr>
          <w:color w:val="auto"/>
          <w:lang w:val="en-CA"/>
        </w:rPr>
        <w:t xml:space="preserve">or </w:t>
      </w:r>
      <w:r w:rsidRPr="00AA6144">
        <w:rPr>
          <w:color w:val="auto"/>
          <w:lang w:val="en-CA"/>
        </w:rPr>
        <w:t>other status</w:t>
      </w:r>
      <w:r w:rsidR="002F7869" w:rsidRPr="00AA6144">
        <w:rPr>
          <w:color w:val="auto"/>
          <w:lang w:val="en-CA"/>
        </w:rPr>
        <w:t>,</w:t>
      </w:r>
      <w:r w:rsidRPr="00AA6144">
        <w:rPr>
          <w:color w:val="auto"/>
          <w:lang w:val="en-CA"/>
        </w:rPr>
        <w:t xml:space="preserve"> can be an obstacle to prosecutions and to access to justice in general.</w:t>
      </w:r>
      <w:r w:rsidR="00DB0263" w:rsidRPr="00AA6144">
        <w:rPr>
          <w:rStyle w:val="FootnoteReference"/>
          <w:color w:val="auto"/>
          <w:lang w:val="en-CA"/>
        </w:rPr>
        <w:footnoteReference w:id="450"/>
      </w:r>
      <w:r w:rsidRPr="00AA6144">
        <w:rPr>
          <w:color w:val="auto"/>
          <w:lang w:val="en-CA"/>
        </w:rPr>
        <w:t xml:space="preserve"> </w:t>
      </w:r>
    </w:p>
    <w:p w14:paraId="72CD6526" w14:textId="77777777" w:rsidR="00BC57A3" w:rsidRPr="00AA6144" w:rsidRDefault="00E56506" w:rsidP="00E56506">
      <w:pPr>
        <w:pStyle w:val="AIBodyText"/>
        <w:rPr>
          <w:color w:val="auto"/>
          <w:lang w:val="en-CA"/>
        </w:rPr>
      </w:pPr>
      <w:r w:rsidRPr="00AA6144">
        <w:rPr>
          <w:color w:val="auto"/>
          <w:lang w:val="en-CA"/>
        </w:rPr>
        <w:t xml:space="preserve">Discrimination on the grounds of </w:t>
      </w:r>
      <w:r w:rsidR="002F7869" w:rsidRPr="00AA6144">
        <w:rPr>
          <w:color w:val="auto"/>
          <w:lang w:val="en-CA"/>
        </w:rPr>
        <w:t xml:space="preserve">race, national or ethnic origin, colour, religion, sex, age, </w:t>
      </w:r>
      <w:r w:rsidR="0007358F" w:rsidRPr="00AA6144">
        <w:rPr>
          <w:color w:val="auto"/>
          <w:lang w:val="en-CA"/>
        </w:rPr>
        <w:t xml:space="preserve">sexual orientation, marital status, Aboriginal residence, citizenship, </w:t>
      </w:r>
      <w:r w:rsidR="002F7869" w:rsidRPr="00AA6144">
        <w:rPr>
          <w:color w:val="auto"/>
          <w:lang w:val="en-CA"/>
        </w:rPr>
        <w:t>or mental or physical disability is</w:t>
      </w:r>
      <w:r w:rsidRPr="00AA6144">
        <w:rPr>
          <w:color w:val="auto"/>
          <w:lang w:val="en-CA"/>
        </w:rPr>
        <w:t xml:space="preserve"> prohibited by </w:t>
      </w:r>
      <w:r w:rsidR="00896A8B" w:rsidRPr="00AA6144">
        <w:rPr>
          <w:color w:val="auto"/>
          <w:lang w:val="en-CA"/>
        </w:rPr>
        <w:t xml:space="preserve">federal and provincial </w:t>
      </w:r>
      <w:r w:rsidRPr="00AA6144">
        <w:rPr>
          <w:color w:val="auto"/>
          <w:lang w:val="en-CA"/>
        </w:rPr>
        <w:t>law</w:t>
      </w:r>
      <w:r w:rsidR="003E4097" w:rsidRPr="00AA6144">
        <w:rPr>
          <w:color w:val="auto"/>
          <w:lang w:val="en-CA"/>
        </w:rPr>
        <w:t>s</w:t>
      </w:r>
      <w:r w:rsidRPr="00AA6144">
        <w:rPr>
          <w:color w:val="auto"/>
          <w:lang w:val="en-CA"/>
        </w:rPr>
        <w:t xml:space="preserve">, </w:t>
      </w:r>
      <w:r w:rsidR="00896A8B" w:rsidRPr="00AA6144">
        <w:rPr>
          <w:color w:val="auto"/>
          <w:lang w:val="en-CA"/>
        </w:rPr>
        <w:t xml:space="preserve">and equal treatment before and under the law without discrimination is protected </w:t>
      </w:r>
      <w:r w:rsidRPr="00AA6144">
        <w:rPr>
          <w:color w:val="auto"/>
          <w:lang w:val="en-CA"/>
        </w:rPr>
        <w:t xml:space="preserve">under the </w:t>
      </w:r>
      <w:r w:rsidR="00896A8B" w:rsidRPr="00AA6144">
        <w:rPr>
          <w:i/>
          <w:color w:val="auto"/>
          <w:lang w:val="en-CA"/>
        </w:rPr>
        <w:t>Canadian Charter of Rights and Freedoms</w:t>
      </w:r>
      <w:r w:rsidR="003E4097" w:rsidRPr="00AA6144">
        <w:rPr>
          <w:color w:val="auto"/>
          <w:lang w:val="en-CA"/>
        </w:rPr>
        <w:t>.</w:t>
      </w:r>
      <w:r w:rsidR="00896A8B" w:rsidRPr="00AA6144">
        <w:rPr>
          <w:color w:val="auto"/>
          <w:lang w:val="en-CA"/>
        </w:rPr>
        <w:t xml:space="preserve"> </w:t>
      </w:r>
      <w:r w:rsidRPr="00AA6144">
        <w:rPr>
          <w:color w:val="auto"/>
          <w:lang w:val="en-CA"/>
        </w:rPr>
        <w:t xml:space="preserve">The prohibition applies as a matter of law, to access to the judicial system.  In practice, discrimination, for example on the grounds of gender, </w:t>
      </w:r>
      <w:r w:rsidR="00E123D7" w:rsidRPr="00AA6144">
        <w:rPr>
          <w:color w:val="auto"/>
          <w:lang w:val="en-CA"/>
        </w:rPr>
        <w:t>may</w:t>
      </w:r>
      <w:r w:rsidRPr="00AA6144">
        <w:rPr>
          <w:color w:val="auto"/>
          <w:lang w:val="en-CA"/>
        </w:rPr>
        <w:t xml:space="preserve"> limit access to justice</w:t>
      </w:r>
      <w:r w:rsidR="003E4097" w:rsidRPr="00AA6144">
        <w:rPr>
          <w:color w:val="auto"/>
          <w:lang w:val="en-CA"/>
        </w:rPr>
        <w:t xml:space="preserve">, </w:t>
      </w:r>
      <w:r w:rsidR="00E123D7" w:rsidRPr="00AA6144">
        <w:rPr>
          <w:color w:val="auto"/>
          <w:lang w:val="en-CA"/>
        </w:rPr>
        <w:t>and</w:t>
      </w:r>
      <w:r w:rsidR="003E4097" w:rsidRPr="00AA6144">
        <w:rPr>
          <w:color w:val="auto"/>
          <w:lang w:val="en-CA"/>
        </w:rPr>
        <w:t xml:space="preserve"> particularly vulnerable groups </w:t>
      </w:r>
      <w:r w:rsidR="00E123D7" w:rsidRPr="00AA6144">
        <w:rPr>
          <w:color w:val="auto"/>
          <w:lang w:val="en-CA"/>
        </w:rPr>
        <w:t xml:space="preserve">like Aboriginal Canadians or </w:t>
      </w:r>
      <w:proofErr w:type="gramStart"/>
      <w:r w:rsidR="00E123D7" w:rsidRPr="00AA6144">
        <w:rPr>
          <w:color w:val="auto"/>
          <w:lang w:val="en-CA"/>
        </w:rPr>
        <w:t>economically disadvantaged</w:t>
      </w:r>
      <w:proofErr w:type="gramEnd"/>
      <w:r w:rsidR="00E123D7" w:rsidRPr="00AA6144">
        <w:rPr>
          <w:color w:val="auto"/>
          <w:lang w:val="en-CA"/>
        </w:rPr>
        <w:t xml:space="preserve"> </w:t>
      </w:r>
      <w:r w:rsidR="00247E8B" w:rsidRPr="00AA6144">
        <w:rPr>
          <w:color w:val="auto"/>
          <w:lang w:val="en-CA"/>
        </w:rPr>
        <w:t>Canadians may have difficulty accessing the justice system.</w:t>
      </w:r>
      <w:r w:rsidR="00E941B4" w:rsidRPr="00AA6144">
        <w:rPr>
          <w:rStyle w:val="FootnoteReference"/>
          <w:color w:val="auto"/>
          <w:lang w:val="en-CA"/>
        </w:rPr>
        <w:footnoteReference w:id="451"/>
      </w:r>
      <w:r w:rsidR="00E123D7" w:rsidRPr="00AA6144">
        <w:rPr>
          <w:color w:val="auto"/>
          <w:lang w:val="en-CA"/>
        </w:rPr>
        <w:t xml:space="preserve"> </w:t>
      </w:r>
      <w:r w:rsidR="003E4097" w:rsidRPr="00AA6144">
        <w:rPr>
          <w:color w:val="auto"/>
          <w:lang w:val="en-CA"/>
        </w:rPr>
        <w:t xml:space="preserve"> </w:t>
      </w:r>
      <w:r w:rsidRPr="00AA6144">
        <w:rPr>
          <w:color w:val="auto"/>
          <w:lang w:val="en-CA"/>
        </w:rPr>
        <w:t xml:space="preserve"> </w:t>
      </w:r>
    </w:p>
    <w:p w14:paraId="4CAE5093" w14:textId="77777777" w:rsidR="00BC57A3" w:rsidRPr="00AA6144" w:rsidRDefault="00BC57A3" w:rsidP="00BC57A3">
      <w:pPr>
        <w:pStyle w:val="AIBodyText"/>
        <w:rPr>
          <w:color w:val="auto"/>
          <w:lang w:val="en-CA"/>
        </w:rPr>
      </w:pPr>
      <w:r w:rsidRPr="00AA6144">
        <w:rPr>
          <w:color w:val="auto"/>
          <w:lang w:val="en-CA"/>
        </w:rPr>
        <w:t xml:space="preserve">The </w:t>
      </w:r>
      <w:r w:rsidRPr="00AA6144">
        <w:rPr>
          <w:i/>
          <w:color w:val="auto"/>
          <w:lang w:val="en-CA"/>
        </w:rPr>
        <w:t>Canadian Charter of Rights and Freedoms</w:t>
      </w:r>
      <w:r w:rsidRPr="00AA6144">
        <w:rPr>
          <w:color w:val="auto"/>
          <w:lang w:val="en-CA"/>
        </w:rPr>
        <w:t xml:space="preserve"> guarantees fundamental human rights and freedoms under the </w:t>
      </w:r>
      <w:r w:rsidRPr="00AA6144">
        <w:rPr>
          <w:i/>
          <w:color w:val="auto"/>
          <w:lang w:val="en-CA"/>
        </w:rPr>
        <w:t>Constitution</w:t>
      </w:r>
      <w:r w:rsidRPr="00AA6144">
        <w:rPr>
          <w:color w:val="auto"/>
          <w:lang w:val="en-CA"/>
        </w:rPr>
        <w:t>.</w:t>
      </w:r>
      <w:r w:rsidR="00271169" w:rsidRPr="00AA6144">
        <w:rPr>
          <w:rStyle w:val="FootnoteReference"/>
          <w:color w:val="auto"/>
          <w:lang w:val="en-CA"/>
        </w:rPr>
        <w:footnoteReference w:id="452"/>
      </w:r>
      <w:r w:rsidRPr="00AA6144">
        <w:rPr>
          <w:color w:val="auto"/>
          <w:lang w:val="en-CA"/>
        </w:rPr>
        <w:t xml:space="preserve"> Section 2 guarantees basic freedoms such as freedom of religion, thought, belief, opinion, expression, peaceful </w:t>
      </w:r>
      <w:proofErr w:type="gramStart"/>
      <w:r w:rsidRPr="00AA6144">
        <w:rPr>
          <w:color w:val="auto"/>
          <w:lang w:val="en-CA"/>
        </w:rPr>
        <w:t>assembly</w:t>
      </w:r>
      <w:proofErr w:type="gramEnd"/>
      <w:r w:rsidRPr="00AA6144">
        <w:rPr>
          <w:color w:val="auto"/>
          <w:lang w:val="en-CA"/>
        </w:rPr>
        <w:t xml:space="preserve"> and association. Sections 3 to 5 outline democratic freedoms such as the right to vote. Section 6 guarantees mobility rights such as freedom to enter, remain or leave Canada. Sections 7 to 14 guarantee legal rights including the right to life, liberty and security of the person and the right not to be deprived thereof except in accordance with the principles of fundamental justice. Most importantly, section 15 guarantees equality rights before and under the law and equal protection and benefit of the law. Subsection 15(1) notes that “every individual is equal before and under the law and has the right to equal protection and equal benefit of the law, without discrimination and, in particular, without discrimination based on race, national or ethnic origin, colour, religion, sex, age or mental or physical disability.”</w:t>
      </w:r>
      <w:r w:rsidR="000E0E3F" w:rsidRPr="00AA6144">
        <w:rPr>
          <w:rStyle w:val="FootnoteReference"/>
          <w:color w:val="auto"/>
          <w:lang w:val="en-CA"/>
        </w:rPr>
        <w:footnoteReference w:id="453"/>
      </w:r>
      <w:r w:rsidRPr="00AA6144">
        <w:rPr>
          <w:color w:val="auto"/>
          <w:lang w:val="en-CA"/>
        </w:rPr>
        <w:t xml:space="preserve"> The Supreme Court of Canada has since created a host of analogous grounds for non-discrimination it deems applicable to equality provisions of the </w:t>
      </w:r>
      <w:r w:rsidRPr="00AA6144">
        <w:rPr>
          <w:i/>
          <w:color w:val="auto"/>
          <w:lang w:val="en-CA"/>
        </w:rPr>
        <w:t xml:space="preserve">Charter </w:t>
      </w:r>
      <w:r w:rsidRPr="00AA6144">
        <w:rPr>
          <w:color w:val="auto"/>
          <w:lang w:val="en-CA"/>
        </w:rPr>
        <w:t>including sexual orientation,</w:t>
      </w:r>
      <w:r w:rsidRPr="00AA6144">
        <w:rPr>
          <w:rStyle w:val="FootnoteReference"/>
          <w:color w:val="auto"/>
          <w:lang w:val="en-CA"/>
        </w:rPr>
        <w:footnoteReference w:id="454"/>
      </w:r>
      <w:r w:rsidRPr="00AA6144">
        <w:rPr>
          <w:color w:val="auto"/>
          <w:lang w:val="en-CA"/>
        </w:rPr>
        <w:t xml:space="preserve"> marital status,</w:t>
      </w:r>
      <w:r w:rsidRPr="00AA6144">
        <w:rPr>
          <w:rStyle w:val="FootnoteReference"/>
          <w:color w:val="auto"/>
          <w:lang w:val="en-CA"/>
        </w:rPr>
        <w:footnoteReference w:id="455"/>
      </w:r>
      <w:r w:rsidRPr="00AA6144">
        <w:rPr>
          <w:color w:val="auto"/>
          <w:lang w:val="en-CA"/>
        </w:rPr>
        <w:t xml:space="preserve"> Aboriginal residence,</w:t>
      </w:r>
      <w:r w:rsidRPr="00AA6144">
        <w:rPr>
          <w:rStyle w:val="FootnoteReference"/>
          <w:color w:val="auto"/>
          <w:lang w:val="en-CA"/>
        </w:rPr>
        <w:footnoteReference w:id="456"/>
      </w:r>
      <w:r w:rsidRPr="00AA6144">
        <w:rPr>
          <w:color w:val="auto"/>
          <w:lang w:val="en-CA"/>
        </w:rPr>
        <w:t xml:space="preserve"> and citizenship.</w:t>
      </w:r>
      <w:r w:rsidRPr="00AA6144">
        <w:rPr>
          <w:rStyle w:val="FootnoteReference"/>
          <w:color w:val="auto"/>
          <w:lang w:val="en-CA"/>
        </w:rPr>
        <w:footnoteReference w:id="457"/>
      </w:r>
    </w:p>
    <w:p w14:paraId="5655F549" w14:textId="77777777" w:rsidR="00BC57A3" w:rsidRPr="00AA6144" w:rsidRDefault="00BC57A3" w:rsidP="00BC57A3">
      <w:pPr>
        <w:pStyle w:val="AIBodyText"/>
        <w:rPr>
          <w:color w:val="auto"/>
          <w:lang w:val="en-CA"/>
        </w:rPr>
      </w:pPr>
      <w:r w:rsidRPr="00AA6144">
        <w:rPr>
          <w:color w:val="auto"/>
          <w:lang w:val="en-CA"/>
        </w:rPr>
        <w:t xml:space="preserve">In addition to the </w:t>
      </w:r>
      <w:r w:rsidRPr="00AA6144">
        <w:rPr>
          <w:i/>
          <w:color w:val="auto"/>
          <w:lang w:val="en-CA"/>
        </w:rPr>
        <w:t>Charter</w:t>
      </w:r>
      <w:r w:rsidRPr="00AA6144">
        <w:rPr>
          <w:color w:val="auto"/>
          <w:lang w:val="en-CA"/>
        </w:rPr>
        <w:t xml:space="preserve">, the </w:t>
      </w:r>
      <w:r w:rsidRPr="00AA6144">
        <w:rPr>
          <w:i/>
          <w:color w:val="auto"/>
          <w:lang w:val="en-CA"/>
        </w:rPr>
        <w:t>Canadian Human Rights Act</w:t>
      </w:r>
      <w:r w:rsidR="00C3453D" w:rsidRPr="00AA6144">
        <w:rPr>
          <w:rStyle w:val="FootnoteReference"/>
          <w:i/>
          <w:color w:val="auto"/>
          <w:lang w:val="en-CA"/>
        </w:rPr>
        <w:footnoteReference w:id="458"/>
      </w:r>
      <w:r w:rsidRPr="00AA6144">
        <w:rPr>
          <w:i/>
          <w:color w:val="auto"/>
          <w:lang w:val="en-CA"/>
        </w:rPr>
        <w:t xml:space="preserve"> </w:t>
      </w:r>
      <w:r w:rsidRPr="00AA6144">
        <w:rPr>
          <w:color w:val="auto"/>
          <w:lang w:val="en-CA"/>
        </w:rPr>
        <w:t>as well as provincial human rights legislation guarantee equality protection and non-discrimination of Canadians.</w:t>
      </w:r>
      <w:r w:rsidR="0011303E" w:rsidRPr="00AA6144">
        <w:rPr>
          <w:rStyle w:val="FootnoteReference"/>
          <w:color w:val="auto"/>
          <w:lang w:val="en-CA"/>
        </w:rPr>
        <w:footnoteReference w:id="459"/>
      </w:r>
    </w:p>
    <w:p w14:paraId="3AAFE236" w14:textId="77777777" w:rsidR="000F4DB1" w:rsidRPr="00AA6144" w:rsidRDefault="000F4DB1" w:rsidP="000F4DB1">
      <w:pPr>
        <w:pStyle w:val="Heading2"/>
        <w:rPr>
          <w:color w:val="auto"/>
          <w:lang w:val="en-CA"/>
        </w:rPr>
      </w:pPr>
      <w:bookmarkStart w:id="163" w:name="_Toc43382759"/>
      <w:r w:rsidRPr="00AA6144">
        <w:rPr>
          <w:color w:val="auto"/>
          <w:lang w:val="en-CA"/>
        </w:rPr>
        <w:t>6.10. Restrictions on the rights of victims and their families</w:t>
      </w:r>
      <w:bookmarkEnd w:id="163"/>
    </w:p>
    <w:p w14:paraId="088612A7" w14:textId="77777777" w:rsidR="00DF338C" w:rsidRPr="00AA6144" w:rsidRDefault="00DF338C" w:rsidP="00DF338C">
      <w:pPr>
        <w:spacing w:after="0"/>
        <w:rPr>
          <w:lang w:val="en-CA"/>
        </w:rPr>
      </w:pPr>
    </w:p>
    <w:p w14:paraId="1A864CC3" w14:textId="77777777" w:rsidR="00A40EE7" w:rsidRPr="00AA6144" w:rsidRDefault="00A40EE7" w:rsidP="00A40EE7">
      <w:pPr>
        <w:pStyle w:val="AIBodyText"/>
        <w:rPr>
          <w:color w:val="auto"/>
          <w:lang w:val="en-CA"/>
        </w:rPr>
      </w:pPr>
      <w:r w:rsidRPr="00AA6144">
        <w:rPr>
          <w:color w:val="auto"/>
          <w:lang w:val="en-CA"/>
        </w:rPr>
        <w:t>As noted above in Section 5.3, victims are not able to obtain the full range of reparations against convicted persons to which they are entitled under international law</w:t>
      </w:r>
      <w:r w:rsidR="00231A67" w:rsidRPr="00AA6144">
        <w:rPr>
          <w:color w:val="auto"/>
          <w:lang w:val="en-CA"/>
        </w:rPr>
        <w:t>. Depending on</w:t>
      </w:r>
      <w:r w:rsidR="007566DD" w:rsidRPr="00AA6144">
        <w:rPr>
          <w:color w:val="auto"/>
          <w:lang w:val="en-CA"/>
        </w:rPr>
        <w:t xml:space="preserve"> provincial or territorial jurisdiction, the rights of victims and their families</w:t>
      </w:r>
      <w:r w:rsidRPr="00AA6144">
        <w:rPr>
          <w:color w:val="auto"/>
          <w:lang w:val="en-CA"/>
        </w:rPr>
        <w:t xml:space="preserve"> can differ because </w:t>
      </w:r>
      <w:r w:rsidR="00B54E90" w:rsidRPr="00AA6144">
        <w:rPr>
          <w:color w:val="auto"/>
          <w:lang w:val="en-CA"/>
        </w:rPr>
        <w:t xml:space="preserve">some </w:t>
      </w:r>
      <w:r w:rsidR="007566DD" w:rsidRPr="00AA6144">
        <w:rPr>
          <w:color w:val="auto"/>
          <w:lang w:val="en-CA"/>
        </w:rPr>
        <w:t xml:space="preserve">provincial programs </w:t>
      </w:r>
      <w:r w:rsidR="00B54E90" w:rsidRPr="00AA6144">
        <w:rPr>
          <w:color w:val="auto"/>
          <w:lang w:val="en-CA"/>
        </w:rPr>
        <w:t xml:space="preserve">are </w:t>
      </w:r>
      <w:r w:rsidR="00DB0263" w:rsidRPr="00AA6144">
        <w:rPr>
          <w:color w:val="auto"/>
          <w:lang w:val="en-CA"/>
        </w:rPr>
        <w:t>restricted to</w:t>
      </w:r>
      <w:r w:rsidRPr="00AA6144">
        <w:rPr>
          <w:color w:val="auto"/>
          <w:lang w:val="en-CA"/>
        </w:rPr>
        <w:t xml:space="preserve"> victims that are injured or killed in their province</w:t>
      </w:r>
      <w:r w:rsidR="00B54E90" w:rsidRPr="00AA6144">
        <w:rPr>
          <w:color w:val="auto"/>
          <w:lang w:val="en-CA"/>
        </w:rPr>
        <w:t xml:space="preserve">, while </w:t>
      </w:r>
      <w:r w:rsidRPr="00AA6144">
        <w:rPr>
          <w:color w:val="auto"/>
          <w:lang w:val="en-CA"/>
        </w:rPr>
        <w:t xml:space="preserve">the federal program does not cover compensation for victims of crime. In addition, there are </w:t>
      </w:r>
      <w:proofErr w:type="gramStart"/>
      <w:r w:rsidRPr="00AA6144">
        <w:rPr>
          <w:color w:val="auto"/>
          <w:lang w:val="en-CA"/>
        </w:rPr>
        <w:t>a number of</w:t>
      </w:r>
      <w:proofErr w:type="gramEnd"/>
      <w:r w:rsidRPr="00AA6144">
        <w:rPr>
          <w:color w:val="auto"/>
          <w:lang w:val="en-CA"/>
        </w:rPr>
        <w:t xml:space="preserve"> significant restrictions on the ability of victims to participate meaningfully in criminal and civil proceedings. As was noted above in </w:t>
      </w:r>
      <w:r w:rsidR="00DB0263" w:rsidRPr="00AA6144">
        <w:rPr>
          <w:color w:val="auto"/>
          <w:lang w:val="en-CA"/>
        </w:rPr>
        <w:t xml:space="preserve">Section </w:t>
      </w:r>
      <w:r w:rsidRPr="00AA6144">
        <w:rPr>
          <w:color w:val="auto"/>
          <w:lang w:val="en-CA"/>
        </w:rPr>
        <w:t xml:space="preserve">5.2, victims and their families or heirs of the victims cannot bring civil claims in criminal </w:t>
      </w:r>
      <w:proofErr w:type="gramStart"/>
      <w:r w:rsidRPr="00AA6144">
        <w:rPr>
          <w:color w:val="auto"/>
          <w:lang w:val="en-CA"/>
        </w:rPr>
        <w:t>proceedings</w:t>
      </w:r>
      <w:proofErr w:type="gramEnd"/>
      <w:r w:rsidRPr="00AA6144">
        <w:rPr>
          <w:color w:val="auto"/>
          <w:lang w:val="en-CA"/>
        </w:rPr>
        <w:t xml:space="preserve"> but it is possible for victims to obtain reparation in civil jurisdiction for damages deriving from criminal acts. Finally, the provincial laws can provide civil proceedings against the accused to recover damages. </w:t>
      </w:r>
    </w:p>
    <w:p w14:paraId="2D3BA23E" w14:textId="77777777" w:rsidR="001E2002" w:rsidRPr="00AA6144" w:rsidRDefault="001E2002" w:rsidP="001E2002">
      <w:pPr>
        <w:pStyle w:val="Heading2"/>
        <w:rPr>
          <w:color w:val="auto"/>
          <w:lang w:val="en-CA"/>
        </w:rPr>
      </w:pPr>
      <w:bookmarkStart w:id="164" w:name="_Toc43382760"/>
      <w:r w:rsidRPr="00AA6144">
        <w:rPr>
          <w:color w:val="auto"/>
          <w:lang w:val="en-CA"/>
        </w:rPr>
        <w:t>6.1</w:t>
      </w:r>
      <w:r w:rsidR="000F4DB1" w:rsidRPr="00AA6144">
        <w:rPr>
          <w:color w:val="auto"/>
          <w:lang w:val="en-CA"/>
        </w:rPr>
        <w:t>1</w:t>
      </w:r>
      <w:r w:rsidRPr="00AA6144">
        <w:rPr>
          <w:color w:val="auto"/>
          <w:lang w:val="en-CA"/>
        </w:rPr>
        <w:t>. Amnesties</w:t>
      </w:r>
      <w:bookmarkEnd w:id="164"/>
    </w:p>
    <w:p w14:paraId="63CBF059" w14:textId="77777777" w:rsidR="00DF338C" w:rsidRPr="00AA6144" w:rsidRDefault="00DF338C" w:rsidP="00DF338C">
      <w:pPr>
        <w:spacing w:after="0"/>
        <w:rPr>
          <w:lang w:val="en-CA"/>
        </w:rPr>
      </w:pPr>
    </w:p>
    <w:p w14:paraId="21D07FA5" w14:textId="77777777" w:rsidR="001E2002" w:rsidRPr="00AA6144" w:rsidRDefault="001E2002" w:rsidP="001E2002">
      <w:pPr>
        <w:rPr>
          <w:color w:val="auto"/>
          <w:lang w:val="en-CA"/>
        </w:rPr>
      </w:pPr>
      <w:r w:rsidRPr="00AA6144">
        <w:rPr>
          <w:color w:val="auto"/>
          <w:lang w:val="en-CA"/>
        </w:rPr>
        <w:t>Amnesties and similar measures of impunity for crimes under international law</w:t>
      </w:r>
      <w:r w:rsidR="00573739" w:rsidRPr="00AA6144">
        <w:rPr>
          <w:color w:val="auto"/>
          <w:lang w:val="en-CA"/>
        </w:rPr>
        <w:t>, that prevent the emergence of truth, a final judicial determination of guilt or innocence and full reparation to victims and their families,</w:t>
      </w:r>
      <w:r w:rsidRPr="00AA6144">
        <w:rPr>
          <w:color w:val="auto"/>
          <w:lang w:val="en-CA"/>
        </w:rPr>
        <w:t xml:space="preserve"> are prohibited under international law.</w:t>
      </w:r>
      <w:r w:rsidRPr="00AA6144">
        <w:rPr>
          <w:rStyle w:val="FootnoteReference"/>
          <w:color w:val="auto"/>
          <w:lang w:val="en-CA"/>
        </w:rPr>
        <w:footnoteReference w:id="460"/>
      </w:r>
      <w:r w:rsidRPr="00AA6144" w:rsidDel="00EB77D6">
        <w:rPr>
          <w:color w:val="auto"/>
          <w:lang w:val="en-CA"/>
        </w:rPr>
        <w:t xml:space="preserve"> </w:t>
      </w:r>
    </w:p>
    <w:p w14:paraId="56BD9357" w14:textId="2B77CAC2" w:rsidR="00C20086" w:rsidRPr="00AA6144" w:rsidRDefault="004C38A9" w:rsidP="004C38A9">
      <w:pPr>
        <w:rPr>
          <w:color w:val="auto"/>
          <w:lang w:val="en-CA"/>
        </w:rPr>
      </w:pPr>
      <w:r w:rsidRPr="00AA6144">
        <w:rPr>
          <w:color w:val="auto"/>
          <w:lang w:val="en-CA"/>
        </w:rPr>
        <w:t xml:space="preserve">Canadian courts have recognized foreign </w:t>
      </w:r>
      <w:r w:rsidR="00A76CC1" w:rsidRPr="00AA6144">
        <w:rPr>
          <w:color w:val="auto"/>
          <w:lang w:val="en-CA"/>
        </w:rPr>
        <w:t xml:space="preserve">pardons </w:t>
      </w:r>
      <w:r w:rsidRPr="00AA6144">
        <w:rPr>
          <w:color w:val="auto"/>
          <w:lang w:val="en-CA"/>
        </w:rPr>
        <w:t xml:space="preserve">in rare </w:t>
      </w:r>
      <w:r w:rsidR="00AA6144" w:rsidRPr="00AA6144">
        <w:rPr>
          <w:color w:val="auto"/>
          <w:lang w:val="en-CA"/>
        </w:rPr>
        <w:t>situations,</w:t>
      </w:r>
      <w:r w:rsidRPr="00AA6144">
        <w:rPr>
          <w:color w:val="auto"/>
          <w:lang w:val="en-CA"/>
        </w:rPr>
        <w:t xml:space="preserve"> but they did not relate to </w:t>
      </w:r>
      <w:r w:rsidR="00335675" w:rsidRPr="00AA6144">
        <w:rPr>
          <w:color w:val="auto"/>
          <w:lang w:val="en-CA"/>
        </w:rPr>
        <w:t>war crimes, crimes against humanity, or genocide</w:t>
      </w:r>
      <w:r w:rsidRPr="00AA6144">
        <w:rPr>
          <w:color w:val="auto"/>
          <w:lang w:val="en-CA"/>
        </w:rPr>
        <w:t xml:space="preserve">. </w:t>
      </w:r>
      <w:r w:rsidR="00835483" w:rsidRPr="00AA6144">
        <w:rPr>
          <w:color w:val="auto"/>
          <w:lang w:val="en-CA"/>
        </w:rPr>
        <w:t xml:space="preserve">To recognize foreign </w:t>
      </w:r>
      <w:r w:rsidR="00783D1A" w:rsidRPr="00AA6144">
        <w:rPr>
          <w:color w:val="auto"/>
          <w:lang w:val="en-CA"/>
        </w:rPr>
        <w:t>pardons</w:t>
      </w:r>
      <w:r w:rsidR="00C20086" w:rsidRPr="00AA6144">
        <w:rPr>
          <w:color w:val="auto"/>
          <w:lang w:val="en-CA"/>
        </w:rPr>
        <w:t>, courts</w:t>
      </w:r>
      <w:r w:rsidRPr="00AA6144">
        <w:rPr>
          <w:color w:val="auto"/>
          <w:lang w:val="en-CA"/>
        </w:rPr>
        <w:t xml:space="preserve"> </w:t>
      </w:r>
      <w:r w:rsidR="00260C85" w:rsidRPr="00AA6144">
        <w:rPr>
          <w:color w:val="auto"/>
          <w:lang w:val="en-CA"/>
        </w:rPr>
        <w:t>must</w:t>
      </w:r>
      <w:r w:rsidRPr="00AA6144">
        <w:rPr>
          <w:color w:val="auto"/>
          <w:lang w:val="en-CA"/>
        </w:rPr>
        <w:t xml:space="preserve"> examine three criteria which were established by the Federal Court of Appeal in 1991 in </w:t>
      </w:r>
      <w:proofErr w:type="spellStart"/>
      <w:r w:rsidRPr="00AA6144">
        <w:rPr>
          <w:i/>
          <w:color w:val="auto"/>
          <w:lang w:val="en-CA"/>
        </w:rPr>
        <w:t>Burgon</w:t>
      </w:r>
      <w:proofErr w:type="spellEnd"/>
      <w:r w:rsidR="00260C85" w:rsidRPr="00AA6144">
        <w:rPr>
          <w:color w:val="auto"/>
          <w:lang w:val="en-CA"/>
        </w:rPr>
        <w:t>:</w:t>
      </w:r>
      <w:r w:rsidR="00C20086" w:rsidRPr="00AA6144">
        <w:rPr>
          <w:color w:val="auto"/>
          <w:vertAlign w:val="superscript"/>
          <w:lang w:val="en-CA"/>
        </w:rPr>
        <w:footnoteReference w:id="461"/>
      </w:r>
      <w:r w:rsidR="00C20086" w:rsidRPr="00AA6144">
        <w:rPr>
          <w:color w:val="auto"/>
          <w:lang w:val="en-CA"/>
        </w:rPr>
        <w:t xml:space="preserve"> </w:t>
      </w:r>
    </w:p>
    <w:p w14:paraId="41CA4580" w14:textId="77777777" w:rsidR="00C20086" w:rsidRPr="00AA6144" w:rsidRDefault="00C20086" w:rsidP="00140500">
      <w:pPr>
        <w:ind w:left="357"/>
        <w:rPr>
          <w:color w:val="auto"/>
          <w:lang w:val="en-CA"/>
        </w:rPr>
      </w:pPr>
      <w:r w:rsidRPr="000C2340">
        <w:rPr>
          <w:color w:val="auto"/>
          <w:lang w:val="en-CA"/>
        </w:rPr>
        <w:t>(a</w:t>
      </w:r>
      <w:r w:rsidR="004C38A9" w:rsidRPr="000C2340">
        <w:rPr>
          <w:color w:val="auto"/>
          <w:lang w:val="en-CA"/>
        </w:rPr>
        <w:t xml:space="preserve">) the foreign legal system as a whole must be substantially similar to Canada’s; </w:t>
      </w:r>
      <w:r w:rsidRPr="000C2340">
        <w:rPr>
          <w:color w:val="auto"/>
          <w:lang w:val="en-CA"/>
        </w:rPr>
        <w:br/>
        <w:t>(b</w:t>
      </w:r>
      <w:r w:rsidR="004C38A9" w:rsidRPr="000C2340">
        <w:rPr>
          <w:color w:val="auto"/>
          <w:lang w:val="en-CA"/>
        </w:rPr>
        <w:t xml:space="preserve">) the aim, content and effect of the specific legal system as a whole must be similar to and consistent with Canadian law, and </w:t>
      </w:r>
      <w:r w:rsidRPr="000C2340">
        <w:rPr>
          <w:color w:val="auto"/>
          <w:lang w:val="en-CA"/>
        </w:rPr>
        <w:br/>
        <w:t>(c)</w:t>
      </w:r>
      <w:r w:rsidR="004C38A9" w:rsidRPr="000C2340">
        <w:rPr>
          <w:color w:val="auto"/>
          <w:lang w:val="en-CA"/>
        </w:rPr>
        <w:t xml:space="preserve"> there must be no valid reason not to recognize the effect of the foreign law.</w:t>
      </w:r>
      <w:r w:rsidR="004C38A9" w:rsidRPr="000C2340">
        <w:rPr>
          <w:color w:val="auto"/>
          <w:vertAlign w:val="superscript"/>
          <w:lang w:val="en-CA"/>
        </w:rPr>
        <w:footnoteReference w:id="462"/>
      </w:r>
      <w:r w:rsidR="004C38A9" w:rsidRPr="00AA6144">
        <w:rPr>
          <w:color w:val="auto"/>
          <w:lang w:val="en-CA"/>
        </w:rPr>
        <w:t xml:space="preserve"> </w:t>
      </w:r>
    </w:p>
    <w:p w14:paraId="07D911A0" w14:textId="77777777" w:rsidR="004C38A9" w:rsidRPr="00AA6144" w:rsidRDefault="004C38A9" w:rsidP="00C20086">
      <w:pPr>
        <w:rPr>
          <w:color w:val="auto"/>
          <w:lang w:val="en-CA"/>
        </w:rPr>
      </w:pPr>
      <w:r w:rsidRPr="00AA6144">
        <w:rPr>
          <w:color w:val="auto"/>
          <w:lang w:val="en-CA"/>
        </w:rPr>
        <w:t>The</w:t>
      </w:r>
      <w:r w:rsidR="00783D1A" w:rsidRPr="00AA6144">
        <w:rPr>
          <w:color w:val="auto"/>
          <w:lang w:val="en-CA"/>
        </w:rPr>
        <w:t xml:space="preserve"> Federal Court </w:t>
      </w:r>
      <w:r w:rsidR="00B23232" w:rsidRPr="00AA6144">
        <w:rPr>
          <w:color w:val="auto"/>
          <w:lang w:val="en-CA"/>
        </w:rPr>
        <w:t xml:space="preserve">of Appeal </w:t>
      </w:r>
      <w:r w:rsidR="00260C85" w:rsidRPr="00AA6144">
        <w:rPr>
          <w:color w:val="auto"/>
          <w:lang w:val="en-CA"/>
        </w:rPr>
        <w:t>affirmed</w:t>
      </w:r>
      <w:r w:rsidR="00783D1A" w:rsidRPr="00AA6144">
        <w:rPr>
          <w:color w:val="auto"/>
          <w:lang w:val="en-CA"/>
        </w:rPr>
        <w:t xml:space="preserve"> in</w:t>
      </w:r>
      <w:r w:rsidRPr="00AA6144">
        <w:rPr>
          <w:color w:val="auto"/>
          <w:lang w:val="en-CA"/>
        </w:rPr>
        <w:t xml:space="preserve"> </w:t>
      </w:r>
      <w:r w:rsidRPr="00AA6144">
        <w:rPr>
          <w:i/>
          <w:color w:val="auto"/>
          <w:lang w:val="en-CA"/>
        </w:rPr>
        <w:t>Saini</w:t>
      </w:r>
      <w:r w:rsidRPr="00AA6144">
        <w:rPr>
          <w:color w:val="auto"/>
          <w:lang w:val="en-CA"/>
        </w:rPr>
        <w:t xml:space="preserve"> that “these three criteria must all be met before our Courts will recognize a foreign pardon or discharge”.</w:t>
      </w:r>
      <w:bookmarkStart w:id="165" w:name="_Ref267055507"/>
      <w:r w:rsidRPr="00AA6144">
        <w:rPr>
          <w:color w:val="auto"/>
          <w:vertAlign w:val="superscript"/>
          <w:lang w:val="en-CA"/>
        </w:rPr>
        <w:footnoteReference w:id="463"/>
      </w:r>
      <w:bookmarkEnd w:id="165"/>
      <w:r w:rsidRPr="00AA6144">
        <w:rPr>
          <w:color w:val="auto"/>
          <w:lang w:val="en-CA"/>
        </w:rPr>
        <w:t xml:space="preserve"> </w:t>
      </w:r>
    </w:p>
    <w:p w14:paraId="2D85DD99" w14:textId="77777777" w:rsidR="00260C85" w:rsidRPr="00AA6144" w:rsidRDefault="00B23232" w:rsidP="004C38A9">
      <w:pPr>
        <w:rPr>
          <w:color w:val="auto"/>
          <w:lang w:val="en-CA"/>
        </w:rPr>
      </w:pPr>
      <w:r w:rsidRPr="00AA6144">
        <w:rPr>
          <w:color w:val="auto"/>
          <w:lang w:val="en-CA"/>
        </w:rPr>
        <w:t>T</w:t>
      </w:r>
      <w:r w:rsidR="004C38A9" w:rsidRPr="00AA6144">
        <w:rPr>
          <w:color w:val="auto"/>
          <w:lang w:val="en-CA"/>
        </w:rPr>
        <w:t>he Immigration and Refugee Board</w:t>
      </w:r>
      <w:r w:rsidR="00B56E51" w:rsidRPr="00AA6144">
        <w:rPr>
          <w:color w:val="auto"/>
          <w:lang w:val="en-CA"/>
        </w:rPr>
        <w:t xml:space="preserve"> (Appeal Division)</w:t>
      </w:r>
      <w:r w:rsidR="004C38A9" w:rsidRPr="00AA6144">
        <w:rPr>
          <w:color w:val="auto"/>
          <w:lang w:val="en-CA"/>
        </w:rPr>
        <w:t xml:space="preserve"> </w:t>
      </w:r>
      <w:r w:rsidRPr="00AA6144">
        <w:rPr>
          <w:color w:val="auto"/>
          <w:lang w:val="en-CA"/>
        </w:rPr>
        <w:t>in</w:t>
      </w:r>
      <w:r w:rsidRPr="00AA6144">
        <w:rPr>
          <w:i/>
          <w:color w:val="auto"/>
          <w:lang w:val="en-CA"/>
        </w:rPr>
        <w:t xml:space="preserve"> </w:t>
      </w:r>
      <w:proofErr w:type="spellStart"/>
      <w:r w:rsidRPr="00AA6144">
        <w:rPr>
          <w:i/>
          <w:color w:val="auto"/>
          <w:lang w:val="en-CA"/>
        </w:rPr>
        <w:t>Choujounian-Abulu</w:t>
      </w:r>
      <w:proofErr w:type="spellEnd"/>
      <w:r w:rsidRPr="00AA6144">
        <w:rPr>
          <w:color w:val="auto"/>
          <w:lang w:val="en-CA"/>
        </w:rPr>
        <w:t xml:space="preserve"> </w:t>
      </w:r>
      <w:r w:rsidR="004C38A9" w:rsidRPr="00AA6144">
        <w:rPr>
          <w:color w:val="auto"/>
          <w:lang w:val="en-CA"/>
        </w:rPr>
        <w:t>stated</w:t>
      </w:r>
      <w:r w:rsidR="00260C85" w:rsidRPr="00AA6144">
        <w:rPr>
          <w:color w:val="auto"/>
          <w:lang w:val="en-CA"/>
        </w:rPr>
        <w:t>:</w:t>
      </w:r>
    </w:p>
    <w:p w14:paraId="03931273" w14:textId="77777777" w:rsidR="004C38A9" w:rsidRPr="00AA6144" w:rsidRDefault="00260C85" w:rsidP="00140500">
      <w:pPr>
        <w:ind w:left="567" w:right="1134"/>
        <w:rPr>
          <w:color w:val="auto"/>
          <w:lang w:val="en-CA"/>
        </w:rPr>
      </w:pPr>
      <w:r w:rsidRPr="00AA6144">
        <w:rPr>
          <w:color w:val="auto"/>
          <w:lang w:val="en-CA"/>
        </w:rPr>
        <w:t>I</w:t>
      </w:r>
      <w:r w:rsidR="004C38A9" w:rsidRPr="00AA6144">
        <w:rPr>
          <w:color w:val="auto"/>
          <w:lang w:val="en-CA"/>
        </w:rPr>
        <w:t>n Canada, pardons are available only to individuals</w:t>
      </w:r>
      <w:r w:rsidR="00B23232" w:rsidRPr="00AA6144">
        <w:rPr>
          <w:color w:val="auto"/>
          <w:lang w:val="en-CA"/>
        </w:rPr>
        <w:t>,</w:t>
      </w:r>
      <w:r w:rsidR="004C38A9" w:rsidRPr="00AA6144">
        <w:rPr>
          <w:color w:val="auto"/>
          <w:lang w:val="en-CA"/>
        </w:rPr>
        <w:t xml:space="preserve"> not groups of people. Also, </w:t>
      </w:r>
      <w:proofErr w:type="gramStart"/>
      <w:r w:rsidR="004C38A9" w:rsidRPr="00AA6144">
        <w:rPr>
          <w:color w:val="auto"/>
          <w:lang w:val="en-CA"/>
        </w:rPr>
        <w:t>the vast majority of</w:t>
      </w:r>
      <w:proofErr w:type="gramEnd"/>
      <w:r w:rsidR="004C38A9" w:rsidRPr="00AA6144">
        <w:rPr>
          <w:color w:val="auto"/>
          <w:lang w:val="en-CA"/>
        </w:rPr>
        <w:t xml:space="preserve"> pardons follow a legislative scheme that provides for the granting of a pardon to an individual only after undergoing a formal, extensive and detailed process of assessment.</w:t>
      </w:r>
      <w:r w:rsidR="004C38A9" w:rsidRPr="00AA6144">
        <w:rPr>
          <w:color w:val="auto"/>
          <w:vertAlign w:val="superscript"/>
          <w:lang w:val="en-CA"/>
        </w:rPr>
        <w:footnoteReference w:id="464"/>
      </w:r>
    </w:p>
    <w:p w14:paraId="671B9FBA" w14:textId="4705A7E6" w:rsidR="00FC2FF3" w:rsidRPr="00FD1463" w:rsidRDefault="004C38A9" w:rsidP="00FD1463">
      <w:pPr>
        <w:rPr>
          <w:color w:val="auto"/>
          <w:lang w:val="en-CA"/>
        </w:rPr>
      </w:pPr>
      <w:r w:rsidRPr="00AA6144">
        <w:rPr>
          <w:color w:val="auto"/>
          <w:lang w:val="en-CA"/>
        </w:rPr>
        <w:t xml:space="preserve">Section 748 of the </w:t>
      </w:r>
      <w:r w:rsidRPr="00AA6144">
        <w:rPr>
          <w:i/>
          <w:color w:val="auto"/>
          <w:lang w:val="en-CA"/>
        </w:rPr>
        <w:t>Criminal Code</w:t>
      </w:r>
      <w:r w:rsidRPr="00AA6144">
        <w:rPr>
          <w:color w:val="auto"/>
          <w:lang w:val="en-CA"/>
        </w:rPr>
        <w:t xml:space="preserve"> provides for pardons and remissions. </w:t>
      </w:r>
      <w:r w:rsidR="00985A19" w:rsidRPr="00AA6144">
        <w:rPr>
          <w:color w:val="auto"/>
          <w:lang w:val="en-CA"/>
        </w:rPr>
        <w:t>S</w:t>
      </w:r>
      <w:r w:rsidR="005B0EEF" w:rsidRPr="00AA6144">
        <w:rPr>
          <w:color w:val="auto"/>
          <w:lang w:val="en-CA"/>
        </w:rPr>
        <w:t xml:space="preserve">ection 748 </w:t>
      </w:r>
      <w:r w:rsidR="00985A19" w:rsidRPr="00AA6144">
        <w:rPr>
          <w:color w:val="auto"/>
          <w:lang w:val="en-CA"/>
        </w:rPr>
        <w:t xml:space="preserve">was </w:t>
      </w:r>
      <w:r w:rsidR="005B0EEF" w:rsidRPr="00AA6144">
        <w:rPr>
          <w:color w:val="auto"/>
          <w:lang w:val="en-CA"/>
        </w:rPr>
        <w:t xml:space="preserve">interpreted by the Federal Court of Appeal in </w:t>
      </w:r>
      <w:r w:rsidR="005B0EEF" w:rsidRPr="00AA6144">
        <w:rPr>
          <w:i/>
          <w:color w:val="auto"/>
          <w:lang w:val="en-CA"/>
        </w:rPr>
        <w:t>Saini</w:t>
      </w:r>
      <w:r w:rsidR="005B0EEF" w:rsidRPr="00AA6144">
        <w:rPr>
          <w:color w:val="auto"/>
          <w:lang w:val="en-CA"/>
        </w:rPr>
        <w:t>:</w:t>
      </w:r>
      <w:r w:rsidRPr="00AA6144">
        <w:rPr>
          <w:color w:val="auto"/>
          <w:lang w:val="en-CA"/>
        </w:rPr>
        <w:t xml:space="preserve"> “a convicted person cannot deny having been convicted and […] such a pardon does not wipe out the conviction itself; it only limits its negative effects.</w:t>
      </w:r>
      <w:r w:rsidR="00F40F7E" w:rsidRPr="00AA6144">
        <w:rPr>
          <w:color w:val="auto"/>
          <w:lang w:val="en-CA"/>
        </w:rPr>
        <w:t>”</w:t>
      </w:r>
      <w:r w:rsidRPr="00AA6144">
        <w:rPr>
          <w:color w:val="auto"/>
          <w:vertAlign w:val="superscript"/>
          <w:lang w:val="en-CA"/>
        </w:rPr>
        <w:footnoteReference w:id="465"/>
      </w:r>
      <w:r w:rsidRPr="00AA6144">
        <w:rPr>
          <w:color w:val="auto"/>
          <w:lang w:val="en-CA"/>
        </w:rPr>
        <w:t xml:space="preserve"> </w:t>
      </w:r>
      <w:r w:rsidR="00A97279" w:rsidRPr="00AA6144">
        <w:rPr>
          <w:color w:val="auto"/>
          <w:lang w:val="en-CA"/>
        </w:rPr>
        <w:t xml:space="preserve">At paragraph 40 of the </w:t>
      </w:r>
      <w:r w:rsidR="00A97279" w:rsidRPr="00AA6144">
        <w:rPr>
          <w:i/>
          <w:color w:val="auto"/>
          <w:lang w:val="en-CA"/>
        </w:rPr>
        <w:t>Saini</w:t>
      </w:r>
      <w:r w:rsidR="00A97279" w:rsidRPr="00AA6144">
        <w:rPr>
          <w:color w:val="auto"/>
          <w:vertAlign w:val="superscript"/>
          <w:lang w:val="en-CA"/>
        </w:rPr>
        <w:footnoteReference w:id="466"/>
      </w:r>
      <w:r w:rsidR="00A97279" w:rsidRPr="00AA6144">
        <w:rPr>
          <w:color w:val="auto"/>
          <w:lang w:val="en-CA"/>
        </w:rPr>
        <w:t xml:space="preserve"> decision, the </w:t>
      </w:r>
      <w:r w:rsidR="00260C85" w:rsidRPr="00AA6144">
        <w:rPr>
          <w:color w:val="auto"/>
          <w:lang w:val="en-CA"/>
        </w:rPr>
        <w:t xml:space="preserve">Federal </w:t>
      </w:r>
      <w:r w:rsidR="00A97279" w:rsidRPr="00AA6144">
        <w:rPr>
          <w:color w:val="auto"/>
          <w:lang w:val="en-CA"/>
        </w:rPr>
        <w:t>Court</w:t>
      </w:r>
      <w:r w:rsidR="00260C85" w:rsidRPr="00AA6144">
        <w:rPr>
          <w:color w:val="auto"/>
          <w:lang w:val="en-CA"/>
        </w:rPr>
        <w:t xml:space="preserve"> of Appeal</w:t>
      </w:r>
      <w:r w:rsidR="00A97279" w:rsidRPr="00AA6144">
        <w:rPr>
          <w:color w:val="auto"/>
          <w:lang w:val="en-CA"/>
        </w:rPr>
        <w:t xml:space="preserve"> refers to </w:t>
      </w:r>
      <w:r w:rsidR="00A97279" w:rsidRPr="00AA6144">
        <w:rPr>
          <w:i/>
          <w:iCs/>
          <w:color w:val="auto"/>
          <w:lang w:val="en-CA"/>
        </w:rPr>
        <w:t>Smith</w:t>
      </w:r>
      <w:r w:rsidR="00A97279" w:rsidRPr="00AA6144">
        <w:rPr>
          <w:i/>
          <w:iCs/>
          <w:color w:val="auto"/>
          <w:vertAlign w:val="superscript"/>
          <w:lang w:val="en-CA"/>
        </w:rPr>
        <w:footnoteReference w:id="467"/>
      </w:r>
      <w:r w:rsidR="00A97279" w:rsidRPr="00AA6144">
        <w:rPr>
          <w:color w:val="auto"/>
          <w:lang w:val="en-CA"/>
        </w:rPr>
        <w:t xml:space="preserve"> and </w:t>
      </w:r>
      <w:r w:rsidR="00A97279" w:rsidRPr="00AA6144">
        <w:rPr>
          <w:i/>
          <w:iCs/>
          <w:color w:val="auto"/>
          <w:lang w:val="en-CA"/>
        </w:rPr>
        <w:t>Therrien</w:t>
      </w:r>
      <w:r w:rsidR="009F49A8" w:rsidRPr="00AA6144">
        <w:rPr>
          <w:i/>
          <w:iCs/>
          <w:color w:val="auto"/>
          <w:lang w:val="en-CA"/>
        </w:rPr>
        <w:t xml:space="preserve"> </w:t>
      </w:r>
      <w:r w:rsidR="00A97279" w:rsidRPr="00AA6144">
        <w:rPr>
          <w:i/>
          <w:iCs/>
          <w:color w:val="auto"/>
          <w:lang w:val="en-CA"/>
        </w:rPr>
        <w:t>(Re)</w:t>
      </w:r>
      <w:r w:rsidR="009F49A8" w:rsidRPr="00AA6144">
        <w:rPr>
          <w:color w:val="auto"/>
          <w:vertAlign w:val="superscript"/>
          <w:lang w:val="en-CA"/>
        </w:rPr>
        <w:t xml:space="preserve"> </w:t>
      </w:r>
      <w:bookmarkStart w:id="166" w:name="_Ref267055531"/>
      <w:r w:rsidR="009F49A8" w:rsidRPr="00AA6144">
        <w:rPr>
          <w:color w:val="auto"/>
          <w:vertAlign w:val="superscript"/>
          <w:lang w:val="en-CA"/>
        </w:rPr>
        <w:footnoteReference w:id="468"/>
      </w:r>
      <w:bookmarkEnd w:id="166"/>
      <w:r w:rsidR="009F49A8" w:rsidRPr="00AA6144">
        <w:rPr>
          <w:i/>
          <w:color w:val="auto"/>
          <w:lang w:val="en-CA"/>
        </w:rPr>
        <w:t xml:space="preserve"> </w:t>
      </w:r>
      <w:r w:rsidR="00A97279" w:rsidRPr="00AA6144">
        <w:rPr>
          <w:color w:val="auto"/>
          <w:lang w:val="en-CA"/>
        </w:rPr>
        <w:t xml:space="preserve"> and notes </w:t>
      </w:r>
      <w:r w:rsidR="00260C85" w:rsidRPr="00AA6144">
        <w:rPr>
          <w:color w:val="auto"/>
          <w:lang w:val="en-CA"/>
        </w:rPr>
        <w:t>that</w:t>
      </w:r>
      <w:r w:rsidR="00A97279" w:rsidRPr="00AA6144">
        <w:rPr>
          <w:color w:val="auto"/>
          <w:lang w:val="en-CA"/>
        </w:rPr>
        <w:t xml:space="preserve"> “a Canadian pardon only removes the disqualifications resulting from a conviction, and does not erase the conviction itself””.</w:t>
      </w:r>
      <w:r w:rsidR="00A97279" w:rsidRPr="00AA6144">
        <w:rPr>
          <w:rStyle w:val="FootnoteReference"/>
          <w:color w:val="auto"/>
          <w:lang w:val="en-CA"/>
        </w:rPr>
        <w:footnoteReference w:id="469"/>
      </w:r>
      <w:r w:rsidR="00A97279" w:rsidRPr="00AA6144">
        <w:rPr>
          <w:color w:val="auto"/>
          <w:lang w:val="en-CA"/>
        </w:rPr>
        <w:t xml:space="preserve"> </w:t>
      </w:r>
      <w:r w:rsidRPr="00AA6144">
        <w:rPr>
          <w:color w:val="auto"/>
          <w:lang w:val="en-CA"/>
        </w:rPr>
        <w:t xml:space="preserve">According to </w:t>
      </w:r>
      <w:r w:rsidR="00B56E51" w:rsidRPr="00AA6144">
        <w:rPr>
          <w:color w:val="auto"/>
          <w:lang w:val="en-CA"/>
        </w:rPr>
        <w:t xml:space="preserve">the Supreme Court in </w:t>
      </w:r>
      <w:r w:rsidRPr="00AA6144">
        <w:rPr>
          <w:i/>
          <w:color w:val="auto"/>
          <w:lang w:val="en-CA"/>
        </w:rPr>
        <w:t>Therrien (Re)</w:t>
      </w:r>
      <w:r w:rsidR="00B56E51" w:rsidRPr="00AA6144">
        <w:rPr>
          <w:color w:val="auto"/>
          <w:lang w:val="en-CA"/>
        </w:rPr>
        <w:t>,</w:t>
      </w:r>
      <w:r w:rsidRPr="00AA6144">
        <w:rPr>
          <w:color w:val="auto"/>
          <w:vertAlign w:val="superscript"/>
          <w:lang w:val="en-CA"/>
        </w:rPr>
        <w:footnoteReference w:id="470"/>
      </w:r>
      <w:r w:rsidRPr="00AA6144">
        <w:rPr>
          <w:i/>
          <w:color w:val="auto"/>
          <w:lang w:val="en-CA"/>
        </w:rPr>
        <w:t xml:space="preserve"> </w:t>
      </w:r>
      <w:r w:rsidRPr="00AA6144">
        <w:rPr>
          <w:color w:val="auto"/>
          <w:lang w:val="en-CA"/>
        </w:rPr>
        <w:t xml:space="preserve">there are three categories of pardons: </w:t>
      </w:r>
      <w:r w:rsidR="0045267A" w:rsidRPr="00AA6144">
        <w:rPr>
          <w:color w:val="auto"/>
          <w:lang w:val="en-CA"/>
        </w:rPr>
        <w:t>(1)</w:t>
      </w:r>
      <w:r w:rsidRPr="00AA6144">
        <w:rPr>
          <w:color w:val="auto"/>
          <w:lang w:val="en-CA"/>
        </w:rPr>
        <w:t xml:space="preserve"> ordinary and partial pardon for which the conviction of the person still exists (</w:t>
      </w:r>
      <w:r w:rsidR="0045267A" w:rsidRPr="00AA6144">
        <w:rPr>
          <w:i/>
          <w:color w:val="auto"/>
          <w:lang w:val="en-CA"/>
        </w:rPr>
        <w:t xml:space="preserve">Criminal Code </w:t>
      </w:r>
      <w:r w:rsidR="0045267A" w:rsidRPr="00AA6144">
        <w:rPr>
          <w:color w:val="auto"/>
          <w:lang w:val="en-CA"/>
        </w:rPr>
        <w:t xml:space="preserve">sections </w:t>
      </w:r>
      <w:r w:rsidRPr="00AA6144">
        <w:rPr>
          <w:color w:val="auto"/>
          <w:lang w:val="en-CA"/>
        </w:rPr>
        <w:t xml:space="preserve">748(1) </w:t>
      </w:r>
      <w:r w:rsidR="0045267A" w:rsidRPr="00AA6144">
        <w:rPr>
          <w:color w:val="auto"/>
          <w:lang w:val="en-CA"/>
        </w:rPr>
        <w:t xml:space="preserve">and </w:t>
      </w:r>
      <w:r w:rsidRPr="00AA6144">
        <w:rPr>
          <w:color w:val="auto"/>
          <w:lang w:val="en-CA"/>
        </w:rPr>
        <w:t>748.1</w:t>
      </w:r>
      <w:r w:rsidR="0045267A" w:rsidRPr="00AA6144">
        <w:rPr>
          <w:color w:val="auto"/>
          <w:lang w:val="en-CA"/>
        </w:rPr>
        <w:t>)</w:t>
      </w:r>
      <w:r w:rsidRPr="00AA6144">
        <w:rPr>
          <w:color w:val="auto"/>
          <w:lang w:val="en-CA"/>
        </w:rPr>
        <w:t xml:space="preserve">; </w:t>
      </w:r>
      <w:r w:rsidR="0045267A" w:rsidRPr="00AA6144">
        <w:rPr>
          <w:color w:val="auto"/>
          <w:lang w:val="en-CA"/>
        </w:rPr>
        <w:t>(2)</w:t>
      </w:r>
      <w:r w:rsidRPr="00AA6144">
        <w:rPr>
          <w:color w:val="auto"/>
          <w:lang w:val="en-CA"/>
        </w:rPr>
        <w:t xml:space="preserve"> conditional pardon (</w:t>
      </w:r>
      <w:r w:rsidR="0045267A" w:rsidRPr="00AA6144">
        <w:rPr>
          <w:i/>
          <w:color w:val="auto"/>
          <w:lang w:val="en-CA"/>
        </w:rPr>
        <w:t xml:space="preserve">Criminal Code </w:t>
      </w:r>
      <w:r w:rsidR="0045267A" w:rsidRPr="00AA6144">
        <w:rPr>
          <w:color w:val="auto"/>
          <w:lang w:val="en-CA"/>
        </w:rPr>
        <w:t xml:space="preserve">section </w:t>
      </w:r>
      <w:r w:rsidRPr="00AA6144">
        <w:rPr>
          <w:color w:val="auto"/>
          <w:lang w:val="en-CA"/>
        </w:rPr>
        <w:t>748(2));</w:t>
      </w:r>
      <w:r w:rsidR="0045267A" w:rsidRPr="00AA6144">
        <w:rPr>
          <w:color w:val="auto"/>
          <w:lang w:val="en-CA"/>
        </w:rPr>
        <w:t xml:space="preserve"> and</w:t>
      </w:r>
      <w:r w:rsidRPr="00AA6144">
        <w:rPr>
          <w:color w:val="auto"/>
          <w:lang w:val="en-CA"/>
        </w:rPr>
        <w:t xml:space="preserve"> </w:t>
      </w:r>
      <w:r w:rsidR="0045267A" w:rsidRPr="00AA6144">
        <w:rPr>
          <w:color w:val="auto"/>
          <w:lang w:val="en-CA"/>
        </w:rPr>
        <w:t>(</w:t>
      </w:r>
      <w:r w:rsidRPr="00AA6144">
        <w:rPr>
          <w:color w:val="auto"/>
          <w:lang w:val="en-CA"/>
        </w:rPr>
        <w:t>3</w:t>
      </w:r>
      <w:r w:rsidR="0045267A" w:rsidRPr="00AA6144">
        <w:rPr>
          <w:color w:val="auto"/>
          <w:lang w:val="en-CA"/>
        </w:rPr>
        <w:t>)</w:t>
      </w:r>
      <w:r w:rsidRPr="00AA6144">
        <w:rPr>
          <w:color w:val="auto"/>
          <w:lang w:val="en-CA"/>
        </w:rPr>
        <w:t xml:space="preserve"> free pardon (</w:t>
      </w:r>
      <w:r w:rsidR="0045267A" w:rsidRPr="00AA6144">
        <w:rPr>
          <w:i/>
          <w:color w:val="auto"/>
          <w:lang w:val="en-CA"/>
        </w:rPr>
        <w:t xml:space="preserve">Criminal Code </w:t>
      </w:r>
      <w:r w:rsidR="0045267A" w:rsidRPr="00AA6144">
        <w:rPr>
          <w:color w:val="auto"/>
          <w:lang w:val="en-CA"/>
        </w:rPr>
        <w:t xml:space="preserve">sections </w:t>
      </w:r>
      <w:r w:rsidRPr="00AA6144">
        <w:rPr>
          <w:color w:val="auto"/>
          <w:lang w:val="en-CA"/>
        </w:rPr>
        <w:t xml:space="preserve">748(2) and </w:t>
      </w:r>
      <w:r w:rsidR="0045267A" w:rsidRPr="00AA6144">
        <w:rPr>
          <w:color w:val="auto"/>
          <w:lang w:val="en-CA"/>
        </w:rPr>
        <w:t>748</w:t>
      </w:r>
      <w:r w:rsidRPr="00AA6144">
        <w:rPr>
          <w:color w:val="auto"/>
          <w:lang w:val="en-CA"/>
        </w:rPr>
        <w:t>(3)</w:t>
      </w:r>
      <w:r w:rsidR="0045267A" w:rsidRPr="00AA6144">
        <w:rPr>
          <w:color w:val="auto"/>
          <w:lang w:val="en-CA"/>
        </w:rPr>
        <w:t>)</w:t>
      </w:r>
      <w:r w:rsidRPr="00AA6144">
        <w:rPr>
          <w:color w:val="auto"/>
          <w:lang w:val="en-CA"/>
        </w:rPr>
        <w:t xml:space="preserve">. </w:t>
      </w:r>
      <w:r w:rsidR="009F49A8" w:rsidRPr="00AA6144">
        <w:rPr>
          <w:color w:val="auto"/>
          <w:lang w:val="en-CA"/>
        </w:rPr>
        <w:t xml:space="preserve">The Court in </w:t>
      </w:r>
      <w:r w:rsidR="009F49A8" w:rsidRPr="00AA6144">
        <w:rPr>
          <w:i/>
          <w:color w:val="auto"/>
          <w:lang w:val="en-CA"/>
        </w:rPr>
        <w:t xml:space="preserve">Saini </w:t>
      </w:r>
      <w:r w:rsidR="009F49A8" w:rsidRPr="00AA6144">
        <w:rPr>
          <w:color w:val="auto"/>
          <w:lang w:val="en-CA"/>
        </w:rPr>
        <w:t>notes</w:t>
      </w:r>
      <w:r w:rsidRPr="00AA6144">
        <w:rPr>
          <w:color w:val="auto"/>
          <w:lang w:val="en-CA"/>
        </w:rPr>
        <w:t xml:space="preserve"> </w:t>
      </w:r>
      <w:r w:rsidR="009F49A8" w:rsidRPr="00AA6144">
        <w:rPr>
          <w:color w:val="auto"/>
          <w:lang w:val="en-CA"/>
        </w:rPr>
        <w:t>that</w:t>
      </w:r>
      <w:r w:rsidRPr="00AA6144">
        <w:rPr>
          <w:color w:val="auto"/>
          <w:lang w:val="en-CA"/>
        </w:rPr>
        <w:t xml:space="preserve"> </w:t>
      </w:r>
      <w:r w:rsidR="00AF049D" w:rsidRPr="00AA6144">
        <w:rPr>
          <w:color w:val="auto"/>
          <w:lang w:val="en-CA"/>
        </w:rPr>
        <w:t>“</w:t>
      </w:r>
      <w:r w:rsidRPr="00AA6144">
        <w:rPr>
          <w:color w:val="auto"/>
          <w:lang w:val="en-CA"/>
        </w:rPr>
        <w:t>a free pardon can only be granted by the Governor in Council where a person has been wrongly convicted, and even then, there are established procedures that must be followed.”</w:t>
      </w:r>
      <w:r w:rsidR="00372F67" w:rsidRPr="00AA6144">
        <w:rPr>
          <w:rStyle w:val="FootnoteReference"/>
          <w:color w:val="auto"/>
          <w:lang w:val="en-CA"/>
        </w:rPr>
        <w:footnoteReference w:id="471"/>
      </w:r>
      <w:r w:rsidRPr="00AA6144">
        <w:rPr>
          <w:color w:val="auto"/>
          <w:lang w:val="en-CA"/>
        </w:rPr>
        <w:t xml:space="preserve"> </w:t>
      </w:r>
    </w:p>
    <w:p w14:paraId="477ED3F5" w14:textId="198687B5" w:rsidR="00834DDD" w:rsidRPr="000D6C42" w:rsidRDefault="00C10B10" w:rsidP="000D6C42">
      <w:pPr>
        <w:rPr>
          <w:color w:val="auto"/>
          <w:lang w:val="en-CA"/>
        </w:rPr>
      </w:pPr>
      <w:r w:rsidRPr="000D6C42">
        <w:rPr>
          <w:color w:val="auto"/>
          <w:lang w:val="en-CA"/>
        </w:rPr>
        <w:t>T</w:t>
      </w:r>
      <w:r w:rsidR="0017453F" w:rsidRPr="000D6C42">
        <w:rPr>
          <w:color w:val="auto"/>
          <w:lang w:val="en-CA"/>
        </w:rPr>
        <w:t>he Federal Court applied these findings</w:t>
      </w:r>
      <w:r w:rsidRPr="000D6C42">
        <w:rPr>
          <w:color w:val="auto"/>
          <w:lang w:val="en-CA"/>
        </w:rPr>
        <w:t xml:space="preserve"> in </w:t>
      </w:r>
      <w:proofErr w:type="spellStart"/>
      <w:r w:rsidRPr="000D6C42">
        <w:rPr>
          <w:i/>
          <w:iCs/>
          <w:color w:val="auto"/>
          <w:lang w:val="en-CA"/>
        </w:rPr>
        <w:t>Magtibay</w:t>
      </w:r>
      <w:proofErr w:type="spellEnd"/>
      <w:r w:rsidR="0017453F" w:rsidRPr="000D6C42">
        <w:rPr>
          <w:color w:val="auto"/>
          <w:lang w:val="en-CA"/>
        </w:rPr>
        <w:t xml:space="preserve"> to hold that an acquittal based on a pardon from the victim of a crime, is not equivalent to Canadian law and should not be treated as such.</w:t>
      </w:r>
      <w:r w:rsidR="0017453F" w:rsidRPr="000D6C42">
        <w:rPr>
          <w:vertAlign w:val="superscript"/>
        </w:rPr>
        <w:footnoteReference w:id="472"/>
      </w:r>
      <w:r w:rsidR="0017453F" w:rsidRPr="000D6C42">
        <w:rPr>
          <w:color w:val="auto"/>
          <w:vertAlign w:val="superscript"/>
          <w:lang w:val="en-CA"/>
        </w:rPr>
        <w:t xml:space="preserve"> </w:t>
      </w:r>
      <w:r w:rsidR="00BF3149" w:rsidRPr="000D6C42">
        <w:rPr>
          <w:color w:val="auto"/>
          <w:lang w:val="en-CA"/>
        </w:rPr>
        <w:t xml:space="preserve">Again in other cases, the Court applied these principles to evaluate the legal recognition of foreign pardons. </w:t>
      </w:r>
      <w:r w:rsidR="00BF1DE1" w:rsidRPr="000D6C42">
        <w:rPr>
          <w:color w:val="auto"/>
          <w:lang w:val="en-CA"/>
        </w:rPr>
        <w:t xml:space="preserve">For example, </w:t>
      </w:r>
      <w:r w:rsidR="00A50060" w:rsidRPr="000D6C42">
        <w:rPr>
          <w:color w:val="auto"/>
          <w:lang w:val="en-CA"/>
        </w:rPr>
        <w:t xml:space="preserve">Justice Mosely </w:t>
      </w:r>
      <w:r w:rsidR="004F7E42" w:rsidRPr="000D6C42">
        <w:rPr>
          <w:color w:val="auto"/>
          <w:lang w:val="en-CA"/>
        </w:rPr>
        <w:t xml:space="preserve">in </w:t>
      </w:r>
      <w:proofErr w:type="spellStart"/>
      <w:r w:rsidR="004F7E42" w:rsidRPr="000D6C42">
        <w:rPr>
          <w:i/>
          <w:iCs/>
          <w:color w:val="auto"/>
          <w:lang w:val="en-CA"/>
        </w:rPr>
        <w:t>Sicur</w:t>
      </w:r>
      <w:r w:rsidR="00294F06" w:rsidRPr="000D6C42">
        <w:rPr>
          <w:i/>
          <w:iCs/>
          <w:color w:val="auto"/>
          <w:lang w:val="en-CA"/>
        </w:rPr>
        <w:t>o</w:t>
      </w:r>
      <w:proofErr w:type="spellEnd"/>
      <w:r w:rsidR="004F7E42" w:rsidRPr="000D6C42">
        <w:rPr>
          <w:color w:val="auto"/>
          <w:lang w:val="en-CA"/>
        </w:rPr>
        <w:t xml:space="preserve"> </w:t>
      </w:r>
      <w:r w:rsidR="00BF1DE1" w:rsidRPr="000D6C42">
        <w:rPr>
          <w:color w:val="auto"/>
          <w:lang w:val="en-CA"/>
        </w:rPr>
        <w:t>s</w:t>
      </w:r>
      <w:r w:rsidR="002250AC" w:rsidRPr="000D6C42">
        <w:rPr>
          <w:color w:val="auto"/>
          <w:lang w:val="en-CA"/>
        </w:rPr>
        <w:t>pecified</w:t>
      </w:r>
      <w:r w:rsidR="004F7E42" w:rsidRPr="000D6C42">
        <w:rPr>
          <w:color w:val="auto"/>
          <w:lang w:val="en-CA"/>
        </w:rPr>
        <w:t xml:space="preserve"> the standard of proof required to establish "reasonable grounds”</w:t>
      </w:r>
      <w:r w:rsidR="00737133" w:rsidRPr="000D6C42">
        <w:rPr>
          <w:color w:val="auto"/>
          <w:lang w:val="en-CA"/>
        </w:rPr>
        <w:t xml:space="preserve"> that the applicant had been “convicted” outside Canada</w:t>
      </w:r>
      <w:r w:rsidR="00A50060" w:rsidRPr="000D6C42">
        <w:rPr>
          <w:color w:val="auto"/>
          <w:lang w:val="en-CA"/>
        </w:rPr>
        <w:t xml:space="preserve">, citing </w:t>
      </w:r>
      <w:proofErr w:type="spellStart"/>
      <w:r w:rsidR="00A50060" w:rsidRPr="000D6C42">
        <w:rPr>
          <w:i/>
          <w:iCs/>
          <w:color w:val="auto"/>
          <w:lang w:val="en-CA"/>
        </w:rPr>
        <w:t>Chiau</w:t>
      </w:r>
      <w:proofErr w:type="spellEnd"/>
      <w:r w:rsidR="00A50060" w:rsidRPr="000D6C42">
        <w:rPr>
          <w:color w:val="auto"/>
          <w:lang w:val="en-CA"/>
        </w:rPr>
        <w:t>,</w:t>
      </w:r>
      <w:r w:rsidR="004F7E42" w:rsidRPr="000D6C42">
        <w:rPr>
          <w:color w:val="auto"/>
          <w:lang w:val="en-CA"/>
        </w:rPr>
        <w:t xml:space="preserve"> </w:t>
      </w:r>
      <w:r w:rsidRPr="000D6C42">
        <w:rPr>
          <w:color w:val="auto"/>
          <w:lang w:val="en-CA"/>
        </w:rPr>
        <w:t xml:space="preserve">is </w:t>
      </w:r>
      <w:r w:rsidR="004F7E42" w:rsidRPr="000D6C42">
        <w:rPr>
          <w:color w:val="auto"/>
          <w:lang w:val="en-CA"/>
        </w:rPr>
        <w:t>“more than a flimsy suspicion, but less than the civil test of balance of probabilities;” it is a “a bona fide belief in a serious possibility based on credible evidence”</w:t>
      </w:r>
      <w:r w:rsidR="00BF1DE1" w:rsidRPr="000D6C42">
        <w:rPr>
          <w:color w:val="auto"/>
          <w:lang w:val="en-CA"/>
        </w:rPr>
        <w:t>.</w:t>
      </w:r>
      <w:r w:rsidR="00BF1DE1" w:rsidRPr="000D6C42">
        <w:rPr>
          <w:color w:val="auto"/>
          <w:vertAlign w:val="superscript"/>
        </w:rPr>
        <w:footnoteReference w:id="473"/>
      </w:r>
      <w:r w:rsidR="004F7E42" w:rsidRPr="000D6C42">
        <w:rPr>
          <w:color w:val="auto"/>
          <w:lang w:val="en-CA"/>
        </w:rPr>
        <w:t xml:space="preserve"> </w:t>
      </w:r>
      <w:r w:rsidR="00A50060" w:rsidRPr="000D6C42">
        <w:rPr>
          <w:color w:val="auto"/>
          <w:lang w:val="en-CA"/>
        </w:rPr>
        <w:t xml:space="preserve"> </w:t>
      </w:r>
      <w:r w:rsidR="0017453F" w:rsidRPr="000D6C42">
        <w:rPr>
          <w:color w:val="auto"/>
          <w:lang w:val="en-CA"/>
        </w:rPr>
        <w:t xml:space="preserve">In </w:t>
      </w:r>
      <w:r w:rsidR="0017453F" w:rsidRPr="000D6C42">
        <w:rPr>
          <w:i/>
          <w:iCs/>
          <w:color w:val="auto"/>
          <w:lang w:val="en-CA"/>
        </w:rPr>
        <w:t>S.A. v. Canada (Minister of Immigration)</w:t>
      </w:r>
      <w:r w:rsidR="0017453F" w:rsidRPr="000D6C42">
        <w:rPr>
          <w:vertAlign w:val="superscript"/>
        </w:rPr>
        <w:footnoteReference w:id="474"/>
      </w:r>
      <w:r w:rsidR="00002DF0" w:rsidRPr="000D6C42">
        <w:rPr>
          <w:color w:val="auto"/>
          <w:lang w:val="en-CA"/>
        </w:rPr>
        <w:t xml:space="preserve">, the Court found error in the decision maker’s failure to </w:t>
      </w:r>
      <w:r w:rsidR="00A50060" w:rsidRPr="000D6C42">
        <w:rPr>
          <w:color w:val="auto"/>
          <w:lang w:val="en-CA"/>
        </w:rPr>
        <w:t xml:space="preserve">consider all the evidence before her and </w:t>
      </w:r>
      <w:r w:rsidR="00002DF0" w:rsidRPr="000D6C42">
        <w:rPr>
          <w:color w:val="auto"/>
          <w:lang w:val="en-CA"/>
        </w:rPr>
        <w:t>provide adequate reasons for refusing to accept a foreign pardon</w:t>
      </w:r>
      <w:r w:rsidR="00BF3149" w:rsidRPr="000D6C42">
        <w:rPr>
          <w:color w:val="auto"/>
          <w:lang w:val="en-CA"/>
        </w:rPr>
        <w:t xml:space="preserve">, </w:t>
      </w:r>
      <w:r w:rsidR="00153C20" w:rsidRPr="000D6C42">
        <w:rPr>
          <w:color w:val="auto"/>
          <w:lang w:val="en-CA"/>
        </w:rPr>
        <w:t>and so</w:t>
      </w:r>
      <w:r w:rsidR="00BF3149" w:rsidRPr="000D6C42">
        <w:rPr>
          <w:color w:val="auto"/>
          <w:lang w:val="en-CA"/>
        </w:rPr>
        <w:t xml:space="preserve"> referred the case back </w:t>
      </w:r>
      <w:r w:rsidR="00153C20" w:rsidRPr="000D6C42">
        <w:rPr>
          <w:color w:val="auto"/>
          <w:lang w:val="en-CA"/>
        </w:rPr>
        <w:t>for</w:t>
      </w:r>
      <w:r w:rsidR="00BF3149" w:rsidRPr="000D6C42">
        <w:rPr>
          <w:color w:val="auto"/>
          <w:lang w:val="en-CA"/>
        </w:rPr>
        <w:t xml:space="preserve"> reconsideration with a different offi</w:t>
      </w:r>
      <w:r w:rsidR="00A50060" w:rsidRPr="000D6C42">
        <w:rPr>
          <w:color w:val="auto"/>
          <w:lang w:val="en-CA"/>
        </w:rPr>
        <w:t>c</w:t>
      </w:r>
      <w:r w:rsidR="00BF3149" w:rsidRPr="000D6C42">
        <w:rPr>
          <w:color w:val="auto"/>
          <w:lang w:val="en-CA"/>
        </w:rPr>
        <w:t xml:space="preserve">er. </w:t>
      </w:r>
    </w:p>
    <w:p w14:paraId="3BF21B59" w14:textId="77777777" w:rsidR="00C10B10" w:rsidRPr="00AA6144" w:rsidRDefault="00C10B10" w:rsidP="00AA6144">
      <w:pPr>
        <w:widowControl/>
        <w:suppressAutoHyphens w:val="0"/>
        <w:spacing w:after="0" w:line="240" w:lineRule="auto"/>
        <w:rPr>
          <w:rFonts w:ascii="Times New Roman" w:hAnsi="Times New Roman"/>
          <w:color w:val="auto"/>
          <w:szCs w:val="18"/>
          <w:lang w:val="en-CA" w:eastAsia="en-US"/>
        </w:rPr>
      </w:pPr>
    </w:p>
    <w:p w14:paraId="356D58B8" w14:textId="77777777" w:rsidR="00A65408" w:rsidRPr="00AA6144" w:rsidRDefault="00A65408" w:rsidP="004C38A9">
      <w:pPr>
        <w:rPr>
          <w:color w:val="auto"/>
          <w:lang w:val="en-CA"/>
        </w:rPr>
      </w:pPr>
      <w:r w:rsidRPr="00AA6144">
        <w:rPr>
          <w:color w:val="auto"/>
          <w:lang w:val="en-CA"/>
        </w:rPr>
        <w:t xml:space="preserve">There have been recent changes to the </w:t>
      </w:r>
      <w:r w:rsidRPr="00AA6144">
        <w:rPr>
          <w:i/>
          <w:color w:val="auto"/>
          <w:lang w:val="en-CA"/>
        </w:rPr>
        <w:t>Criminal Records Act</w:t>
      </w:r>
      <w:r w:rsidRPr="00AA6144">
        <w:rPr>
          <w:color w:val="auto"/>
          <w:lang w:val="en-CA"/>
        </w:rPr>
        <w:t>.</w:t>
      </w:r>
      <w:r w:rsidR="00E95DAB" w:rsidRPr="00AA6144">
        <w:rPr>
          <w:rStyle w:val="FootnoteReference"/>
          <w:color w:val="auto"/>
          <w:lang w:val="en-CA"/>
        </w:rPr>
        <w:footnoteReference w:id="475"/>
      </w:r>
      <w:r w:rsidR="003A2072" w:rsidRPr="00AA6144">
        <w:rPr>
          <w:color w:val="auto"/>
          <w:lang w:val="en-CA"/>
        </w:rPr>
        <w:t xml:space="preserve"> </w:t>
      </w:r>
      <w:r w:rsidR="00E9300A" w:rsidRPr="00AA6144">
        <w:rPr>
          <w:color w:val="auto"/>
          <w:lang w:val="en-CA"/>
        </w:rPr>
        <w:t>The amendments change the term “pardon” to “record suspension</w:t>
      </w:r>
      <w:r w:rsidR="00260C85" w:rsidRPr="00AA6144">
        <w:rPr>
          <w:color w:val="auto"/>
          <w:lang w:val="en-CA"/>
        </w:rPr>
        <w:t>”</w:t>
      </w:r>
      <w:r w:rsidR="00E9300A" w:rsidRPr="00AA6144">
        <w:rPr>
          <w:color w:val="auto"/>
          <w:lang w:val="en-CA"/>
        </w:rPr>
        <w:t xml:space="preserve">. They also extend the ineligibility periods for applications for a record suspension to 5 years for all summary conviction offences and 10 years for all indictable offences. Additionally, the legislative changes make those individuals convicted of sexual offences against minors and those who have been convicted of more than </w:t>
      </w:r>
      <w:r w:rsidR="00260C85" w:rsidRPr="00AA6144">
        <w:rPr>
          <w:color w:val="auto"/>
          <w:lang w:val="en-CA"/>
        </w:rPr>
        <w:t>three</w:t>
      </w:r>
      <w:r w:rsidR="00E9300A" w:rsidRPr="00AA6144">
        <w:rPr>
          <w:color w:val="auto"/>
          <w:lang w:val="en-CA"/>
        </w:rPr>
        <w:t xml:space="preserve"> indictable offences punished by imprisonment for 2 years or more ineligible for a record suspension.</w:t>
      </w:r>
    </w:p>
    <w:p w14:paraId="3EF1632F" w14:textId="77777777" w:rsidR="00A40EE7" w:rsidRPr="00AA6144" w:rsidRDefault="004C38A9" w:rsidP="004C38A9">
      <w:pPr>
        <w:rPr>
          <w:color w:val="auto"/>
          <w:lang w:val="en-CA"/>
        </w:rPr>
      </w:pPr>
      <w:r w:rsidRPr="00AA6144">
        <w:rPr>
          <w:color w:val="auto"/>
          <w:lang w:val="en-CA"/>
        </w:rPr>
        <w:t xml:space="preserve">In Canada, the </w:t>
      </w:r>
      <w:r w:rsidRPr="00AA6144">
        <w:rPr>
          <w:i/>
          <w:color w:val="auto"/>
          <w:lang w:val="en-CA"/>
        </w:rPr>
        <w:t xml:space="preserve">Criminal Code </w:t>
      </w:r>
      <w:r w:rsidRPr="00AA6144">
        <w:rPr>
          <w:color w:val="auto"/>
          <w:lang w:val="en-CA"/>
        </w:rPr>
        <w:t>refers to amnesties under the section 117.14(1)</w:t>
      </w:r>
      <w:r w:rsidR="00495400" w:rsidRPr="00AA6144">
        <w:rPr>
          <w:color w:val="auto"/>
          <w:lang w:val="en-CA"/>
        </w:rPr>
        <w:t xml:space="preserve">. There are two orders which have been enacted called </w:t>
      </w:r>
      <w:r w:rsidRPr="00AA6144">
        <w:rPr>
          <w:i/>
          <w:color w:val="auto"/>
          <w:lang w:val="en-CA"/>
        </w:rPr>
        <w:t>Order Declaring an Amnesty Period</w:t>
      </w:r>
      <w:r w:rsidR="00495400" w:rsidRPr="00AA6144">
        <w:rPr>
          <w:color w:val="auto"/>
          <w:lang w:val="en-CA"/>
        </w:rPr>
        <w:t>.</w:t>
      </w:r>
      <w:r w:rsidRPr="00AA6144">
        <w:rPr>
          <w:color w:val="auto"/>
          <w:vertAlign w:val="superscript"/>
          <w:lang w:val="en-CA"/>
        </w:rPr>
        <w:footnoteReference w:id="476"/>
      </w:r>
      <w:r w:rsidRPr="00AA6144">
        <w:rPr>
          <w:i/>
          <w:color w:val="auto"/>
          <w:lang w:val="en-CA"/>
        </w:rPr>
        <w:t xml:space="preserve"> </w:t>
      </w:r>
      <w:r w:rsidR="00495400" w:rsidRPr="00AA6144">
        <w:rPr>
          <w:color w:val="auto"/>
          <w:lang w:val="en-CA"/>
        </w:rPr>
        <w:t xml:space="preserve">Both </w:t>
      </w:r>
      <w:r w:rsidR="00985A19" w:rsidRPr="00AA6144">
        <w:rPr>
          <w:color w:val="auto"/>
          <w:lang w:val="en-CA"/>
        </w:rPr>
        <w:t>o</w:t>
      </w:r>
      <w:r w:rsidR="00495400" w:rsidRPr="00AA6144">
        <w:rPr>
          <w:color w:val="auto"/>
          <w:lang w:val="en-CA"/>
        </w:rPr>
        <w:t xml:space="preserve">rders relate to handgun possession and do not relate to crimes under international law. There is no amnesty for crimes under international law in Canadian domestic law. </w:t>
      </w:r>
    </w:p>
    <w:p w14:paraId="4D76E1D5" w14:textId="77777777" w:rsidR="00991F0E" w:rsidRPr="00AA6144" w:rsidRDefault="00991F0E" w:rsidP="00991F0E">
      <w:pPr>
        <w:pStyle w:val="Heading1"/>
        <w:rPr>
          <w:color w:val="auto"/>
          <w:lang w:val="en-CA"/>
        </w:rPr>
      </w:pPr>
      <w:bookmarkStart w:id="167" w:name="_Toc193798677"/>
      <w:bookmarkStart w:id="168" w:name="_Toc220954478"/>
      <w:bookmarkStart w:id="169" w:name="_Toc43382761"/>
      <w:r w:rsidRPr="00AA6144">
        <w:rPr>
          <w:color w:val="auto"/>
          <w:lang w:val="en-CA"/>
        </w:rPr>
        <w:t>7. EXTRADITION AND MUTUAL LEGAL ASSISTANCE</w:t>
      </w:r>
      <w:bookmarkEnd w:id="167"/>
      <w:bookmarkEnd w:id="168"/>
      <w:bookmarkEnd w:id="169"/>
    </w:p>
    <w:p w14:paraId="64C28776" w14:textId="77777777" w:rsidR="009E3308" w:rsidRPr="00AA6144" w:rsidRDefault="009E3308" w:rsidP="009E3308">
      <w:pPr>
        <w:pStyle w:val="AIBodyText"/>
        <w:rPr>
          <w:color w:val="auto"/>
          <w:lang w:val="en-CA"/>
        </w:rPr>
      </w:pPr>
      <w:bookmarkStart w:id="170" w:name="_Toc193798678"/>
      <w:bookmarkStart w:id="171" w:name="_Toc220954479"/>
      <w:r w:rsidRPr="00AA6144">
        <w:rPr>
          <w:color w:val="auto"/>
          <w:lang w:val="en-CA"/>
        </w:rPr>
        <w:t xml:space="preserve">As discussed below, there are a number of obstacles to extradition (Section 7.1) and mutual legal assistance (Section 7.2) that may limit the ability of Canada to obtain and to provide effective cooperation with other states in the investigation and prosecution of crimes under international law. In addition, there are </w:t>
      </w:r>
      <w:proofErr w:type="gramStart"/>
      <w:r w:rsidRPr="00AA6144">
        <w:rPr>
          <w:color w:val="auto"/>
          <w:lang w:val="en-CA"/>
        </w:rPr>
        <w:t>a number of</w:t>
      </w:r>
      <w:proofErr w:type="gramEnd"/>
      <w:r w:rsidRPr="00AA6144">
        <w:rPr>
          <w:color w:val="auto"/>
          <w:lang w:val="en-CA"/>
        </w:rPr>
        <w:t xml:space="preserve"> inadequate human rights safeguards governing extradition and mutual legal assistance.  </w:t>
      </w:r>
    </w:p>
    <w:p w14:paraId="15D3A6F7" w14:textId="77777777" w:rsidR="009E3308" w:rsidRPr="00AA6144" w:rsidRDefault="009E3308" w:rsidP="009E3308">
      <w:pPr>
        <w:pStyle w:val="Heading2"/>
        <w:rPr>
          <w:color w:val="auto"/>
          <w:lang w:val="en-CA"/>
        </w:rPr>
      </w:pPr>
      <w:bookmarkStart w:id="172" w:name="_Toc294914654"/>
      <w:bookmarkStart w:id="173" w:name="_Toc43382762"/>
      <w:r w:rsidRPr="00AA6144">
        <w:rPr>
          <w:color w:val="auto"/>
          <w:lang w:val="en-CA"/>
        </w:rPr>
        <w:t>7.1. Extradition</w:t>
      </w:r>
      <w:bookmarkEnd w:id="170"/>
      <w:bookmarkEnd w:id="171"/>
      <w:bookmarkEnd w:id="172"/>
      <w:bookmarkEnd w:id="173"/>
    </w:p>
    <w:p w14:paraId="73B91730" w14:textId="77777777" w:rsidR="009E3308" w:rsidRPr="00AA6144" w:rsidRDefault="009E3308" w:rsidP="009E3308">
      <w:pPr>
        <w:pStyle w:val="AIBodyText"/>
        <w:numPr>
          <w:ilvl w:val="0"/>
          <w:numId w:val="1"/>
        </w:numPr>
        <w:spacing w:after="0"/>
        <w:rPr>
          <w:color w:val="auto"/>
          <w:lang w:val="en-CA"/>
        </w:rPr>
      </w:pPr>
      <w:bookmarkStart w:id="174" w:name="_Toc193798680"/>
      <w:bookmarkStart w:id="175" w:name="_Toc220954481"/>
    </w:p>
    <w:p w14:paraId="1EBB74E4" w14:textId="3F06F460" w:rsidR="00A339DA" w:rsidRPr="00AA6144" w:rsidRDefault="009E3308" w:rsidP="00A339DA">
      <w:pPr>
        <w:pStyle w:val="AIBodyText"/>
        <w:rPr>
          <w:rStyle w:val="AIBodyTextChar"/>
          <w:color w:val="auto"/>
          <w:lang w:val="en-CA"/>
        </w:rPr>
      </w:pPr>
      <w:r w:rsidRPr="00AA6144">
        <w:rPr>
          <w:color w:val="auto"/>
          <w:lang w:val="en-CA"/>
        </w:rPr>
        <w:t xml:space="preserve">Canada faces various obstacles, both </w:t>
      </w:r>
      <w:r w:rsidR="008645DB" w:rsidRPr="00AA6144">
        <w:rPr>
          <w:color w:val="auto"/>
          <w:lang w:val="en-CA"/>
        </w:rPr>
        <w:t>as the state requesting extradition</w:t>
      </w:r>
      <w:r w:rsidR="007B59F9" w:rsidRPr="00AA6144">
        <w:rPr>
          <w:color w:val="auto"/>
          <w:lang w:val="en-CA"/>
        </w:rPr>
        <w:t xml:space="preserve"> of </w:t>
      </w:r>
      <w:r w:rsidRPr="00AA6144">
        <w:rPr>
          <w:color w:val="auto"/>
          <w:lang w:val="en-CA"/>
        </w:rPr>
        <w:t>persons suspected of committing crimes under international law</w:t>
      </w:r>
      <w:r w:rsidR="007B59F9" w:rsidRPr="00AA6144">
        <w:rPr>
          <w:color w:val="auto"/>
          <w:lang w:val="en-CA"/>
        </w:rPr>
        <w:t xml:space="preserve">, </w:t>
      </w:r>
      <w:r w:rsidRPr="00AA6144">
        <w:rPr>
          <w:color w:val="auto"/>
          <w:lang w:val="en-CA"/>
        </w:rPr>
        <w:t xml:space="preserve">and </w:t>
      </w:r>
      <w:r w:rsidR="007B59F9" w:rsidRPr="00AA6144">
        <w:rPr>
          <w:color w:val="auto"/>
          <w:lang w:val="en-CA"/>
        </w:rPr>
        <w:t xml:space="preserve">as the requested state to extradite suspects from Canada. </w:t>
      </w:r>
      <w:r w:rsidRPr="00AA6144">
        <w:rPr>
          <w:color w:val="auto"/>
          <w:lang w:val="en-CA"/>
        </w:rPr>
        <w:t xml:space="preserve"> </w:t>
      </w:r>
      <w:r w:rsidR="00E02659" w:rsidRPr="00AA6144">
        <w:rPr>
          <w:color w:val="auto"/>
          <w:lang w:val="en-CA"/>
        </w:rPr>
        <w:t>Extradition requests are</w:t>
      </w:r>
      <w:r w:rsidR="00A339DA" w:rsidRPr="00AA6144">
        <w:rPr>
          <w:color w:val="auto"/>
          <w:lang w:val="en-CA"/>
        </w:rPr>
        <w:t xml:space="preserve"> generally regulated by Canada’s </w:t>
      </w:r>
      <w:r w:rsidR="00A339DA" w:rsidRPr="00AA6144">
        <w:rPr>
          <w:i/>
          <w:color w:val="auto"/>
          <w:lang w:val="en-CA"/>
        </w:rPr>
        <w:t>Extradition Act</w:t>
      </w:r>
      <w:r w:rsidR="00A339DA" w:rsidRPr="00AA6144">
        <w:rPr>
          <w:color w:val="auto"/>
          <w:lang w:val="en-CA"/>
        </w:rPr>
        <w:t>.</w:t>
      </w:r>
      <w:r w:rsidR="00A339DA" w:rsidRPr="00AA6144">
        <w:rPr>
          <w:rStyle w:val="FootnoteReference"/>
          <w:color w:val="auto"/>
          <w:lang w:val="en-CA"/>
        </w:rPr>
        <w:t xml:space="preserve"> </w:t>
      </w:r>
      <w:r w:rsidR="00A339DA" w:rsidRPr="00AA6144">
        <w:rPr>
          <w:rStyle w:val="FootnoteReference"/>
          <w:color w:val="auto"/>
          <w:lang w:val="en-CA"/>
        </w:rPr>
        <w:footnoteReference w:id="477"/>
      </w:r>
      <w:r w:rsidR="00BB613A" w:rsidRPr="00AA6144">
        <w:rPr>
          <w:color w:val="auto"/>
          <w:lang w:val="en-CA"/>
        </w:rPr>
        <w:t xml:space="preserve"> </w:t>
      </w:r>
      <w:r w:rsidR="005E65EB" w:rsidRPr="00AA6144">
        <w:rPr>
          <w:color w:val="auto"/>
          <w:lang w:val="en-CA"/>
        </w:rPr>
        <w:t>They are also</w:t>
      </w:r>
      <w:r w:rsidR="00A339DA" w:rsidRPr="00AA6144">
        <w:rPr>
          <w:color w:val="auto"/>
          <w:lang w:val="en-CA"/>
        </w:rPr>
        <w:t xml:space="preserve"> subject to any applicable bilateral extradition treaties,</w:t>
      </w:r>
      <w:r w:rsidR="00A339DA" w:rsidRPr="00AA6144">
        <w:rPr>
          <w:rStyle w:val="FootnoteReference"/>
          <w:color w:val="auto"/>
          <w:lang w:val="en-CA"/>
        </w:rPr>
        <w:footnoteReference w:id="478"/>
      </w:r>
      <w:r w:rsidR="00A339DA" w:rsidRPr="00AA6144">
        <w:rPr>
          <w:color w:val="auto"/>
          <w:lang w:val="en-CA"/>
        </w:rPr>
        <w:t xml:space="preserve"> or multilateral treaties targeted to specific categories of criminal behaviour, </w:t>
      </w:r>
      <w:r w:rsidR="00985A19" w:rsidRPr="00AA6144">
        <w:rPr>
          <w:color w:val="auto"/>
          <w:lang w:val="en-CA"/>
        </w:rPr>
        <w:t>such as the</w:t>
      </w:r>
      <w:r w:rsidR="00A339DA" w:rsidRPr="00AA6144">
        <w:rPr>
          <w:color w:val="auto"/>
          <w:lang w:val="en-CA"/>
        </w:rPr>
        <w:t xml:space="preserve"> multilateral treaties dedicated to prosecuting acts of international terroris</w:t>
      </w:r>
      <w:r w:rsidR="00985A19" w:rsidRPr="00AA6144">
        <w:rPr>
          <w:color w:val="auto"/>
          <w:lang w:val="en-CA"/>
        </w:rPr>
        <w:t xml:space="preserve">m, human </w:t>
      </w:r>
      <w:r w:rsidR="00A339DA" w:rsidRPr="00AA6144">
        <w:rPr>
          <w:color w:val="auto"/>
          <w:lang w:val="en-CA"/>
        </w:rPr>
        <w:t>trafficking</w:t>
      </w:r>
      <w:r w:rsidR="00985A19" w:rsidRPr="00AA6144">
        <w:rPr>
          <w:color w:val="auto"/>
          <w:lang w:val="en-CA"/>
        </w:rPr>
        <w:t xml:space="preserve"> and trafficking in </w:t>
      </w:r>
      <w:r w:rsidR="00A339DA" w:rsidRPr="00AA6144">
        <w:rPr>
          <w:color w:val="auto"/>
          <w:lang w:val="en-CA"/>
        </w:rPr>
        <w:t>narcotics.</w:t>
      </w:r>
      <w:r w:rsidR="00A339DA" w:rsidRPr="00AA6144">
        <w:rPr>
          <w:rStyle w:val="FootnoteReference"/>
          <w:color w:val="auto"/>
          <w:lang w:val="en-CA"/>
        </w:rPr>
        <w:footnoteReference w:id="479"/>
      </w:r>
      <w:r w:rsidR="00A339DA" w:rsidRPr="00AA6144">
        <w:rPr>
          <w:color w:val="auto"/>
          <w:lang w:val="en-CA"/>
        </w:rPr>
        <w:t xml:space="preserve">  These treaties prevail over the </w:t>
      </w:r>
      <w:r w:rsidR="00A339DA" w:rsidRPr="00AA6144">
        <w:rPr>
          <w:i/>
          <w:color w:val="auto"/>
          <w:lang w:val="en-CA"/>
        </w:rPr>
        <w:t>Extradition Act</w:t>
      </w:r>
      <w:r w:rsidR="00A339DA" w:rsidRPr="00AA6144">
        <w:rPr>
          <w:color w:val="auto"/>
          <w:lang w:val="en-CA"/>
        </w:rPr>
        <w:t xml:space="preserve"> to the extent that there are any inconsistencies between the two.</w:t>
      </w:r>
      <w:r w:rsidR="009A19C5" w:rsidRPr="00AA6144">
        <w:rPr>
          <w:rStyle w:val="FootnoteReference"/>
          <w:color w:val="auto"/>
          <w:lang w:val="en-CA"/>
        </w:rPr>
        <w:footnoteReference w:id="480"/>
      </w:r>
      <w:r w:rsidR="00A339DA" w:rsidRPr="00AA6144">
        <w:rPr>
          <w:color w:val="auto"/>
          <w:lang w:val="en-CA"/>
        </w:rPr>
        <w:t xml:space="preserve">  Extradition requests can also be made in the absence of a treaty by special agreement.</w:t>
      </w:r>
      <w:r w:rsidR="00A339DA" w:rsidRPr="00AA6144">
        <w:rPr>
          <w:rStyle w:val="FootnoteReference"/>
          <w:color w:val="auto"/>
          <w:lang w:val="en-CA"/>
        </w:rPr>
        <w:footnoteReference w:id="481"/>
      </w:r>
    </w:p>
    <w:p w14:paraId="18800A66" w14:textId="77777777" w:rsidR="00D962E2" w:rsidRPr="00AA6144" w:rsidRDefault="00D35C87" w:rsidP="009E3308">
      <w:pPr>
        <w:pStyle w:val="AIBodyText"/>
        <w:rPr>
          <w:color w:val="auto"/>
          <w:lang w:val="en-CA"/>
        </w:rPr>
      </w:pPr>
      <w:r w:rsidRPr="00AA6144">
        <w:rPr>
          <w:color w:val="auto"/>
          <w:lang w:val="en-CA"/>
        </w:rPr>
        <w:t xml:space="preserve">The Minister of Justice decides whether to grant requests to extradite from Canada, as well as the decision to request extradition to </w:t>
      </w:r>
      <w:r w:rsidR="00BD5907" w:rsidRPr="00AA6144">
        <w:rPr>
          <w:color w:val="auto"/>
          <w:lang w:val="en-CA"/>
        </w:rPr>
        <w:t>Canada. The</w:t>
      </w:r>
      <w:r w:rsidR="009E3308" w:rsidRPr="00AA6144">
        <w:rPr>
          <w:color w:val="auto"/>
          <w:lang w:val="en-CA"/>
        </w:rPr>
        <w:t xml:space="preserve"> </w:t>
      </w:r>
      <w:r w:rsidR="009E3308" w:rsidRPr="00AA6144">
        <w:rPr>
          <w:i/>
          <w:color w:val="auto"/>
          <w:lang w:val="en-CA"/>
        </w:rPr>
        <w:t xml:space="preserve">Extradition Act </w:t>
      </w:r>
      <w:r w:rsidR="009E3308" w:rsidRPr="00AA6144">
        <w:rPr>
          <w:color w:val="auto"/>
          <w:lang w:val="en-CA"/>
        </w:rPr>
        <w:t xml:space="preserve">distinguishes between the Attorney General of Canada and the Minister of Justice at certain stages of the process. Because the Minister of Justice is also the Attorney General of Canada, the same person </w:t>
      </w:r>
      <w:r w:rsidRPr="00AA6144">
        <w:rPr>
          <w:color w:val="auto"/>
          <w:lang w:val="en-CA"/>
        </w:rPr>
        <w:t xml:space="preserve">acts </w:t>
      </w:r>
      <w:r w:rsidR="009E3308" w:rsidRPr="00AA6144">
        <w:rPr>
          <w:color w:val="auto"/>
          <w:lang w:val="en-CA"/>
        </w:rPr>
        <w:t xml:space="preserve">in two different capacities, </w:t>
      </w:r>
      <w:r w:rsidR="00BD5907" w:rsidRPr="00AA6144">
        <w:rPr>
          <w:color w:val="auto"/>
          <w:lang w:val="en-CA"/>
        </w:rPr>
        <w:t xml:space="preserve">and </w:t>
      </w:r>
      <w:r w:rsidR="009E3308" w:rsidRPr="00AA6144">
        <w:rPr>
          <w:color w:val="auto"/>
          <w:lang w:val="en-CA"/>
        </w:rPr>
        <w:t xml:space="preserve">responsibility for the various capacities are delegated to subordinate offices. </w:t>
      </w:r>
    </w:p>
    <w:p w14:paraId="031BAE0B" w14:textId="77777777" w:rsidR="00A339DA" w:rsidRPr="00AA6144" w:rsidRDefault="00A339DA" w:rsidP="002D5FB1">
      <w:pPr>
        <w:pStyle w:val="AIBodyText"/>
        <w:rPr>
          <w:color w:val="auto"/>
          <w:lang w:val="en-CA"/>
        </w:rPr>
      </w:pPr>
      <w:r w:rsidRPr="00AA6144">
        <w:rPr>
          <w:b/>
          <w:i/>
          <w:color w:val="auto"/>
          <w:lang w:val="en-CA"/>
        </w:rPr>
        <w:t>Requesting extradition to Canada.</w:t>
      </w:r>
      <w:r w:rsidRPr="00AA6144">
        <w:rPr>
          <w:color w:val="auto"/>
          <w:lang w:val="en-CA"/>
        </w:rPr>
        <w:t xml:space="preserve"> </w:t>
      </w:r>
      <w:r w:rsidRPr="00AA6144">
        <w:rPr>
          <w:color w:val="auto"/>
          <w:szCs w:val="18"/>
          <w:lang w:val="en-CA"/>
        </w:rPr>
        <w:t xml:space="preserve">Under the </w:t>
      </w:r>
      <w:r w:rsidRPr="00AA6144">
        <w:rPr>
          <w:i/>
          <w:color w:val="auto"/>
          <w:lang w:val="en-CA"/>
        </w:rPr>
        <w:t>Extradition Act</w:t>
      </w:r>
      <w:r w:rsidRPr="00AA6144">
        <w:rPr>
          <w:color w:val="auto"/>
          <w:lang w:val="en-CA"/>
        </w:rPr>
        <w:t>,</w:t>
      </w:r>
      <w:r w:rsidRPr="00AA6144">
        <w:rPr>
          <w:color w:val="auto"/>
          <w:szCs w:val="18"/>
          <w:lang w:val="en-CA"/>
        </w:rPr>
        <w:t xml:space="preserve"> the Minister of Justice, at the request of a </w:t>
      </w:r>
      <w:r w:rsidR="00AB6150" w:rsidRPr="00AA6144">
        <w:rPr>
          <w:color w:val="auto"/>
          <w:szCs w:val="18"/>
          <w:lang w:val="en-CA"/>
        </w:rPr>
        <w:t>“</w:t>
      </w:r>
      <w:r w:rsidRPr="00AA6144">
        <w:rPr>
          <w:color w:val="auto"/>
          <w:szCs w:val="18"/>
          <w:lang w:val="en-CA"/>
        </w:rPr>
        <w:t>competent authorit</w:t>
      </w:r>
      <w:r w:rsidR="00AB6150" w:rsidRPr="00AA6144">
        <w:rPr>
          <w:color w:val="auto"/>
          <w:szCs w:val="18"/>
          <w:lang w:val="en-CA"/>
        </w:rPr>
        <w:t>y”</w:t>
      </w:r>
      <w:r w:rsidRPr="00AA6144">
        <w:rPr>
          <w:color w:val="auto"/>
          <w:szCs w:val="18"/>
          <w:lang w:val="en-CA"/>
        </w:rPr>
        <w:t xml:space="preserve">, makes an extradition request </w:t>
      </w:r>
      <w:r w:rsidR="00985A19" w:rsidRPr="00AA6144">
        <w:rPr>
          <w:color w:val="auto"/>
          <w:szCs w:val="18"/>
          <w:lang w:val="en-CA"/>
        </w:rPr>
        <w:t>of</w:t>
      </w:r>
      <w:r w:rsidRPr="00AA6144">
        <w:rPr>
          <w:color w:val="auto"/>
          <w:szCs w:val="18"/>
          <w:lang w:val="en-CA"/>
        </w:rPr>
        <w:t xml:space="preserve"> a foreign state to </w:t>
      </w:r>
      <w:r w:rsidR="00AB6150" w:rsidRPr="00AA6144">
        <w:rPr>
          <w:color w:val="auto"/>
          <w:szCs w:val="18"/>
          <w:lang w:val="en-CA"/>
        </w:rPr>
        <w:t>send</w:t>
      </w:r>
      <w:r w:rsidRPr="00AA6144">
        <w:rPr>
          <w:color w:val="auto"/>
          <w:szCs w:val="18"/>
          <w:lang w:val="en-CA"/>
        </w:rPr>
        <w:t xml:space="preserve"> </w:t>
      </w:r>
      <w:r w:rsidR="00AB6150" w:rsidRPr="00AA6144">
        <w:rPr>
          <w:color w:val="auto"/>
          <w:szCs w:val="18"/>
          <w:lang w:val="en-CA"/>
        </w:rPr>
        <w:t>a</w:t>
      </w:r>
      <w:r w:rsidRPr="00AA6144">
        <w:rPr>
          <w:color w:val="auto"/>
          <w:szCs w:val="18"/>
          <w:lang w:val="en-CA"/>
        </w:rPr>
        <w:t xml:space="preserve"> person </w:t>
      </w:r>
      <w:r w:rsidR="00AB6150" w:rsidRPr="00AA6144">
        <w:rPr>
          <w:color w:val="auto"/>
          <w:szCs w:val="18"/>
          <w:lang w:val="en-CA"/>
        </w:rPr>
        <w:t>to</w:t>
      </w:r>
      <w:r w:rsidRPr="00AA6144">
        <w:rPr>
          <w:color w:val="auto"/>
          <w:szCs w:val="18"/>
          <w:lang w:val="en-CA"/>
        </w:rPr>
        <w:t xml:space="preserve"> Canada</w:t>
      </w:r>
      <w:r w:rsidR="00AB6150" w:rsidRPr="00AA6144">
        <w:rPr>
          <w:color w:val="auto"/>
          <w:szCs w:val="18"/>
          <w:lang w:val="en-CA"/>
        </w:rPr>
        <w:t xml:space="preserve"> for the purpose of prosecution, enforcement of a sentence, or enforcement of a disposition under </w:t>
      </w:r>
      <w:r w:rsidRPr="00AA6144">
        <w:rPr>
          <w:color w:val="auto"/>
          <w:szCs w:val="18"/>
          <w:lang w:val="en-CA"/>
        </w:rPr>
        <w:t xml:space="preserve">the </w:t>
      </w:r>
      <w:r w:rsidRPr="00AA6144">
        <w:rPr>
          <w:i/>
          <w:color w:val="auto"/>
          <w:szCs w:val="18"/>
          <w:lang w:val="en-CA"/>
        </w:rPr>
        <w:t>Young Offenders Act</w:t>
      </w:r>
      <w:r w:rsidRPr="00AA6144">
        <w:rPr>
          <w:color w:val="auto"/>
          <w:szCs w:val="18"/>
          <w:lang w:val="en-CA"/>
        </w:rPr>
        <w:t>.</w:t>
      </w:r>
      <w:r w:rsidRPr="00AA6144">
        <w:rPr>
          <w:rStyle w:val="FootnoteReference"/>
          <w:color w:val="auto"/>
          <w:szCs w:val="18"/>
          <w:lang w:val="en-CA"/>
        </w:rPr>
        <w:footnoteReference w:id="482"/>
      </w:r>
      <w:r w:rsidRPr="00AA6144">
        <w:rPr>
          <w:color w:val="auto"/>
          <w:szCs w:val="18"/>
          <w:lang w:val="en-CA"/>
        </w:rPr>
        <w:t xml:space="preserve"> Those considered to be a “competent authority” for the purpose of requesting extradition</w:t>
      </w:r>
      <w:r w:rsidR="00A605D8" w:rsidRPr="00AA6144">
        <w:rPr>
          <w:color w:val="auto"/>
          <w:szCs w:val="18"/>
          <w:lang w:val="en-CA"/>
        </w:rPr>
        <w:t xml:space="preserve"> to Canad</w:t>
      </w:r>
      <w:r w:rsidR="00FA7B78" w:rsidRPr="00AA6144">
        <w:rPr>
          <w:color w:val="auto"/>
          <w:szCs w:val="18"/>
          <w:lang w:val="en-CA"/>
        </w:rPr>
        <w:t>a</w:t>
      </w:r>
      <w:r w:rsidRPr="00AA6144">
        <w:rPr>
          <w:color w:val="auto"/>
          <w:szCs w:val="18"/>
          <w:lang w:val="en-CA"/>
        </w:rPr>
        <w:t xml:space="preserve"> include: the Attorney General of Canada (</w:t>
      </w:r>
      <w:r w:rsidR="00AB6150" w:rsidRPr="00AA6144">
        <w:rPr>
          <w:color w:val="auto"/>
          <w:szCs w:val="18"/>
          <w:lang w:val="en-CA"/>
        </w:rPr>
        <w:t>often the</w:t>
      </w:r>
      <w:r w:rsidRPr="00AA6144">
        <w:rPr>
          <w:color w:val="auto"/>
          <w:szCs w:val="18"/>
          <w:lang w:val="en-CA"/>
        </w:rPr>
        <w:t xml:space="preserve"> case </w:t>
      </w:r>
      <w:r w:rsidR="00AB6150" w:rsidRPr="00AA6144">
        <w:rPr>
          <w:color w:val="auto"/>
          <w:szCs w:val="18"/>
          <w:lang w:val="en-CA"/>
        </w:rPr>
        <w:t xml:space="preserve">for </w:t>
      </w:r>
      <w:r w:rsidRPr="00AA6144">
        <w:rPr>
          <w:color w:val="auto"/>
          <w:szCs w:val="18"/>
          <w:lang w:val="en-CA"/>
        </w:rPr>
        <w:t>crimes of international concern</w:t>
      </w:r>
      <w:r w:rsidR="00FC6B61" w:rsidRPr="00AA6144">
        <w:rPr>
          <w:color w:val="auto"/>
          <w:szCs w:val="18"/>
          <w:lang w:val="en-CA"/>
        </w:rPr>
        <w:t>)</w:t>
      </w:r>
      <w:r w:rsidRPr="00AA6144">
        <w:rPr>
          <w:color w:val="auto"/>
          <w:szCs w:val="18"/>
          <w:lang w:val="en-CA"/>
        </w:rPr>
        <w:t>;</w:t>
      </w:r>
      <w:r w:rsidR="00AB6150" w:rsidRPr="00AA6144">
        <w:rPr>
          <w:color w:val="auto"/>
          <w:szCs w:val="18"/>
          <w:lang w:val="en-CA"/>
        </w:rPr>
        <w:t xml:space="preserve"> a provincial Attorney General; </w:t>
      </w:r>
      <w:r w:rsidRPr="00AA6144">
        <w:rPr>
          <w:color w:val="auto"/>
          <w:szCs w:val="18"/>
          <w:lang w:val="en-CA"/>
        </w:rPr>
        <w:t xml:space="preserve">the provincial minister responsible for corrections (in the case of enforcement of a prison sentence); or the </w:t>
      </w:r>
      <w:r w:rsidR="00AB6150" w:rsidRPr="00AA6144">
        <w:rPr>
          <w:color w:val="auto"/>
          <w:szCs w:val="18"/>
          <w:lang w:val="en-CA"/>
        </w:rPr>
        <w:t xml:space="preserve">federal </w:t>
      </w:r>
      <w:r w:rsidRPr="00AA6144">
        <w:rPr>
          <w:color w:val="auto"/>
          <w:szCs w:val="18"/>
          <w:lang w:val="en-CA"/>
        </w:rPr>
        <w:t>Minister of Public Safety and Emergency Preparedness (in the case of young persons).</w:t>
      </w:r>
      <w:r w:rsidRPr="00AA6144">
        <w:rPr>
          <w:rStyle w:val="FootnoteReference"/>
          <w:color w:val="auto"/>
          <w:szCs w:val="18"/>
          <w:lang w:val="en-CA"/>
        </w:rPr>
        <w:footnoteReference w:id="483"/>
      </w:r>
      <w:r w:rsidRPr="00AA6144">
        <w:rPr>
          <w:color w:val="auto"/>
          <w:szCs w:val="18"/>
          <w:lang w:val="en-CA"/>
        </w:rPr>
        <w:t xml:space="preserve">  </w:t>
      </w:r>
    </w:p>
    <w:p w14:paraId="57F09E4E" w14:textId="77777777" w:rsidR="00A339DA" w:rsidRPr="00AA6144" w:rsidRDefault="00A339DA" w:rsidP="00A339DA">
      <w:pPr>
        <w:rPr>
          <w:rStyle w:val="verdana"/>
          <w:color w:val="auto"/>
          <w:lang w:val="en-CA"/>
        </w:rPr>
      </w:pPr>
      <w:r w:rsidRPr="00AA6144">
        <w:rPr>
          <w:rStyle w:val="verdana"/>
          <w:color w:val="auto"/>
          <w:lang w:val="en-CA"/>
        </w:rPr>
        <w:t xml:space="preserve">To support a request for extradition with evidence, a competent authority may seek an </w:t>
      </w:r>
      <w:r w:rsidRPr="00AA6144">
        <w:rPr>
          <w:rStyle w:val="italic"/>
          <w:i/>
          <w:color w:val="auto"/>
          <w:lang w:val="en-CA"/>
        </w:rPr>
        <w:t xml:space="preserve">ex </w:t>
      </w:r>
      <w:proofErr w:type="spellStart"/>
      <w:r w:rsidRPr="00AA6144">
        <w:rPr>
          <w:rStyle w:val="italic"/>
          <w:i/>
          <w:color w:val="auto"/>
          <w:lang w:val="en-CA"/>
        </w:rPr>
        <w:t>parte</w:t>
      </w:r>
      <w:proofErr w:type="spellEnd"/>
      <w:r w:rsidRPr="00AA6144">
        <w:rPr>
          <w:rStyle w:val="verdana"/>
          <w:i/>
          <w:color w:val="auto"/>
          <w:lang w:val="en-CA"/>
        </w:rPr>
        <w:t xml:space="preserve"> </w:t>
      </w:r>
      <w:r w:rsidRPr="00AA6144">
        <w:rPr>
          <w:rStyle w:val="verdana"/>
          <w:color w:val="auto"/>
          <w:lang w:val="en-CA"/>
        </w:rPr>
        <w:t>order</w:t>
      </w:r>
      <w:r w:rsidR="00AB6150" w:rsidRPr="00AA6144">
        <w:rPr>
          <w:rStyle w:val="verdana"/>
          <w:color w:val="auto"/>
          <w:lang w:val="en-CA"/>
        </w:rPr>
        <w:t>,</w:t>
      </w:r>
      <w:r w:rsidRPr="00AA6144">
        <w:rPr>
          <w:rStyle w:val="verdana"/>
          <w:color w:val="auto"/>
          <w:lang w:val="en-CA"/>
        </w:rPr>
        <w:t xml:space="preserve"> from the Superior Court in the province in which the request is originating, to secure the attendance of witnesses; secure the production of data in any form; receive and record the evidence; and certify or authenticate the evidence.</w:t>
      </w:r>
      <w:r w:rsidRPr="00AA6144">
        <w:rPr>
          <w:rStyle w:val="FootnoteReference"/>
          <w:color w:val="auto"/>
          <w:lang w:val="en-CA"/>
        </w:rPr>
        <w:footnoteReference w:id="484"/>
      </w:r>
      <w:r w:rsidRPr="00AA6144">
        <w:rPr>
          <w:rStyle w:val="verdana"/>
          <w:color w:val="auto"/>
          <w:lang w:val="en-CA"/>
        </w:rPr>
        <w:t xml:space="preserve"> Part XXII of the </w:t>
      </w:r>
      <w:r w:rsidRPr="00AA6144">
        <w:rPr>
          <w:rStyle w:val="verdana"/>
          <w:i/>
          <w:color w:val="auto"/>
          <w:lang w:val="en-CA"/>
        </w:rPr>
        <w:t xml:space="preserve">Criminal Code </w:t>
      </w:r>
      <w:r w:rsidRPr="00AA6144">
        <w:rPr>
          <w:rStyle w:val="verdana"/>
          <w:color w:val="auto"/>
          <w:lang w:val="en-CA"/>
        </w:rPr>
        <w:t>regarding the procedures applicable to procuring the attendance of persons required to give evidence, applies to these orders.</w:t>
      </w:r>
      <w:r w:rsidRPr="00AA6144">
        <w:rPr>
          <w:rStyle w:val="FootnoteReference"/>
          <w:color w:val="auto"/>
          <w:lang w:val="en-CA"/>
        </w:rPr>
        <w:footnoteReference w:id="485"/>
      </w:r>
      <w:r w:rsidRPr="00AA6144">
        <w:rPr>
          <w:rStyle w:val="verdana"/>
          <w:color w:val="auto"/>
          <w:lang w:val="en-CA"/>
        </w:rPr>
        <w:t xml:space="preserve"> </w:t>
      </w:r>
      <w:r w:rsidRPr="00AA6144">
        <w:rPr>
          <w:color w:val="auto"/>
          <w:szCs w:val="18"/>
          <w:lang w:val="en-CA"/>
        </w:rPr>
        <w:t>The Minister of Justice retains the sole discretion to make the request of the appropriate state or entity,</w:t>
      </w:r>
      <w:r w:rsidRPr="00AA6144">
        <w:rPr>
          <w:rStyle w:val="FootnoteReference"/>
          <w:color w:val="auto"/>
          <w:szCs w:val="18"/>
          <w:lang w:val="en-CA"/>
        </w:rPr>
        <w:t xml:space="preserve"> </w:t>
      </w:r>
      <w:r w:rsidRPr="00AA6144">
        <w:rPr>
          <w:rStyle w:val="FootnoteReference"/>
          <w:color w:val="auto"/>
          <w:szCs w:val="18"/>
          <w:lang w:val="en-CA"/>
        </w:rPr>
        <w:footnoteReference w:id="486"/>
      </w:r>
      <w:r w:rsidRPr="00AA6144">
        <w:rPr>
          <w:color w:val="auto"/>
          <w:szCs w:val="18"/>
          <w:lang w:val="en-CA"/>
        </w:rPr>
        <w:t xml:space="preserve"> whether it is an extradition partner or not.</w:t>
      </w:r>
      <w:r w:rsidRPr="00AA6144">
        <w:rPr>
          <w:rStyle w:val="FootnoteReference"/>
          <w:color w:val="auto"/>
          <w:szCs w:val="18"/>
          <w:lang w:val="en-CA"/>
        </w:rPr>
        <w:footnoteReference w:id="487"/>
      </w:r>
    </w:p>
    <w:p w14:paraId="44F60D06" w14:textId="77777777" w:rsidR="00D918AE" w:rsidRPr="00AA6144" w:rsidRDefault="00A339DA" w:rsidP="00A339DA">
      <w:pPr>
        <w:rPr>
          <w:rStyle w:val="verdana"/>
          <w:color w:val="auto"/>
          <w:lang w:val="en-CA"/>
        </w:rPr>
      </w:pPr>
      <w:r w:rsidRPr="00AA6144">
        <w:rPr>
          <w:color w:val="auto"/>
          <w:szCs w:val="18"/>
          <w:lang w:val="en-CA"/>
        </w:rPr>
        <w:t xml:space="preserve">In making an extradition request, </w:t>
      </w:r>
      <w:r w:rsidRPr="00AA6144">
        <w:rPr>
          <w:rStyle w:val="verdana"/>
          <w:color w:val="auto"/>
          <w:lang w:val="en-CA"/>
        </w:rPr>
        <w:t xml:space="preserve">Canada is bound by the definition of extraditable conduct established by any applicable extradition agreement, whether that conduct is defined in terms of punishment or by inclusion as an offence on a list or schedule (see discussion below in Section 7.1.1.3). For example, </w:t>
      </w:r>
      <w:r w:rsidRPr="00AA6144">
        <w:rPr>
          <w:color w:val="auto"/>
          <w:szCs w:val="18"/>
          <w:lang w:val="en-CA"/>
        </w:rPr>
        <w:t xml:space="preserve">in the Treaty on Extradition </w:t>
      </w:r>
      <w:r w:rsidR="00952328" w:rsidRPr="00AA6144">
        <w:rPr>
          <w:color w:val="auto"/>
          <w:szCs w:val="18"/>
          <w:lang w:val="en-CA"/>
        </w:rPr>
        <w:t>b</w:t>
      </w:r>
      <w:r w:rsidRPr="00AA6144">
        <w:rPr>
          <w:color w:val="auto"/>
          <w:szCs w:val="18"/>
          <w:lang w:val="en-CA"/>
        </w:rPr>
        <w:t>etween</w:t>
      </w:r>
      <w:r w:rsidR="00952328" w:rsidRPr="00AA6144">
        <w:rPr>
          <w:color w:val="auto"/>
          <w:szCs w:val="18"/>
          <w:lang w:val="en-CA"/>
        </w:rPr>
        <w:t xml:space="preserve"> the Government of</w:t>
      </w:r>
      <w:r w:rsidRPr="00AA6144">
        <w:rPr>
          <w:color w:val="auto"/>
          <w:szCs w:val="18"/>
          <w:lang w:val="en-CA"/>
        </w:rPr>
        <w:t xml:space="preserve"> Canada and the </w:t>
      </w:r>
      <w:r w:rsidR="00952328" w:rsidRPr="00AA6144">
        <w:rPr>
          <w:color w:val="auto"/>
          <w:szCs w:val="18"/>
          <w:lang w:val="en-CA"/>
        </w:rPr>
        <w:t>Government of the U</w:t>
      </w:r>
      <w:r w:rsidRPr="00AA6144">
        <w:rPr>
          <w:color w:val="auto"/>
          <w:szCs w:val="18"/>
          <w:lang w:val="en-CA"/>
        </w:rPr>
        <w:t>nited States of America, any offences that carry a sentence of one-year imprisonment in both Canada and the United States is considered extraditable conduct.</w:t>
      </w:r>
      <w:r w:rsidRPr="00AA6144">
        <w:rPr>
          <w:rStyle w:val="FootnoteReference"/>
          <w:color w:val="auto"/>
          <w:szCs w:val="18"/>
          <w:lang w:val="en-CA"/>
        </w:rPr>
        <w:footnoteReference w:id="488"/>
      </w:r>
      <w:r w:rsidRPr="00AA6144">
        <w:rPr>
          <w:rStyle w:val="verdana"/>
          <w:color w:val="auto"/>
          <w:lang w:val="en-CA"/>
        </w:rPr>
        <w:t xml:space="preserve">   </w:t>
      </w:r>
    </w:p>
    <w:p w14:paraId="2E5E853C" w14:textId="77777777" w:rsidR="00DD1A24" w:rsidRPr="00AA6144" w:rsidRDefault="006A55D6" w:rsidP="002D5FB1">
      <w:pPr>
        <w:rPr>
          <w:color w:val="auto"/>
          <w:szCs w:val="18"/>
          <w:lang w:val="en-CA"/>
        </w:rPr>
      </w:pPr>
      <w:r w:rsidRPr="00AA6144">
        <w:rPr>
          <w:b/>
          <w:i/>
          <w:color w:val="auto"/>
          <w:szCs w:val="18"/>
          <w:lang w:val="en-CA"/>
        </w:rPr>
        <w:t xml:space="preserve">State requesting extradition from Canada. </w:t>
      </w:r>
      <w:r w:rsidR="00B768E4" w:rsidRPr="00AA6144">
        <w:rPr>
          <w:color w:val="auto"/>
          <w:szCs w:val="18"/>
          <w:lang w:val="en-CA"/>
        </w:rPr>
        <w:t>The process of extradition from Canada has several stages.</w:t>
      </w:r>
      <w:r w:rsidR="00C46324" w:rsidRPr="00AA6144">
        <w:rPr>
          <w:color w:val="auto"/>
          <w:szCs w:val="18"/>
          <w:lang w:val="en-CA"/>
        </w:rPr>
        <w:t xml:space="preserve"> </w:t>
      </w:r>
      <w:r w:rsidR="00A74CA0" w:rsidRPr="00AA6144">
        <w:rPr>
          <w:color w:val="auto"/>
          <w:szCs w:val="18"/>
          <w:lang w:val="en-CA"/>
        </w:rPr>
        <w:t>There is both a judicial phase and a ministerial phase</w:t>
      </w:r>
      <w:r w:rsidR="007518BA" w:rsidRPr="00AA6144">
        <w:rPr>
          <w:color w:val="auto"/>
          <w:szCs w:val="18"/>
          <w:lang w:val="en-CA"/>
        </w:rPr>
        <w:t xml:space="preserve">. </w:t>
      </w:r>
    </w:p>
    <w:p w14:paraId="7B2A1168" w14:textId="77777777" w:rsidR="00C46324" w:rsidRPr="00AA6144" w:rsidRDefault="00C46324" w:rsidP="002D5FB1">
      <w:pPr>
        <w:rPr>
          <w:color w:val="auto"/>
          <w:szCs w:val="18"/>
          <w:lang w:val="en-CA"/>
        </w:rPr>
      </w:pPr>
      <w:r w:rsidRPr="00AA6144">
        <w:rPr>
          <w:color w:val="auto"/>
          <w:szCs w:val="18"/>
          <w:lang w:val="en-CA"/>
        </w:rPr>
        <w:t>Canada can receive a request to extradite from any state or entity, which is defined as:</w:t>
      </w:r>
    </w:p>
    <w:p w14:paraId="17EAAEFB" w14:textId="77777777" w:rsidR="006A55D6" w:rsidRPr="00AA6144" w:rsidRDefault="00C46324" w:rsidP="002D5FB1">
      <w:pPr>
        <w:ind w:left="357"/>
        <w:rPr>
          <w:color w:val="auto"/>
          <w:szCs w:val="18"/>
          <w:lang w:val="en-CA"/>
        </w:rPr>
      </w:pPr>
      <w:r w:rsidRPr="00AA6144">
        <w:rPr>
          <w:color w:val="auto"/>
          <w:szCs w:val="18"/>
          <w:lang w:val="en-CA"/>
        </w:rPr>
        <w:t>(</w:t>
      </w:r>
      <w:r w:rsidRPr="00AA6144">
        <w:rPr>
          <w:iCs/>
          <w:color w:val="auto"/>
          <w:szCs w:val="18"/>
          <w:lang w:val="en-CA"/>
        </w:rPr>
        <w:t>a</w:t>
      </w:r>
      <w:r w:rsidRPr="00AA6144">
        <w:rPr>
          <w:color w:val="auto"/>
          <w:szCs w:val="18"/>
          <w:lang w:val="en-CA"/>
        </w:rPr>
        <w:t>) a State other than Canada;</w:t>
      </w:r>
      <w:r w:rsidRPr="00AA6144">
        <w:rPr>
          <w:color w:val="auto"/>
          <w:szCs w:val="18"/>
          <w:lang w:val="en-CA"/>
        </w:rPr>
        <w:br/>
        <w:t>(</w:t>
      </w:r>
      <w:r w:rsidRPr="00AA6144">
        <w:rPr>
          <w:iCs/>
          <w:color w:val="auto"/>
          <w:szCs w:val="18"/>
          <w:lang w:val="en-CA"/>
        </w:rPr>
        <w:t>b</w:t>
      </w:r>
      <w:r w:rsidRPr="00AA6144">
        <w:rPr>
          <w:color w:val="auto"/>
          <w:szCs w:val="18"/>
          <w:lang w:val="en-CA"/>
        </w:rPr>
        <w:t>) a province, state or other political subdivision of a State other than Canada;</w:t>
      </w:r>
      <w:r w:rsidRPr="00AA6144">
        <w:rPr>
          <w:color w:val="auto"/>
          <w:szCs w:val="18"/>
          <w:lang w:val="en-CA"/>
        </w:rPr>
        <w:br/>
        <w:t>(</w:t>
      </w:r>
      <w:r w:rsidRPr="00AA6144">
        <w:rPr>
          <w:iCs/>
          <w:color w:val="auto"/>
          <w:szCs w:val="18"/>
          <w:lang w:val="en-CA"/>
        </w:rPr>
        <w:t>c</w:t>
      </w:r>
      <w:r w:rsidRPr="00AA6144">
        <w:rPr>
          <w:color w:val="auto"/>
          <w:szCs w:val="18"/>
          <w:lang w:val="en-CA"/>
        </w:rPr>
        <w:t>) a colony, dependency, possession, protectorate, condominium, trust territory or any territory falling under the jurisdiction of a State other than Canada;</w:t>
      </w:r>
      <w:r w:rsidRPr="00AA6144">
        <w:rPr>
          <w:color w:val="auto"/>
          <w:szCs w:val="18"/>
          <w:lang w:val="en-CA"/>
        </w:rPr>
        <w:br/>
        <w:t>(</w:t>
      </w:r>
      <w:r w:rsidRPr="00AA6144">
        <w:rPr>
          <w:iCs/>
          <w:color w:val="auto"/>
          <w:szCs w:val="18"/>
          <w:lang w:val="en-CA"/>
        </w:rPr>
        <w:t>d</w:t>
      </w:r>
      <w:r w:rsidRPr="00AA6144">
        <w:rPr>
          <w:color w:val="auto"/>
          <w:szCs w:val="18"/>
          <w:lang w:val="en-CA"/>
        </w:rPr>
        <w:t>) an international criminal court or tribunal; or</w:t>
      </w:r>
      <w:r w:rsidRPr="00AA6144">
        <w:rPr>
          <w:color w:val="auto"/>
          <w:szCs w:val="18"/>
          <w:lang w:val="en-CA"/>
        </w:rPr>
        <w:br/>
        <w:t>(</w:t>
      </w:r>
      <w:r w:rsidRPr="00AA6144">
        <w:rPr>
          <w:iCs/>
          <w:color w:val="auto"/>
          <w:szCs w:val="18"/>
          <w:lang w:val="en-CA"/>
        </w:rPr>
        <w:t>e</w:t>
      </w:r>
      <w:r w:rsidRPr="00AA6144">
        <w:rPr>
          <w:color w:val="auto"/>
          <w:szCs w:val="18"/>
          <w:lang w:val="en-CA"/>
        </w:rPr>
        <w:t>) a territory.</w:t>
      </w:r>
      <w:r w:rsidR="00177631" w:rsidRPr="00AA6144">
        <w:rPr>
          <w:rStyle w:val="FootnoteReference"/>
          <w:color w:val="auto"/>
          <w:szCs w:val="18"/>
          <w:lang w:val="en-CA"/>
        </w:rPr>
        <w:footnoteReference w:id="489"/>
      </w:r>
    </w:p>
    <w:p w14:paraId="214791C0" w14:textId="77777777" w:rsidR="00085FED" w:rsidRPr="00AA6144" w:rsidRDefault="00BF2B21" w:rsidP="002D5FB1">
      <w:pPr>
        <w:rPr>
          <w:color w:val="auto"/>
          <w:szCs w:val="18"/>
          <w:lang w:val="en-CA"/>
        </w:rPr>
      </w:pPr>
      <w:r w:rsidRPr="00AA6144">
        <w:rPr>
          <w:color w:val="auto"/>
          <w:szCs w:val="18"/>
          <w:lang w:val="en-CA"/>
        </w:rPr>
        <w:t>An extradition partner may request an extradition for the purpose of prosecuting the person, imposing a sentence on the person, or enforcing a sentence.</w:t>
      </w:r>
      <w:r w:rsidRPr="00AA6144">
        <w:rPr>
          <w:rStyle w:val="FootnoteReference"/>
          <w:color w:val="auto"/>
          <w:szCs w:val="18"/>
          <w:lang w:val="en-CA"/>
        </w:rPr>
        <w:footnoteReference w:id="490"/>
      </w:r>
      <w:r w:rsidRPr="00AA6144">
        <w:rPr>
          <w:color w:val="auto"/>
          <w:szCs w:val="18"/>
          <w:lang w:val="en-CA"/>
        </w:rPr>
        <w:t xml:space="preserve"> </w:t>
      </w:r>
      <w:r w:rsidR="00085FED" w:rsidRPr="00AA6144">
        <w:rPr>
          <w:color w:val="auto"/>
          <w:szCs w:val="18"/>
          <w:lang w:val="en-CA"/>
        </w:rPr>
        <w:t xml:space="preserve">Section 3 of the </w:t>
      </w:r>
      <w:r w:rsidR="00085FED" w:rsidRPr="00AA6144">
        <w:rPr>
          <w:i/>
          <w:color w:val="auto"/>
          <w:szCs w:val="18"/>
          <w:lang w:val="en-CA"/>
        </w:rPr>
        <w:t>Extradition Act</w:t>
      </w:r>
      <w:r w:rsidR="00085FED" w:rsidRPr="00AA6144">
        <w:rPr>
          <w:color w:val="auto"/>
          <w:szCs w:val="18"/>
          <w:lang w:val="en-CA"/>
        </w:rPr>
        <w:t xml:space="preserve"> identifies the scenarios under which a person may be extradited from Canada:</w:t>
      </w:r>
    </w:p>
    <w:p w14:paraId="51AF3FED" w14:textId="77777777" w:rsidR="00085FED" w:rsidRPr="00AA6144" w:rsidRDefault="00085FED" w:rsidP="002D5FB1">
      <w:pPr>
        <w:ind w:left="357"/>
        <w:rPr>
          <w:color w:val="auto"/>
          <w:szCs w:val="18"/>
          <w:lang w:val="en-CA"/>
        </w:rPr>
      </w:pPr>
      <w:r w:rsidRPr="00AA6144">
        <w:rPr>
          <w:color w:val="auto"/>
          <w:szCs w:val="18"/>
          <w:lang w:val="en-CA"/>
        </w:rPr>
        <w:t>(1) A person may be extradited from Canada in accordance with this Act and a relevant extradition agreement on the request of an extradition partner for the purpose of prosecuting the person or imposing a sentence on — or enforcing a sentence imposed on — the person if</w:t>
      </w:r>
    </w:p>
    <w:p w14:paraId="4B344462" w14:textId="77777777" w:rsidR="00085FED" w:rsidRPr="00AA6144" w:rsidRDefault="00085FED" w:rsidP="002D5FB1">
      <w:pPr>
        <w:ind w:left="714"/>
        <w:rPr>
          <w:color w:val="auto"/>
          <w:szCs w:val="18"/>
          <w:lang w:val="en-CA"/>
        </w:rPr>
      </w:pPr>
      <w:r w:rsidRPr="00AA6144">
        <w:rPr>
          <w:color w:val="auto"/>
          <w:szCs w:val="18"/>
          <w:lang w:val="en-CA"/>
        </w:rPr>
        <w:t>(</w:t>
      </w:r>
      <w:r w:rsidRPr="00AA6144">
        <w:rPr>
          <w:i/>
          <w:iCs/>
          <w:color w:val="auto"/>
          <w:szCs w:val="18"/>
          <w:lang w:val="en-CA"/>
        </w:rPr>
        <w:t>a</w:t>
      </w:r>
      <w:r w:rsidRPr="00AA6144">
        <w:rPr>
          <w:color w:val="auto"/>
          <w:szCs w:val="18"/>
          <w:lang w:val="en-CA"/>
        </w:rPr>
        <w:t>) subject to a relevant extradition agreement, the offence in respect of which the extradition is requested is punishable by the extradition partner, by imprisoning or otherwise depriving the person of their liberty for a maximum term of two years or more, or by a more severe punishment; and</w:t>
      </w:r>
      <w:r w:rsidRPr="00AA6144">
        <w:rPr>
          <w:color w:val="auto"/>
          <w:szCs w:val="18"/>
          <w:lang w:val="en-CA"/>
        </w:rPr>
        <w:br/>
        <w:t>(</w:t>
      </w:r>
      <w:r w:rsidRPr="00AA6144">
        <w:rPr>
          <w:i/>
          <w:iCs/>
          <w:color w:val="auto"/>
          <w:szCs w:val="18"/>
          <w:lang w:val="en-CA"/>
        </w:rPr>
        <w:t>b</w:t>
      </w:r>
      <w:r w:rsidRPr="00AA6144">
        <w:rPr>
          <w:color w:val="auto"/>
          <w:szCs w:val="18"/>
          <w:lang w:val="en-CA"/>
        </w:rPr>
        <w:t>) the conduct of the person, had it occurred in Canada, would have constituted an offence that is punishable in Canada,</w:t>
      </w:r>
    </w:p>
    <w:p w14:paraId="2F3042E9" w14:textId="77777777" w:rsidR="00085FED" w:rsidRPr="00AA6144" w:rsidRDefault="00085FED" w:rsidP="002D5FB1">
      <w:pPr>
        <w:ind w:left="1071"/>
        <w:rPr>
          <w:color w:val="auto"/>
          <w:szCs w:val="18"/>
          <w:lang w:val="en-CA"/>
        </w:rPr>
      </w:pPr>
      <w:r w:rsidRPr="00AA6144">
        <w:rPr>
          <w:color w:val="auto"/>
          <w:szCs w:val="18"/>
          <w:lang w:val="en-CA"/>
        </w:rPr>
        <w:t>(</w:t>
      </w:r>
      <w:proofErr w:type="spellStart"/>
      <w:r w:rsidRPr="00AA6144">
        <w:rPr>
          <w:color w:val="auto"/>
          <w:szCs w:val="18"/>
          <w:lang w:val="en-CA"/>
        </w:rPr>
        <w:t>i</w:t>
      </w:r>
      <w:proofErr w:type="spellEnd"/>
      <w:r w:rsidRPr="00AA6144">
        <w:rPr>
          <w:color w:val="auto"/>
          <w:szCs w:val="18"/>
          <w:lang w:val="en-CA"/>
        </w:rPr>
        <w:t>) in the case of a request based on a specific agreement, by imprisonment for a maximum term of five years or more, or by a more severe punishment, and</w:t>
      </w:r>
      <w:r w:rsidRPr="00AA6144">
        <w:rPr>
          <w:color w:val="auto"/>
          <w:szCs w:val="18"/>
          <w:lang w:val="en-CA"/>
        </w:rPr>
        <w:br/>
        <w:t>(ii) in any other case, by imprisonment for a maximum term of two years or more, or by a more severe punishment, subject to a relevant extradition agreement.</w:t>
      </w:r>
    </w:p>
    <w:p w14:paraId="6983C048" w14:textId="77777777" w:rsidR="00085FED" w:rsidRPr="00AA6144" w:rsidRDefault="00085FED" w:rsidP="002D5FB1">
      <w:pPr>
        <w:ind w:left="357"/>
        <w:rPr>
          <w:color w:val="auto"/>
          <w:szCs w:val="18"/>
          <w:lang w:val="en-CA"/>
        </w:rPr>
      </w:pPr>
      <w:r w:rsidRPr="00AA6144">
        <w:rPr>
          <w:color w:val="auto"/>
          <w:szCs w:val="18"/>
          <w:lang w:val="en-CA"/>
        </w:rPr>
        <w:t xml:space="preserve">(2) For greater certainty, it is not relevant whether the conduct referred to in subsection (1) is named, </w:t>
      </w:r>
      <w:proofErr w:type="gramStart"/>
      <w:r w:rsidRPr="00AA6144">
        <w:rPr>
          <w:color w:val="auto"/>
          <w:szCs w:val="18"/>
          <w:lang w:val="en-CA"/>
        </w:rPr>
        <w:t>defined</w:t>
      </w:r>
      <w:proofErr w:type="gramEnd"/>
      <w:r w:rsidRPr="00AA6144">
        <w:rPr>
          <w:color w:val="auto"/>
          <w:szCs w:val="18"/>
          <w:lang w:val="en-CA"/>
        </w:rPr>
        <w:t xml:space="preserve"> or characterized by the extradition partner in the same way as it is in Canada.</w:t>
      </w:r>
      <w:r w:rsidRPr="00AA6144">
        <w:rPr>
          <w:rStyle w:val="FootnoteReference"/>
          <w:color w:val="auto"/>
          <w:szCs w:val="18"/>
          <w:lang w:val="en-CA"/>
        </w:rPr>
        <w:footnoteReference w:id="491"/>
      </w:r>
    </w:p>
    <w:p w14:paraId="7E74699D" w14:textId="77777777" w:rsidR="00A339DA" w:rsidRPr="00AA6144" w:rsidRDefault="00C244F9" w:rsidP="00A339DA">
      <w:pPr>
        <w:rPr>
          <w:color w:val="auto"/>
          <w:szCs w:val="18"/>
          <w:lang w:val="en-CA"/>
        </w:rPr>
      </w:pPr>
      <w:r w:rsidRPr="00AA6144">
        <w:rPr>
          <w:color w:val="auto"/>
          <w:szCs w:val="18"/>
          <w:lang w:val="en-CA"/>
        </w:rPr>
        <w:t xml:space="preserve">Any requirements of extraditable conduct laid out in the </w:t>
      </w:r>
      <w:r w:rsidRPr="00AA6144">
        <w:rPr>
          <w:i/>
          <w:color w:val="auto"/>
          <w:szCs w:val="18"/>
          <w:lang w:val="en-CA"/>
        </w:rPr>
        <w:t xml:space="preserve">Extradition Act </w:t>
      </w:r>
      <w:r w:rsidR="000D1222" w:rsidRPr="00AA6144">
        <w:rPr>
          <w:color w:val="auto"/>
          <w:szCs w:val="18"/>
          <w:lang w:val="en-CA"/>
        </w:rPr>
        <w:t>are</w:t>
      </w:r>
      <w:r w:rsidRPr="00AA6144">
        <w:rPr>
          <w:color w:val="auto"/>
          <w:szCs w:val="18"/>
          <w:lang w:val="en-CA"/>
        </w:rPr>
        <w:t xml:space="preserve"> subject to modification by a bilateral extradition treaty. </w:t>
      </w:r>
      <w:r w:rsidR="00A339DA" w:rsidRPr="00AA6144">
        <w:rPr>
          <w:color w:val="auto"/>
          <w:szCs w:val="18"/>
          <w:lang w:val="en-CA"/>
        </w:rPr>
        <w:t xml:space="preserve">In the event there is no extradition treaty with the requested state, the </w:t>
      </w:r>
      <w:r w:rsidR="00AB6150" w:rsidRPr="00AA6144">
        <w:rPr>
          <w:color w:val="auto"/>
          <w:szCs w:val="18"/>
          <w:lang w:val="en-CA"/>
        </w:rPr>
        <w:t>statute</w:t>
      </w:r>
      <w:r w:rsidR="00A339DA" w:rsidRPr="00AA6144">
        <w:rPr>
          <w:i/>
          <w:color w:val="auto"/>
          <w:szCs w:val="18"/>
          <w:lang w:val="en-CA"/>
        </w:rPr>
        <w:t xml:space="preserve"> </w:t>
      </w:r>
      <w:r w:rsidR="00A339DA" w:rsidRPr="00AA6144">
        <w:rPr>
          <w:color w:val="auto"/>
          <w:szCs w:val="18"/>
          <w:lang w:val="en-CA"/>
        </w:rPr>
        <w:t xml:space="preserve">provides for extradition on an </w:t>
      </w:r>
      <w:r w:rsidR="00A339DA" w:rsidRPr="00AA6144">
        <w:rPr>
          <w:i/>
          <w:color w:val="auto"/>
          <w:szCs w:val="18"/>
          <w:lang w:val="en-CA"/>
        </w:rPr>
        <w:t>ad hoc</w:t>
      </w:r>
      <w:r w:rsidR="00A339DA" w:rsidRPr="00AA6144">
        <w:rPr>
          <w:color w:val="auto"/>
          <w:szCs w:val="18"/>
          <w:lang w:val="en-CA"/>
        </w:rPr>
        <w:t xml:space="preserve"> basis by “specific agreement”</w:t>
      </w:r>
      <w:r w:rsidR="003D6272" w:rsidRPr="00AA6144">
        <w:rPr>
          <w:color w:val="auto"/>
          <w:szCs w:val="18"/>
          <w:lang w:val="en-CA"/>
        </w:rPr>
        <w:t>,</w:t>
      </w:r>
      <w:r w:rsidR="00A339DA" w:rsidRPr="00AA6144">
        <w:rPr>
          <w:color w:val="auto"/>
          <w:szCs w:val="18"/>
          <w:lang w:val="en-CA"/>
        </w:rPr>
        <w:t xml:space="preserve"> which is not limited to a formal treaty</w:t>
      </w:r>
      <w:r w:rsidR="003D6272" w:rsidRPr="00AA6144">
        <w:rPr>
          <w:color w:val="auto"/>
          <w:szCs w:val="18"/>
          <w:lang w:val="en-CA"/>
        </w:rPr>
        <w:t xml:space="preserve"> and applies only to the particular extradition request</w:t>
      </w:r>
      <w:r w:rsidR="00A339DA" w:rsidRPr="00AA6144">
        <w:rPr>
          <w:color w:val="auto"/>
          <w:szCs w:val="18"/>
          <w:lang w:val="en-CA"/>
        </w:rPr>
        <w:t>.</w:t>
      </w:r>
      <w:r w:rsidR="00A339DA" w:rsidRPr="00AA6144">
        <w:rPr>
          <w:rStyle w:val="FootnoteReference"/>
          <w:color w:val="auto"/>
          <w:szCs w:val="18"/>
          <w:lang w:val="en-CA"/>
        </w:rPr>
        <w:footnoteReference w:id="492"/>
      </w:r>
      <w:r w:rsidR="00A339DA" w:rsidRPr="00AA6144">
        <w:rPr>
          <w:color w:val="auto"/>
          <w:szCs w:val="18"/>
          <w:lang w:val="en-CA"/>
        </w:rPr>
        <w:t xml:space="preserve"> </w:t>
      </w:r>
    </w:p>
    <w:p w14:paraId="5304959C" w14:textId="77777777" w:rsidR="00202319" w:rsidRPr="00AA6144" w:rsidRDefault="00D95026" w:rsidP="002D5FB1">
      <w:pPr>
        <w:pStyle w:val="AIBodyText"/>
        <w:rPr>
          <w:rStyle w:val="verdana"/>
          <w:color w:val="auto"/>
          <w:lang w:val="en-CA"/>
        </w:rPr>
      </w:pPr>
      <w:r w:rsidRPr="00AA6144">
        <w:rPr>
          <w:color w:val="auto"/>
          <w:lang w:val="en-CA"/>
        </w:rPr>
        <w:t>After receiving a request for extradition, the Minister of Justice can seek an authority to proceed (ATP) which triggers the judicial phase in the form of an extradition hearing. The ATP authorizes the Attorney General to seek, on behalf of the extradition partner, an order of a court for the committal of the person sought.</w:t>
      </w:r>
      <w:r w:rsidRPr="00AA6144">
        <w:rPr>
          <w:rStyle w:val="FootnoteReference"/>
          <w:color w:val="auto"/>
          <w:lang w:val="en-CA"/>
        </w:rPr>
        <w:footnoteReference w:id="493"/>
      </w:r>
      <w:r w:rsidRPr="00AA6144">
        <w:rPr>
          <w:color w:val="auto"/>
          <w:lang w:val="en-CA"/>
        </w:rPr>
        <w:t xml:space="preserve"> The ATP sets out who the requesting partner is and </w:t>
      </w:r>
      <w:r w:rsidR="003D6272" w:rsidRPr="00AA6144">
        <w:rPr>
          <w:color w:val="auto"/>
          <w:lang w:val="en-CA"/>
        </w:rPr>
        <w:t>provides</w:t>
      </w:r>
      <w:r w:rsidRPr="00AA6144">
        <w:rPr>
          <w:color w:val="auto"/>
          <w:lang w:val="en-CA"/>
        </w:rPr>
        <w:t xml:space="preserve"> the Canadian offence underlying the conduct of the alleged foreign offence.</w:t>
      </w:r>
      <w:r w:rsidRPr="00AA6144">
        <w:rPr>
          <w:rStyle w:val="FootnoteReference"/>
          <w:color w:val="auto"/>
          <w:lang w:val="en-CA"/>
        </w:rPr>
        <w:footnoteReference w:id="494"/>
      </w:r>
      <w:r w:rsidRPr="00AA6144">
        <w:rPr>
          <w:color w:val="auto"/>
          <w:lang w:val="en-CA"/>
        </w:rPr>
        <w:t xml:space="preserve"> The Minister of Justice has discretion to determine which charges will form the basis of the </w:t>
      </w:r>
      <w:r w:rsidR="003D6272" w:rsidRPr="00AA6144">
        <w:rPr>
          <w:color w:val="auto"/>
          <w:lang w:val="en-CA"/>
        </w:rPr>
        <w:t>ATP</w:t>
      </w:r>
      <w:r w:rsidRPr="00AA6144">
        <w:rPr>
          <w:color w:val="auto"/>
          <w:lang w:val="en-CA"/>
        </w:rPr>
        <w:t xml:space="preserve"> on the basis of the application of the double criminality rule (see further discussion in Section 7.1.1.3 below). The extradition hearing is an evidentiary hearing before a trial judge</w:t>
      </w:r>
      <w:r w:rsidR="00977650" w:rsidRPr="00AA6144">
        <w:rPr>
          <w:color w:val="auto"/>
          <w:lang w:val="en-CA"/>
        </w:rPr>
        <w:t>.</w:t>
      </w:r>
      <w:r w:rsidR="00993DCD" w:rsidRPr="00AA6144">
        <w:rPr>
          <w:rStyle w:val="FootnoteReference"/>
          <w:color w:val="auto"/>
          <w:lang w:val="en-CA"/>
        </w:rPr>
        <w:footnoteReference w:id="495"/>
      </w:r>
      <w:r w:rsidR="00977650" w:rsidRPr="00AA6144">
        <w:rPr>
          <w:color w:val="auto"/>
          <w:lang w:val="en-CA"/>
        </w:rPr>
        <w:t xml:space="preserve"> </w:t>
      </w:r>
      <w:r w:rsidR="0089613B" w:rsidRPr="00AA6144">
        <w:rPr>
          <w:color w:val="auto"/>
          <w:lang w:val="en-CA"/>
        </w:rPr>
        <w:t xml:space="preserve"> </w:t>
      </w:r>
      <w:r w:rsidR="00D30115" w:rsidRPr="00AA6144">
        <w:rPr>
          <w:color w:val="auto"/>
          <w:lang w:val="en-CA"/>
        </w:rPr>
        <w:t xml:space="preserve"> </w:t>
      </w:r>
      <w:r w:rsidR="008F546F" w:rsidRPr="00AA6144">
        <w:rPr>
          <w:color w:val="auto"/>
          <w:lang w:val="en-CA"/>
        </w:rPr>
        <w:t xml:space="preserve">At the extradition hearing, the judge must determine </w:t>
      </w:r>
      <w:r w:rsidR="00287F80" w:rsidRPr="00AA6144">
        <w:rPr>
          <w:color w:val="auto"/>
          <w:lang w:val="en-CA"/>
        </w:rPr>
        <w:t>that the</w:t>
      </w:r>
      <w:r w:rsidR="00C60E35" w:rsidRPr="00AA6144">
        <w:rPr>
          <w:color w:val="auto"/>
          <w:lang w:val="en-CA"/>
        </w:rPr>
        <w:t>re is sufficient evidence to justify committal in Canad</w:t>
      </w:r>
      <w:r w:rsidR="00682416" w:rsidRPr="00AA6144">
        <w:rPr>
          <w:color w:val="auto"/>
          <w:lang w:val="en-CA"/>
        </w:rPr>
        <w:t>a.</w:t>
      </w:r>
      <w:r w:rsidR="00682416" w:rsidRPr="00AA6144">
        <w:rPr>
          <w:rStyle w:val="FootnoteReference"/>
          <w:color w:val="auto"/>
          <w:lang w:val="en-CA"/>
        </w:rPr>
        <w:t xml:space="preserve"> </w:t>
      </w:r>
      <w:bookmarkStart w:id="176" w:name="_Ref267055640"/>
      <w:r w:rsidR="00682416" w:rsidRPr="00AA6144">
        <w:rPr>
          <w:rStyle w:val="FootnoteReference"/>
          <w:color w:val="auto"/>
          <w:lang w:val="en-CA"/>
        </w:rPr>
        <w:footnoteReference w:id="496"/>
      </w:r>
      <w:bookmarkEnd w:id="176"/>
      <w:r w:rsidR="00682416" w:rsidRPr="00AA6144">
        <w:rPr>
          <w:color w:val="auto"/>
          <w:lang w:val="en-CA"/>
        </w:rPr>
        <w:t xml:space="preserve"> This evidentiary determination involves an assessment of the admissibility of the evidence under the </w:t>
      </w:r>
      <w:r w:rsidR="00682416" w:rsidRPr="00AA6144">
        <w:rPr>
          <w:i/>
          <w:color w:val="auto"/>
          <w:lang w:val="en-CA"/>
        </w:rPr>
        <w:t>Extradition Act</w:t>
      </w:r>
      <w:r w:rsidR="00682416" w:rsidRPr="00AA6144">
        <w:rPr>
          <w:color w:val="auto"/>
          <w:lang w:val="en-CA"/>
        </w:rPr>
        <w:t>, and whether there is sufficient evidence to justify committal.</w:t>
      </w:r>
      <w:r w:rsidR="0050153B" w:rsidRPr="00AA6144">
        <w:rPr>
          <w:rStyle w:val="FootnoteReference"/>
          <w:color w:val="auto"/>
          <w:lang w:val="en-CA"/>
        </w:rPr>
        <w:footnoteReference w:id="497"/>
      </w:r>
      <w:r w:rsidR="004F5AFC" w:rsidRPr="00AA6144">
        <w:rPr>
          <w:color w:val="auto"/>
          <w:lang w:val="en-CA"/>
        </w:rPr>
        <w:t xml:space="preserve"> Whether there is sufficient evidence depends on whether there is sufficient evidence to permit a properly instructed jury to commit.</w:t>
      </w:r>
      <w:r w:rsidR="00066BE3" w:rsidRPr="00AA6144">
        <w:rPr>
          <w:rStyle w:val="FootnoteReference"/>
          <w:color w:val="auto"/>
          <w:lang w:val="en-CA"/>
        </w:rPr>
        <w:footnoteReference w:id="498"/>
      </w:r>
      <w:r w:rsidR="00066BE3" w:rsidRPr="00AA6144">
        <w:rPr>
          <w:color w:val="auto"/>
          <w:lang w:val="en-CA"/>
        </w:rPr>
        <w:t xml:space="preserve"> </w:t>
      </w:r>
      <w:r w:rsidR="00202319" w:rsidRPr="00AA6144">
        <w:rPr>
          <w:rStyle w:val="verdana"/>
          <w:color w:val="auto"/>
          <w:lang w:val="en-CA"/>
        </w:rPr>
        <w:t xml:space="preserve">The committal judge can also grant a remedy for any infringement of the suspect's </w:t>
      </w:r>
      <w:r w:rsidR="00202319" w:rsidRPr="00AA6144">
        <w:rPr>
          <w:rStyle w:val="italic"/>
          <w:i/>
          <w:color w:val="auto"/>
          <w:lang w:val="en-CA"/>
        </w:rPr>
        <w:t>Charter</w:t>
      </w:r>
      <w:r w:rsidR="00202319" w:rsidRPr="00AA6144">
        <w:rPr>
          <w:rStyle w:val="verdana"/>
          <w:color w:val="auto"/>
          <w:lang w:val="en-CA"/>
        </w:rPr>
        <w:t xml:space="preserve"> rights that occurred throughout the extradition process.</w:t>
      </w:r>
      <w:r w:rsidR="00202319" w:rsidRPr="00AA6144">
        <w:rPr>
          <w:rStyle w:val="FootnoteReference"/>
          <w:color w:val="auto"/>
          <w:lang w:val="en-CA"/>
        </w:rPr>
        <w:footnoteReference w:id="499"/>
      </w:r>
      <w:r w:rsidR="00202319" w:rsidRPr="00AA6144">
        <w:rPr>
          <w:rStyle w:val="verdana"/>
          <w:color w:val="auto"/>
          <w:lang w:val="en-CA"/>
        </w:rPr>
        <w:t xml:space="preserve">  </w:t>
      </w:r>
    </w:p>
    <w:p w14:paraId="71EC58F6" w14:textId="77777777" w:rsidR="00A339DA" w:rsidRPr="00AA6144" w:rsidRDefault="00202319" w:rsidP="002D5FB1">
      <w:pPr>
        <w:rPr>
          <w:color w:val="auto"/>
          <w:lang w:val="en-CA"/>
        </w:rPr>
      </w:pPr>
      <w:r w:rsidRPr="00AA6144">
        <w:rPr>
          <w:rStyle w:val="verdana"/>
          <w:color w:val="auto"/>
          <w:lang w:val="en-CA"/>
        </w:rPr>
        <w:t xml:space="preserve">The </w:t>
      </w:r>
      <w:r w:rsidR="00A8563B" w:rsidRPr="00AA6144">
        <w:rPr>
          <w:rStyle w:val="verdana"/>
          <w:color w:val="auto"/>
          <w:lang w:val="en-CA"/>
        </w:rPr>
        <w:t>’r</w:t>
      </w:r>
      <w:r w:rsidRPr="00AA6144">
        <w:rPr>
          <w:rStyle w:val="verdana"/>
          <w:color w:val="auto"/>
          <w:lang w:val="en-CA"/>
        </w:rPr>
        <w:t xml:space="preserve">ecord of the </w:t>
      </w:r>
      <w:r w:rsidR="00A8563B" w:rsidRPr="00AA6144">
        <w:rPr>
          <w:rStyle w:val="verdana"/>
          <w:color w:val="auto"/>
          <w:lang w:val="en-CA"/>
        </w:rPr>
        <w:t>c</w:t>
      </w:r>
      <w:r w:rsidRPr="00AA6144">
        <w:rPr>
          <w:rStyle w:val="verdana"/>
          <w:color w:val="auto"/>
          <w:lang w:val="en-CA"/>
        </w:rPr>
        <w:t>ase</w:t>
      </w:r>
      <w:r w:rsidR="00A8563B" w:rsidRPr="00AA6144">
        <w:rPr>
          <w:rStyle w:val="verdana"/>
          <w:color w:val="auto"/>
          <w:lang w:val="en-CA"/>
        </w:rPr>
        <w:t>’</w:t>
      </w:r>
      <w:r w:rsidRPr="00AA6144">
        <w:rPr>
          <w:rStyle w:val="verdana"/>
          <w:color w:val="auto"/>
          <w:lang w:val="en-CA"/>
        </w:rPr>
        <w:t xml:space="preserve"> </w:t>
      </w:r>
      <w:r w:rsidR="002A7C9A" w:rsidRPr="00AA6144">
        <w:rPr>
          <w:rStyle w:val="verdana"/>
          <w:color w:val="auto"/>
          <w:lang w:val="en-CA"/>
        </w:rPr>
        <w:t>is a document containing the list of the evidence available and intended for use in the prosecution</w:t>
      </w:r>
      <w:r w:rsidR="002A7C9A" w:rsidRPr="00AA6144">
        <w:rPr>
          <w:rStyle w:val="FootnoteReference"/>
          <w:color w:val="auto"/>
          <w:lang w:val="en-CA"/>
        </w:rPr>
        <w:footnoteReference w:id="500"/>
      </w:r>
      <w:r w:rsidR="002A7C9A" w:rsidRPr="00AA6144">
        <w:rPr>
          <w:rStyle w:val="verdana"/>
          <w:color w:val="auto"/>
          <w:lang w:val="en-CA"/>
        </w:rPr>
        <w:t xml:space="preserve"> and </w:t>
      </w:r>
      <w:r w:rsidRPr="00AA6144">
        <w:rPr>
          <w:rStyle w:val="verdana"/>
          <w:color w:val="auto"/>
          <w:lang w:val="en-CA"/>
        </w:rPr>
        <w:t>was created in response to the actual or perceived difficulties of extradition partners in meeting Canada’s evidentiary requirements, specifically civil law countries and non-state entities such as the UN International Tribunals for Rwanda and the former Yugoslavia</w:t>
      </w:r>
      <w:r w:rsidR="002C48BA" w:rsidRPr="00AA6144">
        <w:rPr>
          <w:rStyle w:val="verdana"/>
          <w:color w:val="auto"/>
          <w:lang w:val="en-CA"/>
        </w:rPr>
        <w:t xml:space="preserve">, largely because they </w:t>
      </w:r>
      <w:r w:rsidRPr="00AA6144">
        <w:rPr>
          <w:rStyle w:val="verdana"/>
          <w:color w:val="auto"/>
          <w:lang w:val="en-CA"/>
        </w:rPr>
        <w:t>do not have general prohibitions</w:t>
      </w:r>
      <w:r w:rsidR="002C48BA" w:rsidRPr="00AA6144">
        <w:rPr>
          <w:rStyle w:val="verdana"/>
          <w:color w:val="auto"/>
          <w:lang w:val="en-CA"/>
        </w:rPr>
        <w:t xml:space="preserve"> against</w:t>
      </w:r>
      <w:r w:rsidRPr="00AA6144">
        <w:rPr>
          <w:rStyle w:val="verdana"/>
          <w:color w:val="auto"/>
          <w:lang w:val="en-CA"/>
        </w:rPr>
        <w:t xml:space="preserve"> hearsay evidence.</w:t>
      </w:r>
      <w:r w:rsidRPr="00AA6144">
        <w:rPr>
          <w:rStyle w:val="FootnoteReference"/>
          <w:color w:val="auto"/>
          <w:lang w:val="en-CA"/>
        </w:rPr>
        <w:footnoteReference w:id="501"/>
      </w:r>
      <w:r w:rsidRPr="00AA6144">
        <w:rPr>
          <w:rStyle w:val="verdana"/>
          <w:color w:val="auto"/>
          <w:lang w:val="en-CA"/>
        </w:rPr>
        <w:t xml:space="preserve"> Under the new procedure, only evidence gathered in Canada must conform to the Canadian rules of evidence in order to be admitted</w:t>
      </w:r>
      <w:r w:rsidR="00A8563B" w:rsidRPr="00AA6144">
        <w:rPr>
          <w:rStyle w:val="verdana"/>
          <w:color w:val="auto"/>
          <w:lang w:val="en-CA"/>
        </w:rPr>
        <w:t>,</w:t>
      </w:r>
      <w:r w:rsidRPr="00AA6144">
        <w:rPr>
          <w:rStyle w:val="FootnoteReference"/>
          <w:color w:val="auto"/>
          <w:lang w:val="en-CA"/>
        </w:rPr>
        <w:footnoteReference w:id="502"/>
      </w:r>
      <w:r w:rsidR="00A8563B" w:rsidRPr="00AA6144">
        <w:rPr>
          <w:rStyle w:val="verdana"/>
          <w:color w:val="auto"/>
          <w:lang w:val="en-CA"/>
        </w:rPr>
        <w:t>Evidence in the record of the case must be available for trial and must be sufficient to justify prosecution or gathered according to the law of the extradition partner.</w:t>
      </w:r>
      <w:r w:rsidR="00E35FB5" w:rsidRPr="00AA6144">
        <w:rPr>
          <w:rStyle w:val="FootnoteReference"/>
          <w:color w:val="auto"/>
          <w:lang w:val="en-CA"/>
        </w:rPr>
        <w:footnoteReference w:id="503"/>
      </w:r>
      <w:r w:rsidR="00A8563B" w:rsidRPr="00AA6144">
        <w:rPr>
          <w:rStyle w:val="verdana"/>
          <w:color w:val="auto"/>
          <w:lang w:val="en-CA"/>
        </w:rPr>
        <w:t xml:space="preserve"> </w:t>
      </w:r>
      <w:r w:rsidR="00DD50D4" w:rsidRPr="00AA6144">
        <w:rPr>
          <w:rStyle w:val="verdana"/>
          <w:color w:val="auto"/>
          <w:lang w:val="en-CA"/>
        </w:rPr>
        <w:t xml:space="preserve">More recently, the Supreme Court </w:t>
      </w:r>
      <w:r w:rsidR="00C07263" w:rsidRPr="00AA6144">
        <w:rPr>
          <w:rStyle w:val="verdana"/>
          <w:color w:val="auto"/>
          <w:lang w:val="en-CA"/>
        </w:rPr>
        <w:t>of Canada</w:t>
      </w:r>
      <w:r w:rsidR="00B04DE4" w:rsidRPr="00AA6144">
        <w:rPr>
          <w:rStyle w:val="verdana"/>
          <w:color w:val="auto"/>
          <w:lang w:val="en-CA"/>
        </w:rPr>
        <w:t xml:space="preserve"> </w:t>
      </w:r>
      <w:r w:rsidR="00DD50D4" w:rsidRPr="00AA6144">
        <w:rPr>
          <w:rStyle w:val="verdana"/>
          <w:color w:val="auto"/>
          <w:lang w:val="en-CA"/>
        </w:rPr>
        <w:t xml:space="preserve">in </w:t>
      </w:r>
      <w:r w:rsidR="00B04DE4" w:rsidRPr="00AA6144">
        <w:rPr>
          <w:rStyle w:val="verdana"/>
          <w:i/>
          <w:color w:val="auto"/>
          <w:lang w:val="en-CA"/>
        </w:rPr>
        <w:t xml:space="preserve">United States of America v </w:t>
      </w:r>
      <w:proofErr w:type="spellStart"/>
      <w:r w:rsidR="00DD50D4" w:rsidRPr="00AA6144">
        <w:rPr>
          <w:rStyle w:val="verdana"/>
          <w:i/>
          <w:color w:val="auto"/>
          <w:lang w:val="en-CA"/>
        </w:rPr>
        <w:t>Anekwu</w:t>
      </w:r>
      <w:proofErr w:type="spellEnd"/>
      <w:r w:rsidR="00DD50D4" w:rsidRPr="00AA6144">
        <w:rPr>
          <w:rStyle w:val="verdana"/>
          <w:color w:val="auto"/>
          <w:lang w:val="en-CA"/>
        </w:rPr>
        <w:t xml:space="preserve"> held that evidence in an extradition hearing need not take a particular form</w:t>
      </w:r>
      <w:r w:rsidR="009534F7" w:rsidRPr="00AA6144">
        <w:rPr>
          <w:rStyle w:val="verdana"/>
          <w:color w:val="auto"/>
          <w:lang w:val="en-CA"/>
        </w:rPr>
        <w:t xml:space="preserve"> </w:t>
      </w:r>
      <w:r w:rsidR="005F0943" w:rsidRPr="00AA6144">
        <w:rPr>
          <w:rStyle w:val="verdana"/>
          <w:color w:val="auto"/>
          <w:lang w:val="en-CA"/>
        </w:rPr>
        <w:t xml:space="preserve">so long as the person sought may still challenge its admissibility </w:t>
      </w:r>
      <w:r w:rsidR="00522560" w:rsidRPr="00AA6144">
        <w:rPr>
          <w:rStyle w:val="verdana"/>
          <w:color w:val="auto"/>
          <w:lang w:val="en-CA"/>
        </w:rPr>
        <w:t xml:space="preserve">or content </w:t>
      </w:r>
      <w:r w:rsidR="005F0943" w:rsidRPr="00AA6144">
        <w:rPr>
          <w:rStyle w:val="verdana"/>
          <w:color w:val="auto"/>
          <w:lang w:val="en-CA"/>
        </w:rPr>
        <w:t xml:space="preserve">and the evidence </w:t>
      </w:r>
      <w:r w:rsidR="009534F7" w:rsidRPr="00AA6144">
        <w:rPr>
          <w:rStyle w:val="verdana"/>
          <w:color w:val="auto"/>
          <w:lang w:val="en-CA"/>
        </w:rPr>
        <w:t>conform</w:t>
      </w:r>
      <w:r w:rsidR="005F0943" w:rsidRPr="00AA6144">
        <w:rPr>
          <w:rStyle w:val="verdana"/>
          <w:color w:val="auto"/>
          <w:lang w:val="en-CA"/>
        </w:rPr>
        <w:t>s</w:t>
      </w:r>
      <w:r w:rsidR="009534F7" w:rsidRPr="00AA6144">
        <w:rPr>
          <w:rStyle w:val="verdana"/>
          <w:color w:val="auto"/>
          <w:lang w:val="en-CA"/>
        </w:rPr>
        <w:t xml:space="preserve"> to Canadian evidentiary rules</w:t>
      </w:r>
      <w:r w:rsidR="005F0943" w:rsidRPr="00AA6144">
        <w:rPr>
          <w:rStyle w:val="verdana"/>
          <w:color w:val="auto"/>
          <w:lang w:val="en-CA"/>
        </w:rPr>
        <w:t>.</w:t>
      </w:r>
      <w:r w:rsidR="005F0943" w:rsidRPr="00AA6144">
        <w:rPr>
          <w:rStyle w:val="FootnoteReference"/>
          <w:color w:val="auto"/>
          <w:lang w:val="en-CA"/>
        </w:rPr>
        <w:footnoteReference w:id="504"/>
      </w:r>
    </w:p>
    <w:p w14:paraId="131DC6A9" w14:textId="77777777" w:rsidR="00757767" w:rsidRPr="00AA6144" w:rsidRDefault="00BD5907" w:rsidP="009E3308">
      <w:pPr>
        <w:pStyle w:val="AIBodyText"/>
        <w:rPr>
          <w:color w:val="auto"/>
          <w:lang w:val="en-CA"/>
        </w:rPr>
      </w:pPr>
      <w:r w:rsidRPr="00AA6144">
        <w:rPr>
          <w:color w:val="auto"/>
          <w:lang w:val="en-CA"/>
        </w:rPr>
        <w:t xml:space="preserve">After the judicial phase, </w:t>
      </w:r>
      <w:r w:rsidR="009E3308" w:rsidRPr="00AA6144">
        <w:rPr>
          <w:color w:val="auto"/>
          <w:lang w:val="en-CA"/>
        </w:rPr>
        <w:t>the Minister of Just</w:t>
      </w:r>
      <w:r w:rsidR="00DD6C33" w:rsidRPr="00AA6144">
        <w:rPr>
          <w:color w:val="auto"/>
          <w:lang w:val="en-CA"/>
        </w:rPr>
        <w:t>i</w:t>
      </w:r>
      <w:r w:rsidR="009E3308" w:rsidRPr="00AA6144">
        <w:rPr>
          <w:color w:val="auto"/>
          <w:lang w:val="en-CA"/>
        </w:rPr>
        <w:t>ce consider</w:t>
      </w:r>
      <w:r w:rsidRPr="00AA6144">
        <w:rPr>
          <w:color w:val="auto"/>
          <w:lang w:val="en-CA"/>
        </w:rPr>
        <w:t>s</w:t>
      </w:r>
      <w:r w:rsidR="009E3308" w:rsidRPr="00AA6144">
        <w:rPr>
          <w:color w:val="auto"/>
          <w:lang w:val="en-CA"/>
        </w:rPr>
        <w:t xml:space="preserve"> any submissions by the </w:t>
      </w:r>
      <w:r w:rsidR="00DD6C33" w:rsidRPr="00AA6144">
        <w:rPr>
          <w:color w:val="auto"/>
          <w:lang w:val="en-CA"/>
        </w:rPr>
        <w:t xml:space="preserve">person </w:t>
      </w:r>
      <w:r w:rsidR="00757767" w:rsidRPr="00AA6144">
        <w:rPr>
          <w:color w:val="auto"/>
          <w:lang w:val="en-CA"/>
        </w:rPr>
        <w:t>sought for</w:t>
      </w:r>
      <w:r w:rsidR="009E3308" w:rsidRPr="00AA6144">
        <w:rPr>
          <w:color w:val="auto"/>
          <w:lang w:val="en-CA"/>
        </w:rPr>
        <w:t xml:space="preserve"> extradition, as well as any assurances </w:t>
      </w:r>
      <w:r w:rsidR="00872580" w:rsidRPr="00AA6144">
        <w:rPr>
          <w:color w:val="auto"/>
          <w:lang w:val="en-CA"/>
        </w:rPr>
        <w:t xml:space="preserve">from the extradition partner, </w:t>
      </w:r>
      <w:r w:rsidR="009E3308" w:rsidRPr="00AA6144">
        <w:rPr>
          <w:color w:val="auto"/>
          <w:lang w:val="en-CA"/>
        </w:rPr>
        <w:t xml:space="preserve">that may be appropriate before issuing the final order of surrender. </w:t>
      </w:r>
      <w:r w:rsidR="00DD1A24" w:rsidRPr="00AA6144">
        <w:rPr>
          <w:color w:val="auto"/>
          <w:lang w:val="en-CA"/>
        </w:rPr>
        <w:t xml:space="preserve"> The decision of whether the person should be surrendered is at the discretion of the </w:t>
      </w:r>
      <w:r w:rsidR="00872580" w:rsidRPr="00AA6144">
        <w:rPr>
          <w:color w:val="auto"/>
          <w:lang w:val="en-CA"/>
        </w:rPr>
        <w:t>M</w:t>
      </w:r>
      <w:r w:rsidR="00DD1A24" w:rsidRPr="00AA6144">
        <w:rPr>
          <w:color w:val="auto"/>
          <w:lang w:val="en-CA"/>
        </w:rPr>
        <w:t>inister.</w:t>
      </w:r>
      <w:r w:rsidR="009E3308" w:rsidRPr="00AA6144">
        <w:rPr>
          <w:color w:val="auto"/>
          <w:lang w:val="en-CA"/>
        </w:rPr>
        <w:t xml:space="preserve"> The International Assistance Group of the Department of Justice evaluates requests for </w:t>
      </w:r>
      <w:proofErr w:type="gramStart"/>
      <w:r w:rsidR="009E3308" w:rsidRPr="00AA6144">
        <w:rPr>
          <w:color w:val="auto"/>
          <w:lang w:val="en-CA"/>
        </w:rPr>
        <w:t>extradition, and</w:t>
      </w:r>
      <w:proofErr w:type="gramEnd"/>
      <w:r w:rsidR="009E3308" w:rsidRPr="00AA6144">
        <w:rPr>
          <w:color w:val="auto"/>
          <w:lang w:val="en-CA"/>
        </w:rPr>
        <w:t xml:space="preserve"> makes recommendations to the Minister both with respect to the final surrender order and whether any assurances should be sought in conjunction with the surrender order. </w:t>
      </w:r>
    </w:p>
    <w:p w14:paraId="785B0D72" w14:textId="77777777" w:rsidR="00355C5C" w:rsidRPr="00AA6144" w:rsidRDefault="00757767" w:rsidP="009E3308">
      <w:pPr>
        <w:pStyle w:val="AIBodyText"/>
        <w:rPr>
          <w:color w:val="auto"/>
          <w:lang w:val="en-CA"/>
        </w:rPr>
      </w:pPr>
      <w:r w:rsidRPr="00AA6144">
        <w:rPr>
          <w:color w:val="auto"/>
          <w:lang w:val="en-CA"/>
        </w:rPr>
        <w:t xml:space="preserve">There are </w:t>
      </w:r>
      <w:r w:rsidR="00485022" w:rsidRPr="00AA6144">
        <w:rPr>
          <w:color w:val="auto"/>
          <w:lang w:val="en-CA"/>
        </w:rPr>
        <w:t xml:space="preserve">both mandatory and discretionary </w:t>
      </w:r>
      <w:r w:rsidRPr="00AA6144">
        <w:rPr>
          <w:color w:val="auto"/>
          <w:lang w:val="en-CA"/>
        </w:rPr>
        <w:t xml:space="preserve">grounds upon which the Minister </w:t>
      </w:r>
      <w:r w:rsidR="00485022" w:rsidRPr="00AA6144">
        <w:rPr>
          <w:color w:val="auto"/>
          <w:lang w:val="en-CA"/>
        </w:rPr>
        <w:t xml:space="preserve">may </w:t>
      </w:r>
      <w:r w:rsidRPr="00AA6144">
        <w:rPr>
          <w:color w:val="auto"/>
          <w:lang w:val="en-CA"/>
        </w:rPr>
        <w:t>refuse surrender. Section</w:t>
      </w:r>
      <w:r w:rsidR="00F42D41" w:rsidRPr="00AA6144">
        <w:rPr>
          <w:color w:val="auto"/>
          <w:lang w:val="en-CA"/>
        </w:rPr>
        <w:t>s</w:t>
      </w:r>
      <w:r w:rsidRPr="00AA6144">
        <w:rPr>
          <w:color w:val="auto"/>
          <w:lang w:val="en-CA"/>
        </w:rPr>
        <w:t xml:space="preserve"> 44(1) </w:t>
      </w:r>
      <w:r w:rsidR="00F42D41" w:rsidRPr="00AA6144">
        <w:rPr>
          <w:color w:val="auto"/>
          <w:lang w:val="en-CA"/>
        </w:rPr>
        <w:t xml:space="preserve">and 46(1) </w:t>
      </w:r>
      <w:r w:rsidRPr="00AA6144">
        <w:rPr>
          <w:color w:val="auto"/>
          <w:lang w:val="en-CA"/>
        </w:rPr>
        <w:t xml:space="preserve">of the </w:t>
      </w:r>
      <w:r w:rsidRPr="00AA6144">
        <w:rPr>
          <w:i/>
          <w:color w:val="auto"/>
          <w:lang w:val="en-CA"/>
        </w:rPr>
        <w:t>Extradition Act</w:t>
      </w:r>
      <w:r w:rsidR="00355C5C" w:rsidRPr="00AA6144">
        <w:rPr>
          <w:color w:val="auto"/>
          <w:lang w:val="en-CA"/>
        </w:rPr>
        <w:t xml:space="preserve"> set</w:t>
      </w:r>
      <w:r w:rsidRPr="00AA6144">
        <w:rPr>
          <w:color w:val="auto"/>
          <w:lang w:val="en-CA"/>
        </w:rPr>
        <w:t xml:space="preserve"> out the mandatory grounds of refusal. </w:t>
      </w:r>
      <w:r w:rsidR="00355C5C" w:rsidRPr="00AA6144">
        <w:rPr>
          <w:color w:val="auto"/>
          <w:lang w:val="en-CA"/>
        </w:rPr>
        <w:t>Section 44(1)</w:t>
      </w:r>
      <w:r w:rsidRPr="00AA6144">
        <w:rPr>
          <w:color w:val="auto"/>
          <w:lang w:val="en-CA"/>
        </w:rPr>
        <w:t xml:space="preserve"> include</w:t>
      </w:r>
      <w:r w:rsidR="00355C5C" w:rsidRPr="00AA6144">
        <w:rPr>
          <w:color w:val="auto"/>
          <w:lang w:val="en-CA"/>
        </w:rPr>
        <w:t>s</w:t>
      </w:r>
      <w:r w:rsidRPr="00AA6144">
        <w:rPr>
          <w:color w:val="auto"/>
          <w:lang w:val="en-CA"/>
        </w:rPr>
        <w:t xml:space="preserve"> instances where the surrender would be unjust or oppressive</w:t>
      </w:r>
      <w:r w:rsidRPr="00AA6144">
        <w:rPr>
          <w:rStyle w:val="FootnoteReference"/>
          <w:color w:val="auto"/>
          <w:lang w:val="en-CA"/>
        </w:rPr>
        <w:footnoteReference w:id="505"/>
      </w:r>
      <w:r w:rsidRPr="00AA6144">
        <w:rPr>
          <w:color w:val="auto"/>
          <w:lang w:val="en-CA"/>
        </w:rPr>
        <w:t xml:space="preserve"> </w:t>
      </w:r>
      <w:r w:rsidR="00E35BF4" w:rsidRPr="00AA6144">
        <w:rPr>
          <w:color w:val="auto"/>
          <w:lang w:val="en-CA"/>
        </w:rPr>
        <w:t xml:space="preserve">or where </w:t>
      </w:r>
      <w:r w:rsidRPr="00AA6144">
        <w:rPr>
          <w:color w:val="auto"/>
          <w:lang w:val="en-CA"/>
        </w:rPr>
        <w:t>the request is made for the purpose of prosecuting or punishing a person for discriminatory purposes (including race, religion, nationality, ethnic origin, language, colour</w:t>
      </w:r>
      <w:r w:rsidR="00E35BF4" w:rsidRPr="00AA6144">
        <w:rPr>
          <w:color w:val="auto"/>
          <w:lang w:val="en-CA"/>
        </w:rPr>
        <w:t>, political opinion, sex, sexual orientation, age, mental or physical disability, or status).</w:t>
      </w:r>
      <w:r w:rsidR="00755626" w:rsidRPr="00AA6144">
        <w:rPr>
          <w:rStyle w:val="FootnoteReference"/>
          <w:color w:val="auto"/>
          <w:lang w:val="en-CA"/>
        </w:rPr>
        <w:footnoteReference w:id="506"/>
      </w:r>
      <w:r w:rsidR="00355C5C" w:rsidRPr="00AA6144">
        <w:rPr>
          <w:color w:val="auto"/>
          <w:lang w:val="en-CA"/>
        </w:rPr>
        <w:t xml:space="preserve"> Section 46(1) </w:t>
      </w:r>
      <w:r w:rsidR="00F551D6" w:rsidRPr="00AA6144">
        <w:rPr>
          <w:color w:val="auto"/>
          <w:lang w:val="en-CA"/>
        </w:rPr>
        <w:t>states that the Minister must refuse to surrender</w:t>
      </w:r>
      <w:r w:rsidR="007C0FD6" w:rsidRPr="00AA6144">
        <w:rPr>
          <w:color w:val="auto"/>
          <w:lang w:val="en-CA"/>
        </w:rPr>
        <w:t xml:space="preserve"> a person sought in </w:t>
      </w:r>
      <w:r w:rsidR="00872580" w:rsidRPr="00AA6144">
        <w:rPr>
          <w:color w:val="auto"/>
          <w:lang w:val="en-CA"/>
        </w:rPr>
        <w:t xml:space="preserve">three </w:t>
      </w:r>
      <w:r w:rsidR="007C0FD6" w:rsidRPr="00AA6144">
        <w:rPr>
          <w:color w:val="auto"/>
          <w:lang w:val="en-CA"/>
        </w:rPr>
        <w:t>situations:</w:t>
      </w:r>
    </w:p>
    <w:p w14:paraId="581FB643" w14:textId="77777777" w:rsidR="007C0FD6" w:rsidRPr="00AA6144" w:rsidRDefault="007C0FD6" w:rsidP="002D5FB1">
      <w:pPr>
        <w:pStyle w:val="AIBodyText"/>
        <w:ind w:left="357" w:firstLine="3"/>
        <w:rPr>
          <w:color w:val="auto"/>
          <w:lang w:val="en-CA"/>
        </w:rPr>
      </w:pPr>
      <w:r w:rsidRPr="00AA6144">
        <w:rPr>
          <w:color w:val="auto"/>
          <w:lang w:val="en-CA"/>
        </w:rPr>
        <w:t>(a) the prosecution of a person is barred by prescription or limitation under the law that applies to the extradition partner;</w:t>
      </w:r>
      <w:r w:rsidRPr="00AA6144">
        <w:rPr>
          <w:color w:val="auto"/>
          <w:lang w:val="en-CA"/>
        </w:rPr>
        <w:br/>
        <w:t>(b) the conduct in respect of which extradition is sought is a military offence that is not also an offence under criminal law; or</w:t>
      </w:r>
      <w:r w:rsidRPr="00AA6144">
        <w:rPr>
          <w:color w:val="auto"/>
          <w:lang w:val="en-CA"/>
        </w:rPr>
        <w:br/>
        <w:t>(c) the conduct in respect of which extradition is sought is a political offence or an offence of a political character.</w:t>
      </w:r>
      <w:r w:rsidR="005A72D5" w:rsidRPr="00AA6144">
        <w:rPr>
          <w:rStyle w:val="FootnoteReference"/>
          <w:color w:val="auto"/>
          <w:lang w:val="en-CA"/>
        </w:rPr>
        <w:footnoteReference w:id="507"/>
      </w:r>
    </w:p>
    <w:p w14:paraId="53A01F40" w14:textId="77777777" w:rsidR="004076FD" w:rsidRPr="00AA6144" w:rsidRDefault="00E1260D" w:rsidP="002D5FB1">
      <w:pPr>
        <w:pStyle w:val="AIBodyText"/>
        <w:rPr>
          <w:color w:val="auto"/>
          <w:lang w:val="en-CA"/>
        </w:rPr>
      </w:pPr>
      <w:r w:rsidRPr="00AA6144">
        <w:rPr>
          <w:color w:val="auto"/>
          <w:lang w:val="en-CA"/>
        </w:rPr>
        <w:t>Section</w:t>
      </w:r>
      <w:r w:rsidR="00426E5A" w:rsidRPr="00AA6144">
        <w:rPr>
          <w:color w:val="auto"/>
          <w:lang w:val="en-CA"/>
        </w:rPr>
        <w:t>s</w:t>
      </w:r>
      <w:r w:rsidRPr="00AA6144">
        <w:rPr>
          <w:color w:val="auto"/>
          <w:lang w:val="en-CA"/>
        </w:rPr>
        <w:t xml:space="preserve"> 44(2) </w:t>
      </w:r>
      <w:r w:rsidR="00426E5A" w:rsidRPr="00AA6144">
        <w:rPr>
          <w:color w:val="auto"/>
          <w:lang w:val="en-CA"/>
        </w:rPr>
        <w:t xml:space="preserve">and 47 </w:t>
      </w:r>
      <w:r w:rsidRPr="00AA6144">
        <w:rPr>
          <w:color w:val="auto"/>
          <w:lang w:val="en-CA"/>
        </w:rPr>
        <w:t xml:space="preserve">of the </w:t>
      </w:r>
      <w:r w:rsidRPr="00AA6144">
        <w:rPr>
          <w:i/>
          <w:color w:val="auto"/>
          <w:lang w:val="en-CA"/>
        </w:rPr>
        <w:t>Extradition Act</w:t>
      </w:r>
      <w:r w:rsidRPr="00AA6144">
        <w:rPr>
          <w:color w:val="auto"/>
          <w:lang w:val="en-CA"/>
        </w:rPr>
        <w:t xml:space="preserve"> </w:t>
      </w:r>
      <w:r w:rsidR="00AB32BC" w:rsidRPr="00AA6144">
        <w:rPr>
          <w:color w:val="auto"/>
          <w:lang w:val="en-CA"/>
        </w:rPr>
        <w:t>sets out the discretionary ground of refusal</w:t>
      </w:r>
      <w:r w:rsidR="00426E5A" w:rsidRPr="00AA6144">
        <w:rPr>
          <w:color w:val="auto"/>
          <w:lang w:val="en-CA"/>
        </w:rPr>
        <w:t>. According to section 44(2)</w:t>
      </w:r>
      <w:r w:rsidR="00872580" w:rsidRPr="00AA6144">
        <w:rPr>
          <w:color w:val="auto"/>
          <w:lang w:val="en-CA"/>
        </w:rPr>
        <w:t>,</w:t>
      </w:r>
      <w:r w:rsidR="00AB32BC" w:rsidRPr="00AA6144">
        <w:rPr>
          <w:color w:val="auto"/>
          <w:lang w:val="en-CA"/>
        </w:rPr>
        <w:t xml:space="preserve"> the Minister may refuse to make a surrender order if </w:t>
      </w:r>
      <w:r w:rsidR="00872580" w:rsidRPr="00AA6144">
        <w:rPr>
          <w:color w:val="auto"/>
          <w:lang w:val="en-CA"/>
        </w:rPr>
        <w:t>he or she is</w:t>
      </w:r>
      <w:r w:rsidR="00AB32BC" w:rsidRPr="00AA6144">
        <w:rPr>
          <w:color w:val="auto"/>
          <w:lang w:val="en-CA"/>
        </w:rPr>
        <w:t xml:space="preserve"> satisfied that the </w:t>
      </w:r>
      <w:r w:rsidR="00AC62E9" w:rsidRPr="00AA6144">
        <w:rPr>
          <w:color w:val="auto"/>
          <w:lang w:val="en-CA"/>
        </w:rPr>
        <w:t>offence for which the person is sought for extradition is punishable by death under the domestic laws of the extradition partner.</w:t>
      </w:r>
      <w:r w:rsidR="00FF7009" w:rsidRPr="00AA6144">
        <w:rPr>
          <w:rStyle w:val="FootnoteReference"/>
          <w:color w:val="auto"/>
          <w:lang w:val="en-CA"/>
        </w:rPr>
        <w:footnoteReference w:id="508"/>
      </w:r>
      <w:r w:rsidR="009B3059" w:rsidRPr="00AA6144">
        <w:rPr>
          <w:color w:val="auto"/>
          <w:lang w:val="en-CA"/>
        </w:rPr>
        <w:t xml:space="preserve"> </w:t>
      </w:r>
      <w:r w:rsidR="00DE59A9" w:rsidRPr="00AA6144">
        <w:rPr>
          <w:color w:val="auto"/>
          <w:lang w:val="en-CA"/>
        </w:rPr>
        <w:t xml:space="preserve">In section 47, the Minister </w:t>
      </w:r>
      <w:r w:rsidR="00C5378D" w:rsidRPr="00AA6144">
        <w:rPr>
          <w:color w:val="auto"/>
          <w:lang w:val="en-CA"/>
        </w:rPr>
        <w:t xml:space="preserve">may refuse to make the surrender order </w:t>
      </w:r>
      <w:r w:rsidR="004076FD" w:rsidRPr="00AA6144">
        <w:rPr>
          <w:color w:val="auto"/>
          <w:lang w:val="en-CA"/>
        </w:rPr>
        <w:t xml:space="preserve">if </w:t>
      </w:r>
      <w:r w:rsidR="00872580" w:rsidRPr="00AA6144">
        <w:rPr>
          <w:color w:val="auto"/>
          <w:lang w:val="en-CA"/>
        </w:rPr>
        <w:t>he or she is</w:t>
      </w:r>
      <w:r w:rsidR="004076FD" w:rsidRPr="00AA6144">
        <w:rPr>
          <w:color w:val="auto"/>
          <w:lang w:val="en-CA"/>
        </w:rPr>
        <w:t xml:space="preserve"> satisfied that:</w:t>
      </w:r>
    </w:p>
    <w:p w14:paraId="40DBBE34" w14:textId="491CE64F" w:rsidR="009E3308" w:rsidRPr="00AA6144" w:rsidRDefault="00C60B26" w:rsidP="00AA6144">
      <w:pPr>
        <w:pStyle w:val="AIBodyText"/>
        <w:ind w:left="719"/>
        <w:rPr>
          <w:color w:val="auto"/>
          <w:lang w:val="en-CA"/>
        </w:rPr>
      </w:pPr>
      <w:r w:rsidRPr="00AA6144">
        <w:rPr>
          <w:color w:val="auto"/>
          <w:lang w:val="en-CA"/>
        </w:rPr>
        <w:t xml:space="preserve">(a) </w:t>
      </w:r>
      <w:r w:rsidR="004076FD" w:rsidRPr="00AA6144">
        <w:rPr>
          <w:color w:val="auto"/>
          <w:lang w:val="en-CA"/>
        </w:rPr>
        <w:t>the person would be entitled, if that person were tried in Canada, to be discharged under the laws of Canada because of a previous acquittal or conviction;</w:t>
      </w:r>
      <w:r w:rsidR="004076FD" w:rsidRPr="00AA6144">
        <w:rPr>
          <w:color w:val="auto"/>
          <w:lang w:val="en-CA"/>
        </w:rPr>
        <w:br/>
        <w:t>(</w:t>
      </w:r>
      <w:r w:rsidR="004076FD" w:rsidRPr="00AA6144">
        <w:rPr>
          <w:iCs/>
          <w:color w:val="auto"/>
          <w:lang w:val="en-CA"/>
        </w:rPr>
        <w:t>b</w:t>
      </w:r>
      <w:r w:rsidR="004076FD" w:rsidRPr="00AA6144">
        <w:rPr>
          <w:color w:val="auto"/>
          <w:lang w:val="en-CA"/>
        </w:rPr>
        <w:t>) the person was convicted in their absence and could not, on surrender, have the case reviewed; (</w:t>
      </w:r>
      <w:r w:rsidR="004076FD" w:rsidRPr="00AA6144">
        <w:rPr>
          <w:iCs/>
          <w:color w:val="auto"/>
          <w:lang w:val="en-CA"/>
        </w:rPr>
        <w:t>c</w:t>
      </w:r>
      <w:r w:rsidR="004076FD" w:rsidRPr="00AA6144">
        <w:rPr>
          <w:color w:val="auto"/>
          <w:lang w:val="en-CA"/>
        </w:rPr>
        <w:t xml:space="preserve">) the person was less than eighteen years old at the time of the offence and the law that applies to them in the territory over which the extradition partner has jurisdiction is not consistent with the fundamental principles governing the </w:t>
      </w:r>
      <w:r w:rsidR="004076FD" w:rsidRPr="00AA6144">
        <w:rPr>
          <w:i/>
          <w:iCs/>
          <w:color w:val="auto"/>
          <w:lang w:val="en-CA"/>
        </w:rPr>
        <w:t>Youth Criminal Justice Act</w:t>
      </w:r>
      <w:r w:rsidR="004076FD" w:rsidRPr="00AA6144">
        <w:rPr>
          <w:color w:val="auto"/>
          <w:lang w:val="en-CA"/>
        </w:rPr>
        <w:t>;</w:t>
      </w:r>
      <w:r w:rsidR="00F362C2" w:rsidRPr="00AA6144">
        <w:rPr>
          <w:color w:val="auto"/>
          <w:lang w:val="en-CA"/>
        </w:rPr>
        <w:br/>
      </w:r>
      <w:r w:rsidR="004076FD" w:rsidRPr="00AA6144">
        <w:rPr>
          <w:color w:val="auto"/>
          <w:lang w:val="en-CA"/>
        </w:rPr>
        <w:t>(</w:t>
      </w:r>
      <w:r w:rsidR="004076FD" w:rsidRPr="00AA6144">
        <w:rPr>
          <w:iCs/>
          <w:color w:val="auto"/>
          <w:lang w:val="en-CA"/>
        </w:rPr>
        <w:t>d</w:t>
      </w:r>
      <w:r w:rsidR="004076FD" w:rsidRPr="00AA6144">
        <w:rPr>
          <w:color w:val="auto"/>
          <w:lang w:val="en-CA"/>
        </w:rPr>
        <w:t>) the conduct in respect of which the request for extradition is made is the subject of criminal proceedings in Canada against the person; or</w:t>
      </w:r>
      <w:r w:rsidR="004076FD" w:rsidRPr="00AA6144">
        <w:rPr>
          <w:color w:val="auto"/>
          <w:lang w:val="en-CA"/>
        </w:rPr>
        <w:br/>
        <w:t>(</w:t>
      </w:r>
      <w:r w:rsidR="004076FD" w:rsidRPr="00AA6144">
        <w:rPr>
          <w:iCs/>
          <w:color w:val="auto"/>
          <w:lang w:val="en-CA"/>
        </w:rPr>
        <w:t>e</w:t>
      </w:r>
      <w:r w:rsidR="004076FD" w:rsidRPr="00AA6144">
        <w:rPr>
          <w:color w:val="auto"/>
          <w:lang w:val="en-CA"/>
        </w:rPr>
        <w:t>) none of the conduct on which the extradition partner bases its request occurred in the territory over which the extradition partner has jurisdiction.</w:t>
      </w:r>
      <w:r w:rsidR="00EC2327" w:rsidRPr="00AA6144">
        <w:rPr>
          <w:rStyle w:val="FootnoteReference"/>
          <w:color w:val="auto"/>
          <w:lang w:val="en-CA"/>
        </w:rPr>
        <w:footnoteReference w:id="509"/>
      </w:r>
    </w:p>
    <w:p w14:paraId="491CB691" w14:textId="74BC3DC9" w:rsidR="009E3308" w:rsidRPr="00AA6144" w:rsidRDefault="006E6E51" w:rsidP="00AA6144">
      <w:pPr>
        <w:pStyle w:val="AIBodyText"/>
        <w:rPr>
          <w:rStyle w:val="verdana"/>
          <w:color w:val="auto"/>
          <w:lang w:val="en-CA"/>
        </w:rPr>
      </w:pPr>
      <w:r w:rsidRPr="00AA6144">
        <w:rPr>
          <w:color w:val="auto"/>
          <w:lang w:val="en-CA"/>
        </w:rPr>
        <w:t xml:space="preserve">Section 6.1 of the </w:t>
      </w:r>
      <w:r w:rsidRPr="00AA6144">
        <w:rPr>
          <w:i/>
          <w:color w:val="auto"/>
          <w:lang w:val="en-CA"/>
        </w:rPr>
        <w:t>Extradition Act</w:t>
      </w:r>
      <w:r w:rsidRPr="00AA6144">
        <w:rPr>
          <w:color w:val="auto"/>
          <w:lang w:val="en-CA"/>
        </w:rPr>
        <w:t xml:space="preserve"> limits claims of immunity from arrest or surrender by the person sought by the ICC.</w:t>
      </w:r>
      <w:r w:rsidR="00D62BBC" w:rsidRPr="00AA6144">
        <w:rPr>
          <w:rStyle w:val="FootnoteReference"/>
          <w:color w:val="auto"/>
          <w:lang w:val="en-CA"/>
        </w:rPr>
        <w:footnoteReference w:id="510"/>
      </w:r>
      <w:r w:rsidRPr="00AA6144">
        <w:rPr>
          <w:color w:val="auto"/>
          <w:lang w:val="en-CA"/>
        </w:rPr>
        <w:t xml:space="preserve"> </w:t>
      </w:r>
      <w:r w:rsidR="00816C13" w:rsidRPr="00AA6144">
        <w:rPr>
          <w:color w:val="auto"/>
          <w:lang w:val="en-CA"/>
        </w:rPr>
        <w:t xml:space="preserve"> </w:t>
      </w:r>
      <w:bookmarkStart w:id="177" w:name="ORIGHIT_11"/>
      <w:bookmarkStart w:id="178" w:name="HIT_11"/>
      <w:bookmarkEnd w:id="177"/>
      <w:bookmarkEnd w:id="178"/>
      <w:r w:rsidR="009E3308" w:rsidRPr="00AA6144">
        <w:rPr>
          <w:rStyle w:val="verdana"/>
          <w:color w:val="auto"/>
          <w:lang w:val="en-CA"/>
        </w:rPr>
        <w:t>After the individual has been committed for extradition, but prior to being surrendered to the requesting state, the accused has 90 days to make submissions to the Minister on “any ground that would be relevant to the Minister in making a decision” regarding surrender.</w:t>
      </w:r>
      <w:r w:rsidR="009E3308" w:rsidRPr="00AA6144">
        <w:rPr>
          <w:rStyle w:val="FootnoteReference"/>
          <w:color w:val="auto"/>
          <w:lang w:val="en-CA"/>
        </w:rPr>
        <w:footnoteReference w:id="511"/>
      </w:r>
      <w:r w:rsidR="009E3308" w:rsidRPr="00AA6144">
        <w:rPr>
          <w:rStyle w:val="verdana"/>
          <w:color w:val="auto"/>
          <w:lang w:val="en-CA"/>
        </w:rPr>
        <w:t xml:space="preserve"> The Minister again reviews the case </w:t>
      </w:r>
      <w:r w:rsidR="00455804" w:rsidRPr="00AA6144">
        <w:rPr>
          <w:rStyle w:val="verdana"/>
          <w:color w:val="auto"/>
          <w:lang w:val="en-CA"/>
        </w:rPr>
        <w:t xml:space="preserve">before </w:t>
      </w:r>
      <w:r w:rsidR="009E3308" w:rsidRPr="00AA6144">
        <w:rPr>
          <w:rStyle w:val="verdana"/>
          <w:color w:val="auto"/>
          <w:lang w:val="en-CA"/>
        </w:rPr>
        <w:t>issuing</w:t>
      </w:r>
      <w:r w:rsidR="00455804" w:rsidRPr="00AA6144">
        <w:rPr>
          <w:rStyle w:val="verdana"/>
          <w:color w:val="auto"/>
          <w:lang w:val="en-CA"/>
        </w:rPr>
        <w:t xml:space="preserve"> or denying</w:t>
      </w:r>
      <w:r w:rsidR="009E3308" w:rsidRPr="00AA6144">
        <w:rPr>
          <w:rStyle w:val="verdana"/>
          <w:color w:val="auto"/>
          <w:lang w:val="en-CA"/>
        </w:rPr>
        <w:t xml:space="preserve"> a surrender order to the requesting state</w:t>
      </w:r>
      <w:r w:rsidR="00455804" w:rsidRPr="00AA6144">
        <w:rPr>
          <w:rStyle w:val="verdana"/>
          <w:color w:val="auto"/>
          <w:lang w:val="en-CA"/>
        </w:rPr>
        <w:t>,</w:t>
      </w:r>
      <w:r w:rsidR="009E3308" w:rsidRPr="00AA6144">
        <w:rPr>
          <w:rStyle w:val="FootnoteReference"/>
          <w:color w:val="auto"/>
          <w:lang w:val="en-CA"/>
        </w:rPr>
        <w:footnoteReference w:id="512"/>
      </w:r>
      <w:r w:rsidR="009E3308" w:rsidRPr="00AA6144">
        <w:rPr>
          <w:rStyle w:val="verdana"/>
          <w:color w:val="auto"/>
          <w:lang w:val="en-CA"/>
        </w:rPr>
        <w:t xml:space="preserve"> accompanied by “any assurances that the Minister considers appropriate” (sought from the extradition partner) or “subject [to] any conditions that the Minister considers appropriate” (unilateral</w:t>
      </w:r>
      <w:r w:rsidR="00455804" w:rsidRPr="00AA6144">
        <w:rPr>
          <w:rStyle w:val="verdana"/>
          <w:color w:val="auto"/>
          <w:lang w:val="en-CA"/>
        </w:rPr>
        <w:t>ly imposed by Canada</w:t>
      </w:r>
      <w:r w:rsidR="009E3308" w:rsidRPr="00AA6144">
        <w:rPr>
          <w:rStyle w:val="verdana"/>
          <w:color w:val="auto"/>
          <w:lang w:val="en-CA"/>
        </w:rPr>
        <w:t>).</w:t>
      </w:r>
      <w:r w:rsidR="009E3308" w:rsidRPr="00AA6144">
        <w:rPr>
          <w:rStyle w:val="FootnoteReference"/>
          <w:color w:val="auto"/>
          <w:lang w:val="en-CA"/>
        </w:rPr>
        <w:footnoteReference w:id="513"/>
      </w:r>
      <w:r w:rsidR="009E3308" w:rsidRPr="00AA6144">
        <w:rPr>
          <w:rStyle w:val="verdana"/>
          <w:color w:val="auto"/>
          <w:lang w:val="en-CA"/>
        </w:rPr>
        <w:t xml:space="preserve"> After the surrender order is issued, the individual has 30 days to apply for judicial review to the court of appeal of the province </w:t>
      </w:r>
      <w:r w:rsidR="00170DCD" w:rsidRPr="00AA6144">
        <w:rPr>
          <w:rStyle w:val="verdana"/>
          <w:color w:val="auto"/>
          <w:lang w:val="en-CA"/>
        </w:rPr>
        <w:t xml:space="preserve">in </w:t>
      </w:r>
      <w:r w:rsidR="008F4E16" w:rsidRPr="00AA6144">
        <w:rPr>
          <w:rStyle w:val="verdana"/>
          <w:color w:val="auto"/>
          <w:lang w:val="en-CA"/>
        </w:rPr>
        <w:t xml:space="preserve">which </w:t>
      </w:r>
      <w:r w:rsidR="009E3308" w:rsidRPr="00AA6144">
        <w:rPr>
          <w:rStyle w:val="verdana"/>
          <w:color w:val="auto"/>
          <w:lang w:val="en-CA"/>
        </w:rPr>
        <w:t>committal was ordered.</w:t>
      </w:r>
      <w:r w:rsidR="009E3308" w:rsidRPr="00AA6144">
        <w:rPr>
          <w:rStyle w:val="FootnoteReference"/>
          <w:color w:val="auto"/>
          <w:lang w:val="en-CA"/>
        </w:rPr>
        <w:footnoteReference w:id="514"/>
      </w:r>
      <w:r w:rsidR="009E3308" w:rsidRPr="00AA6144">
        <w:rPr>
          <w:rStyle w:val="verdana"/>
          <w:color w:val="auto"/>
          <w:lang w:val="en-CA"/>
        </w:rPr>
        <w:t xml:space="preserve"> The Minister also has discretion to delay a surrender order until the conclusion of a trial or serving of a sentence by the same individual within Canada</w:t>
      </w:r>
      <w:r w:rsidR="00BA053D" w:rsidRPr="00AA6144">
        <w:rPr>
          <w:rStyle w:val="verdana"/>
          <w:color w:val="auto"/>
          <w:lang w:val="en-CA"/>
        </w:rPr>
        <w:t>,</w:t>
      </w:r>
      <w:r w:rsidR="009E3308" w:rsidRPr="00AA6144">
        <w:rPr>
          <w:rStyle w:val="verdana"/>
          <w:color w:val="auto"/>
          <w:lang w:val="en-CA"/>
        </w:rPr>
        <w:t xml:space="preserve"> provided it is not in relation to the same conduct for which the surrender order is being issued.</w:t>
      </w:r>
      <w:r w:rsidR="009E3308" w:rsidRPr="00AA6144">
        <w:rPr>
          <w:rStyle w:val="FootnoteReference"/>
          <w:color w:val="auto"/>
          <w:lang w:val="en-CA"/>
        </w:rPr>
        <w:footnoteReference w:id="515"/>
      </w:r>
    </w:p>
    <w:p w14:paraId="6D94C52B" w14:textId="77777777" w:rsidR="009E3308" w:rsidRPr="00AA6144" w:rsidRDefault="009E3308" w:rsidP="009E3308">
      <w:pPr>
        <w:pStyle w:val="Heading3"/>
        <w:rPr>
          <w:color w:val="auto"/>
          <w:lang w:val="en-CA"/>
        </w:rPr>
      </w:pPr>
      <w:bookmarkStart w:id="179" w:name="_Toc294914655"/>
      <w:bookmarkStart w:id="180" w:name="_Toc43382763"/>
      <w:bookmarkStart w:id="181" w:name="_Toc193798683"/>
      <w:bookmarkStart w:id="182" w:name="_Toc220954484"/>
      <w:bookmarkEnd w:id="174"/>
      <w:bookmarkEnd w:id="175"/>
      <w:r w:rsidRPr="00AA6144">
        <w:rPr>
          <w:color w:val="auto"/>
          <w:lang w:val="en-CA"/>
        </w:rPr>
        <w:t>7.1.1. Obstacles to extradition</w:t>
      </w:r>
      <w:bookmarkEnd w:id="179"/>
      <w:r w:rsidRPr="00AA6144">
        <w:rPr>
          <w:color w:val="auto"/>
          <w:lang w:val="en-CA"/>
        </w:rPr>
        <w:t xml:space="preserve"> </w:t>
      </w:r>
      <w:r w:rsidR="00D013CE" w:rsidRPr="00AA6144">
        <w:rPr>
          <w:color w:val="auto"/>
          <w:lang w:val="en-CA"/>
        </w:rPr>
        <w:t>to and from canada</w:t>
      </w:r>
      <w:bookmarkEnd w:id="180"/>
    </w:p>
    <w:p w14:paraId="7F5D036B" w14:textId="77777777" w:rsidR="00DF338C" w:rsidRPr="00AA6144" w:rsidRDefault="00DF338C" w:rsidP="00DF338C">
      <w:pPr>
        <w:spacing w:after="0"/>
        <w:rPr>
          <w:lang w:val="en-CA"/>
        </w:rPr>
      </w:pPr>
    </w:p>
    <w:p w14:paraId="2E59295E" w14:textId="77777777" w:rsidR="009E3308" w:rsidRPr="00AA6144" w:rsidRDefault="009E3308" w:rsidP="009E3308">
      <w:pPr>
        <w:rPr>
          <w:color w:val="auto"/>
          <w:lang w:val="en-CA"/>
        </w:rPr>
      </w:pPr>
      <w:bookmarkStart w:id="183" w:name="_Toc294914656"/>
      <w:r w:rsidRPr="00AA6144">
        <w:rPr>
          <w:color w:val="auto"/>
          <w:lang w:val="en-CA"/>
        </w:rPr>
        <w:t xml:space="preserve">There are a number of obstacles to </w:t>
      </w:r>
      <w:r w:rsidR="002B67AD" w:rsidRPr="00AA6144">
        <w:rPr>
          <w:color w:val="auto"/>
          <w:lang w:val="en-CA"/>
        </w:rPr>
        <w:t xml:space="preserve">requesting extradition to and from Canada, </w:t>
      </w:r>
      <w:r w:rsidRPr="00AA6144">
        <w:rPr>
          <w:color w:val="auto"/>
          <w:lang w:val="en-CA"/>
        </w:rPr>
        <w:t>including: Ministerial discretion at all stages of the extradition process, prohibitions against extradition for military crimes or offen</w:t>
      </w:r>
      <w:r w:rsidR="00AE7FB9" w:rsidRPr="00AA6144">
        <w:rPr>
          <w:color w:val="auto"/>
          <w:lang w:val="en-CA"/>
        </w:rPr>
        <w:t>c</w:t>
      </w:r>
      <w:r w:rsidRPr="00AA6144">
        <w:rPr>
          <w:color w:val="auto"/>
          <w:lang w:val="en-CA"/>
        </w:rPr>
        <w:t xml:space="preserve">es not considered criminal at the time they were committed, and constitutional safeguards arising from the application of the Canadian </w:t>
      </w:r>
      <w:r w:rsidRPr="00AA6144">
        <w:rPr>
          <w:i/>
          <w:color w:val="auto"/>
          <w:lang w:val="en-CA"/>
        </w:rPr>
        <w:t>Charter</w:t>
      </w:r>
      <w:bookmarkStart w:id="184" w:name="_Toc294914657"/>
      <w:bookmarkEnd w:id="183"/>
      <w:r w:rsidRPr="00AA6144">
        <w:rPr>
          <w:color w:val="auto"/>
          <w:lang w:val="en-CA"/>
        </w:rPr>
        <w:t>, including the mobility rights of Canadian citizens which require consideration of domestic prosecution, and the potential for torture or application of the death penalty.</w:t>
      </w:r>
    </w:p>
    <w:p w14:paraId="2D94BA9D" w14:textId="77777777" w:rsidR="009E3308" w:rsidRPr="00AA6144" w:rsidRDefault="009E3308" w:rsidP="009E3308">
      <w:pPr>
        <w:pStyle w:val="Heading4"/>
        <w:rPr>
          <w:color w:val="auto"/>
          <w:lang w:val="en-CA"/>
        </w:rPr>
      </w:pPr>
      <w:bookmarkStart w:id="185" w:name="_Toc43382764"/>
      <w:r w:rsidRPr="00AA6144">
        <w:rPr>
          <w:color w:val="auto"/>
          <w:lang w:val="en-CA"/>
        </w:rPr>
        <w:t>7.1.1.1. Political control over the making or granting of extradition requests</w:t>
      </w:r>
      <w:bookmarkEnd w:id="181"/>
      <w:bookmarkEnd w:id="182"/>
      <w:bookmarkEnd w:id="184"/>
      <w:bookmarkEnd w:id="185"/>
      <w:r w:rsidRPr="00AA6144">
        <w:rPr>
          <w:color w:val="auto"/>
          <w:lang w:val="en-CA"/>
        </w:rPr>
        <w:t xml:space="preserve">   </w:t>
      </w:r>
    </w:p>
    <w:p w14:paraId="3DC7ED1B" w14:textId="77777777" w:rsidR="009E3308" w:rsidRPr="00AA6144" w:rsidRDefault="009E3308" w:rsidP="009E3308">
      <w:pPr>
        <w:pStyle w:val="AIBodyText"/>
        <w:rPr>
          <w:color w:val="auto"/>
          <w:lang w:val="en-CA"/>
        </w:rPr>
      </w:pPr>
      <w:bookmarkStart w:id="186" w:name="_Toc193798684"/>
      <w:r w:rsidRPr="00AA6144">
        <w:rPr>
          <w:color w:val="auto"/>
          <w:lang w:val="en-CA"/>
        </w:rPr>
        <w:t>While the discretionary power of the Minister at th</w:t>
      </w:r>
      <w:r w:rsidR="001D267A" w:rsidRPr="00AA6144">
        <w:rPr>
          <w:color w:val="auto"/>
          <w:lang w:val="en-CA"/>
        </w:rPr>
        <w:t>e ministerial phase</w:t>
      </w:r>
      <w:r w:rsidRPr="00AA6144">
        <w:rPr>
          <w:color w:val="auto"/>
          <w:lang w:val="en-CA"/>
        </w:rPr>
        <w:t xml:space="preserve"> is not absolute, the Supreme Court of Canada</w:t>
      </w:r>
      <w:r w:rsidR="00553913" w:rsidRPr="00AA6144">
        <w:rPr>
          <w:color w:val="auto"/>
          <w:lang w:val="en-CA"/>
        </w:rPr>
        <w:t xml:space="preserve"> in </w:t>
      </w:r>
      <w:r w:rsidR="00553913" w:rsidRPr="00AA6144">
        <w:rPr>
          <w:i/>
          <w:color w:val="auto"/>
          <w:lang w:val="en-CA"/>
        </w:rPr>
        <w:t>Lake</w:t>
      </w:r>
      <w:r w:rsidRPr="00AA6144">
        <w:rPr>
          <w:color w:val="auto"/>
          <w:lang w:val="en-CA"/>
        </w:rPr>
        <w:t xml:space="preserve"> </w:t>
      </w:r>
      <w:r w:rsidR="00A40290" w:rsidRPr="00AA6144">
        <w:rPr>
          <w:color w:val="auto"/>
          <w:lang w:val="en-CA"/>
        </w:rPr>
        <w:t xml:space="preserve">held that </w:t>
      </w:r>
      <w:r w:rsidR="00553913" w:rsidRPr="00AA6144">
        <w:rPr>
          <w:color w:val="auto"/>
          <w:lang w:val="en-CA"/>
        </w:rPr>
        <w:t xml:space="preserve">the discretionary power of the Minister to grant extradition requests </w:t>
      </w:r>
      <w:r w:rsidRPr="00AA6144">
        <w:rPr>
          <w:color w:val="auto"/>
          <w:lang w:val="en-CA"/>
        </w:rPr>
        <w:t>is situated at “the extreme legislative end of the continuum of administrative decision-making and has essentially a political nature,"</w:t>
      </w:r>
      <w:r w:rsidR="00A40290" w:rsidRPr="00AA6144">
        <w:rPr>
          <w:rStyle w:val="FootnoteReference"/>
          <w:color w:val="auto"/>
          <w:lang w:val="en-CA"/>
        </w:rPr>
        <w:t xml:space="preserve"> </w:t>
      </w:r>
      <w:r w:rsidR="00A40290" w:rsidRPr="00AA6144">
        <w:rPr>
          <w:rStyle w:val="FootnoteReference"/>
          <w:color w:val="auto"/>
          <w:lang w:val="en-CA"/>
        </w:rPr>
        <w:footnoteReference w:id="516"/>
      </w:r>
      <w:r w:rsidRPr="00AA6144">
        <w:rPr>
          <w:color w:val="auto"/>
          <w:lang w:val="en-CA"/>
        </w:rPr>
        <w:t xml:space="preserve"> and as such, the judicial system is unlikely to intervene to deny the broad scope of discretion accorded to the Minister under the terms of the act. </w:t>
      </w:r>
    </w:p>
    <w:p w14:paraId="39DFF701" w14:textId="77777777" w:rsidR="009E3308" w:rsidRPr="00AA6144" w:rsidRDefault="00A40290" w:rsidP="009E3308">
      <w:pPr>
        <w:rPr>
          <w:rStyle w:val="verdana"/>
          <w:color w:val="auto"/>
          <w:lang w:val="en-CA"/>
        </w:rPr>
      </w:pPr>
      <w:r w:rsidRPr="00AA6144">
        <w:rPr>
          <w:rStyle w:val="verdana"/>
          <w:color w:val="auto"/>
          <w:lang w:val="en-CA"/>
        </w:rPr>
        <w:t>T</w:t>
      </w:r>
      <w:r w:rsidR="009E3308" w:rsidRPr="00AA6144">
        <w:rPr>
          <w:rStyle w:val="verdana"/>
          <w:color w:val="auto"/>
          <w:lang w:val="en-CA"/>
        </w:rPr>
        <w:t xml:space="preserve">he Minister of Justice retains full discretion as to whether to attach any preconditions or assurances to the act of </w:t>
      </w:r>
      <w:proofErr w:type="gramStart"/>
      <w:r w:rsidR="009E3308" w:rsidRPr="00AA6144">
        <w:rPr>
          <w:rStyle w:val="verdana"/>
          <w:color w:val="auto"/>
          <w:lang w:val="en-CA"/>
        </w:rPr>
        <w:t>surrender,</w:t>
      </w:r>
      <w:r w:rsidRPr="00AA6144">
        <w:rPr>
          <w:rStyle w:val="verdana"/>
          <w:color w:val="auto"/>
          <w:lang w:val="en-CA"/>
        </w:rPr>
        <w:t xml:space="preserve"> </w:t>
      </w:r>
      <w:r w:rsidR="007038D0" w:rsidRPr="00AA6144">
        <w:rPr>
          <w:rStyle w:val="verdana"/>
          <w:color w:val="auto"/>
          <w:lang w:val="en-CA"/>
        </w:rPr>
        <w:t>but</w:t>
      </w:r>
      <w:proofErr w:type="gramEnd"/>
      <w:r w:rsidRPr="00AA6144">
        <w:rPr>
          <w:rStyle w:val="verdana"/>
          <w:color w:val="auto"/>
          <w:lang w:val="en-CA"/>
        </w:rPr>
        <w:t xml:space="preserve"> has an obligation to refuse surrender under certain conditions.</w:t>
      </w:r>
      <w:r w:rsidR="009E3308" w:rsidRPr="00AA6144">
        <w:rPr>
          <w:rStyle w:val="verdana"/>
          <w:color w:val="auto"/>
          <w:lang w:val="en-CA"/>
        </w:rPr>
        <w:t xml:space="preserve"> </w:t>
      </w:r>
      <w:r w:rsidRPr="00AA6144">
        <w:rPr>
          <w:rStyle w:val="verdana"/>
          <w:color w:val="auto"/>
          <w:lang w:val="en-CA"/>
        </w:rPr>
        <w:t>There is no obligation for the Minister to attach preconditions or assurances</w:t>
      </w:r>
      <w:r w:rsidR="009E3308" w:rsidRPr="00AA6144">
        <w:rPr>
          <w:rStyle w:val="verdana"/>
          <w:color w:val="auto"/>
          <w:lang w:val="en-CA"/>
        </w:rPr>
        <w:t xml:space="preserve"> with respect to crimes of concern to the international community. While normally this serves the purpose of more flexible arrangements that facilitate the extradition process, the discretion exercised by the Minister in characterizing the offen</w:t>
      </w:r>
      <w:r w:rsidR="002F3752" w:rsidRPr="00AA6144">
        <w:rPr>
          <w:rStyle w:val="verdana"/>
          <w:color w:val="auto"/>
          <w:lang w:val="en-CA"/>
        </w:rPr>
        <w:t>c</w:t>
      </w:r>
      <w:r w:rsidR="009E3308" w:rsidRPr="00AA6144">
        <w:rPr>
          <w:rStyle w:val="verdana"/>
          <w:color w:val="auto"/>
          <w:lang w:val="en-CA"/>
        </w:rPr>
        <w:t>e in the ATP and the surrender order creates some ambiguity for crimes of international concern, as these may be characterized in such a way by the country seeking extradition as to lessen their normative importance or minimize state responsibility for the crime being prosecuted.  One can imagine, for instance, a state complicit in crimes against humanity for a mass-killing seeking extradition from Canada of a subordinate military officer for the multiple offen</w:t>
      </w:r>
      <w:r w:rsidR="00E367E0" w:rsidRPr="00AA6144">
        <w:rPr>
          <w:rStyle w:val="verdana"/>
          <w:color w:val="auto"/>
          <w:lang w:val="en-CA"/>
        </w:rPr>
        <w:t>c</w:t>
      </w:r>
      <w:r w:rsidR="009E3308" w:rsidRPr="00AA6144">
        <w:rPr>
          <w:rStyle w:val="verdana"/>
          <w:color w:val="auto"/>
          <w:lang w:val="en-CA"/>
        </w:rPr>
        <w:t xml:space="preserve">es of murder, without acknowledging the collective character as a crime against humanity (and thus a crime of international concern).  Reducing crimes of international concern to their constituent acts reinforces impunity for all complicit actors by ignoring the obligation that states exercising custodial jurisdiction of those suspected of such crimes have to the international community as a whole to ensure effective investigation and prosecution for such crimes. </w:t>
      </w:r>
      <w:proofErr w:type="gramStart"/>
      <w:r w:rsidR="009E3308" w:rsidRPr="00AA6144">
        <w:rPr>
          <w:rStyle w:val="verdana"/>
          <w:color w:val="auto"/>
          <w:lang w:val="en-CA"/>
        </w:rPr>
        <w:t>Obviously</w:t>
      </w:r>
      <w:proofErr w:type="gramEnd"/>
      <w:r w:rsidR="009E3308" w:rsidRPr="00AA6144">
        <w:rPr>
          <w:rStyle w:val="verdana"/>
          <w:color w:val="auto"/>
          <w:lang w:val="en-CA"/>
        </w:rPr>
        <w:t xml:space="preserve"> this is not an issue with respect to extradition to entities such as the International Criminal Court</w:t>
      </w:r>
      <w:r w:rsidR="007038D0" w:rsidRPr="00AA6144">
        <w:rPr>
          <w:rStyle w:val="verdana"/>
          <w:color w:val="auto"/>
          <w:lang w:val="en-CA"/>
        </w:rPr>
        <w:t>,</w:t>
      </w:r>
      <w:r w:rsidR="009E3308" w:rsidRPr="00AA6144">
        <w:rPr>
          <w:rStyle w:val="verdana"/>
          <w:color w:val="auto"/>
          <w:lang w:val="en-CA"/>
        </w:rPr>
        <w:t xml:space="preserve"> whose jurisdiction is limited to </w:t>
      </w:r>
      <w:r w:rsidR="00475A37" w:rsidRPr="00AA6144">
        <w:rPr>
          <w:rStyle w:val="verdana"/>
          <w:color w:val="auto"/>
          <w:lang w:val="en-CA"/>
        </w:rPr>
        <w:t xml:space="preserve">crimes under </w:t>
      </w:r>
      <w:r w:rsidR="009E3308" w:rsidRPr="00AA6144">
        <w:rPr>
          <w:rStyle w:val="verdana"/>
          <w:color w:val="auto"/>
          <w:lang w:val="en-CA"/>
        </w:rPr>
        <w:t xml:space="preserve">international </w:t>
      </w:r>
      <w:r w:rsidR="00475A37" w:rsidRPr="00AA6144">
        <w:rPr>
          <w:rStyle w:val="verdana"/>
          <w:color w:val="auto"/>
          <w:lang w:val="en-CA"/>
        </w:rPr>
        <w:t>law</w:t>
      </w:r>
      <w:r w:rsidR="009E3308" w:rsidRPr="00AA6144">
        <w:rPr>
          <w:rStyle w:val="verdana"/>
          <w:color w:val="auto"/>
          <w:lang w:val="en-CA"/>
        </w:rPr>
        <w:t>.</w:t>
      </w:r>
    </w:p>
    <w:p w14:paraId="6013C52B" w14:textId="77777777" w:rsidR="009E3308" w:rsidRPr="00AA6144" w:rsidRDefault="009E3308" w:rsidP="009E3308">
      <w:pPr>
        <w:rPr>
          <w:rStyle w:val="verdana"/>
          <w:color w:val="auto"/>
          <w:lang w:val="en-CA"/>
        </w:rPr>
      </w:pPr>
      <w:r w:rsidRPr="00AA6144">
        <w:rPr>
          <w:rStyle w:val="verdana"/>
          <w:color w:val="auto"/>
          <w:lang w:val="en-CA"/>
        </w:rPr>
        <w:t xml:space="preserve">Assurances are anticipated in </w:t>
      </w:r>
      <w:r w:rsidR="00E600F0" w:rsidRPr="00AA6144">
        <w:rPr>
          <w:rStyle w:val="verdana"/>
          <w:color w:val="auto"/>
          <w:lang w:val="en-CA"/>
        </w:rPr>
        <w:t xml:space="preserve">extradition </w:t>
      </w:r>
      <w:r w:rsidRPr="00AA6144">
        <w:rPr>
          <w:rStyle w:val="verdana"/>
          <w:color w:val="auto"/>
          <w:lang w:val="en-CA"/>
        </w:rPr>
        <w:t xml:space="preserve">treaties, most commonly for the purpose of assuring that the death penalty will not be sought, as in Article 6 of the </w:t>
      </w:r>
      <w:r w:rsidRPr="00AA6144">
        <w:rPr>
          <w:rStyle w:val="verdana"/>
          <w:i/>
          <w:color w:val="auto"/>
          <w:lang w:val="en-CA"/>
        </w:rPr>
        <w:t>Canada-U.S. Extradition Treaty</w:t>
      </w:r>
      <w:r w:rsidRPr="00AA6144">
        <w:rPr>
          <w:rStyle w:val="verdana"/>
          <w:color w:val="auto"/>
          <w:lang w:val="en-CA"/>
        </w:rPr>
        <w:t xml:space="preserve">.  Decisions of the Minister with respect to assurances for this purpose are open to scrutiny by the United Nations Human Rights Committee under the </w:t>
      </w:r>
      <w:r w:rsidRPr="00AA6144">
        <w:rPr>
          <w:rStyle w:val="italic"/>
          <w:i/>
          <w:color w:val="auto"/>
          <w:lang w:val="en-CA"/>
        </w:rPr>
        <w:t>International Covenant on Civil and Political Rights</w:t>
      </w:r>
      <w:r w:rsidRPr="00AA6144">
        <w:rPr>
          <w:rStyle w:val="italic"/>
          <w:color w:val="auto"/>
          <w:lang w:val="en-CA"/>
        </w:rPr>
        <w:t xml:space="preserve"> (see </w:t>
      </w:r>
      <w:r w:rsidR="00DA71F1" w:rsidRPr="00AA6144">
        <w:rPr>
          <w:rStyle w:val="italic"/>
          <w:color w:val="auto"/>
          <w:lang w:val="en-CA"/>
        </w:rPr>
        <w:t>S</w:t>
      </w:r>
      <w:r w:rsidRPr="00AA6144">
        <w:rPr>
          <w:rStyle w:val="italic"/>
          <w:color w:val="auto"/>
          <w:lang w:val="en-CA"/>
        </w:rPr>
        <w:t>ection 7.1.2.3 on the death penalty below).</w:t>
      </w:r>
      <w:r w:rsidRPr="00AA6144">
        <w:rPr>
          <w:rStyle w:val="verdana"/>
          <w:color w:val="auto"/>
          <w:lang w:val="en-CA"/>
        </w:rPr>
        <w:t xml:space="preserve">  </w:t>
      </w:r>
    </w:p>
    <w:p w14:paraId="717FDA5C" w14:textId="77777777" w:rsidR="009E3308" w:rsidRPr="00AA6144" w:rsidRDefault="00157276" w:rsidP="009E3308">
      <w:pPr>
        <w:rPr>
          <w:rStyle w:val="verdana"/>
          <w:color w:val="auto"/>
          <w:lang w:val="en-CA"/>
        </w:rPr>
      </w:pPr>
      <w:r w:rsidRPr="00AA6144">
        <w:rPr>
          <w:rStyle w:val="verdana"/>
          <w:color w:val="auto"/>
          <w:lang w:val="en-CA"/>
        </w:rPr>
        <w:t xml:space="preserve">Circumstances </w:t>
      </w:r>
      <w:r w:rsidR="009E3308" w:rsidRPr="00AA6144">
        <w:rPr>
          <w:rStyle w:val="verdana"/>
          <w:color w:val="auto"/>
          <w:lang w:val="en-CA"/>
        </w:rPr>
        <w:t xml:space="preserve">may arise where </w:t>
      </w:r>
      <w:r w:rsidRPr="00AA6144">
        <w:rPr>
          <w:rStyle w:val="verdana"/>
          <w:color w:val="auto"/>
          <w:lang w:val="en-CA"/>
        </w:rPr>
        <w:t xml:space="preserve">there are competing requests for </w:t>
      </w:r>
      <w:r w:rsidR="00225D22" w:rsidRPr="00AA6144">
        <w:rPr>
          <w:rStyle w:val="verdana"/>
          <w:color w:val="auto"/>
          <w:lang w:val="en-CA"/>
        </w:rPr>
        <w:t xml:space="preserve">extradition, where one jurisdiction is seeking extradition for </w:t>
      </w:r>
      <w:r w:rsidR="009E3308" w:rsidRPr="00AA6144">
        <w:rPr>
          <w:rStyle w:val="verdana"/>
          <w:color w:val="auto"/>
          <w:lang w:val="en-CA"/>
        </w:rPr>
        <w:t xml:space="preserve">lesser crimes under </w:t>
      </w:r>
      <w:r w:rsidR="00225D22" w:rsidRPr="00AA6144">
        <w:rPr>
          <w:rStyle w:val="verdana"/>
          <w:color w:val="auto"/>
          <w:lang w:val="en-CA"/>
        </w:rPr>
        <w:t>their</w:t>
      </w:r>
      <w:r w:rsidR="009E3308" w:rsidRPr="00AA6144">
        <w:rPr>
          <w:rStyle w:val="verdana"/>
          <w:color w:val="auto"/>
          <w:lang w:val="en-CA"/>
        </w:rPr>
        <w:t xml:space="preserve"> domestic criminal law.</w:t>
      </w:r>
      <w:r w:rsidR="009E3308" w:rsidRPr="00AA6144">
        <w:rPr>
          <w:rStyle w:val="FootnoteReference"/>
          <w:color w:val="auto"/>
          <w:lang w:val="en-CA"/>
        </w:rPr>
        <w:footnoteReference w:id="517"/>
      </w:r>
      <w:r w:rsidR="009E3308" w:rsidRPr="00AA6144">
        <w:rPr>
          <w:rStyle w:val="verdana"/>
          <w:color w:val="auto"/>
          <w:lang w:val="en-CA"/>
        </w:rPr>
        <w:t xml:space="preserve">  Under the </w:t>
      </w:r>
      <w:r w:rsidR="00DC49AE" w:rsidRPr="00AA6144">
        <w:rPr>
          <w:rStyle w:val="verdana"/>
          <w:i/>
          <w:color w:val="auto"/>
          <w:lang w:val="en-CA"/>
        </w:rPr>
        <w:t>Extradition Act</w:t>
      </w:r>
      <w:r w:rsidR="009E3308" w:rsidRPr="00AA6144">
        <w:rPr>
          <w:rStyle w:val="verdana"/>
          <w:color w:val="auto"/>
          <w:lang w:val="en-CA"/>
        </w:rPr>
        <w:t>, the Minister retains discretion to determine which request will be pursued first in such circumstances,</w:t>
      </w:r>
      <w:r w:rsidR="009E3308" w:rsidRPr="00AA6144">
        <w:rPr>
          <w:rStyle w:val="FootnoteReference"/>
          <w:color w:val="auto"/>
          <w:lang w:val="en-CA"/>
        </w:rPr>
        <w:footnoteReference w:id="518"/>
      </w:r>
      <w:r w:rsidR="009E3308" w:rsidRPr="00AA6144">
        <w:rPr>
          <w:rStyle w:val="verdana"/>
          <w:color w:val="auto"/>
          <w:lang w:val="en-CA"/>
        </w:rPr>
        <w:t xml:space="preserve"> as well as which charge under Canadian law most appropriately characterizes the nature of the criminal conduct in question, before issuing the </w:t>
      </w:r>
      <w:r w:rsidR="00E600F0" w:rsidRPr="00AA6144">
        <w:rPr>
          <w:rStyle w:val="verdana"/>
          <w:color w:val="auto"/>
          <w:lang w:val="en-CA"/>
        </w:rPr>
        <w:t>ATP</w:t>
      </w:r>
      <w:r w:rsidR="009E3308" w:rsidRPr="00AA6144">
        <w:rPr>
          <w:rStyle w:val="verdana"/>
          <w:color w:val="auto"/>
          <w:lang w:val="en-CA"/>
        </w:rPr>
        <w:t>.</w:t>
      </w:r>
      <w:r w:rsidR="009E3308" w:rsidRPr="00AA6144">
        <w:rPr>
          <w:rStyle w:val="FootnoteReference"/>
          <w:color w:val="auto"/>
          <w:lang w:val="en-CA"/>
        </w:rPr>
        <w:footnoteReference w:id="519"/>
      </w:r>
      <w:r w:rsidR="009E3308" w:rsidRPr="00AA6144">
        <w:rPr>
          <w:rStyle w:val="verdana"/>
          <w:color w:val="auto"/>
          <w:lang w:val="en-CA"/>
        </w:rPr>
        <w:t xml:space="preserve">  With respect to crimes of concern to the international community, </w:t>
      </w:r>
      <w:r w:rsidR="0005247E" w:rsidRPr="00AA6144">
        <w:rPr>
          <w:rStyle w:val="verdana"/>
          <w:color w:val="auto"/>
          <w:lang w:val="en-CA"/>
        </w:rPr>
        <w:t>there is a risk that Canada’s choice of extraditing to one jurisdiction over another could lead to impunity</w:t>
      </w:r>
      <w:r w:rsidR="009F0334" w:rsidRPr="00AA6144">
        <w:rPr>
          <w:rStyle w:val="verdana"/>
          <w:color w:val="auto"/>
          <w:lang w:val="en-CA"/>
        </w:rPr>
        <w:t xml:space="preserve">. It is important for Canada </w:t>
      </w:r>
      <w:r w:rsidR="009E3308" w:rsidRPr="00AA6144">
        <w:rPr>
          <w:rStyle w:val="verdana"/>
          <w:color w:val="auto"/>
          <w:lang w:val="en-CA"/>
        </w:rPr>
        <w:t xml:space="preserve">to pursue reasonable assurances to ensure that its advancement of one </w:t>
      </w:r>
      <w:r w:rsidR="00E600F0" w:rsidRPr="00AA6144">
        <w:rPr>
          <w:rStyle w:val="verdana"/>
          <w:color w:val="auto"/>
          <w:lang w:val="en-CA"/>
        </w:rPr>
        <w:t xml:space="preserve">extradition </w:t>
      </w:r>
      <w:r w:rsidR="009E3308" w:rsidRPr="00AA6144">
        <w:rPr>
          <w:rStyle w:val="verdana"/>
          <w:color w:val="auto"/>
          <w:lang w:val="en-CA"/>
        </w:rPr>
        <w:t xml:space="preserve">request does not frustrate the timely and efficacious administration of justice with respect to such crimes.  If, in the event of multiple extradition requests for different classes of crimes, the requesting country refuses an assurance to undertake a prosecution for genocide, war crimes or crimes against humanity, Canada’s failure to obtain such an assurance for those reasonably suspected of such crimes greatly increases the risk of impunity. In such circumstances, </w:t>
      </w:r>
      <w:r w:rsidR="006A66AE" w:rsidRPr="00AA6144">
        <w:rPr>
          <w:rStyle w:val="verdana"/>
          <w:color w:val="auto"/>
          <w:lang w:val="en-CA"/>
        </w:rPr>
        <w:t xml:space="preserve">it may be better for Canada to pursue domestic prosecution for these </w:t>
      </w:r>
      <w:r w:rsidR="00475A37" w:rsidRPr="00AA6144">
        <w:rPr>
          <w:rStyle w:val="verdana"/>
          <w:color w:val="auto"/>
          <w:lang w:val="en-CA"/>
        </w:rPr>
        <w:t xml:space="preserve">crimes under </w:t>
      </w:r>
      <w:r w:rsidR="006A66AE" w:rsidRPr="00AA6144">
        <w:rPr>
          <w:rStyle w:val="verdana"/>
          <w:color w:val="auto"/>
          <w:lang w:val="en-CA"/>
        </w:rPr>
        <w:t xml:space="preserve">international </w:t>
      </w:r>
      <w:r w:rsidR="00475A37" w:rsidRPr="00AA6144">
        <w:rPr>
          <w:rStyle w:val="verdana"/>
          <w:color w:val="auto"/>
          <w:lang w:val="en-CA"/>
        </w:rPr>
        <w:t>law</w:t>
      </w:r>
      <w:r w:rsidR="006A66AE" w:rsidRPr="00AA6144">
        <w:rPr>
          <w:rStyle w:val="verdana"/>
          <w:color w:val="auto"/>
          <w:lang w:val="en-CA"/>
        </w:rPr>
        <w:t xml:space="preserve">, though </w:t>
      </w:r>
      <w:r w:rsidR="009E3308" w:rsidRPr="00AA6144">
        <w:rPr>
          <w:rStyle w:val="verdana"/>
          <w:color w:val="auto"/>
          <w:lang w:val="en-CA"/>
        </w:rPr>
        <w:t xml:space="preserve">this option is not available without devoting substantial resources required to conduct an effective investigation and prosecution of these crimes.  Such a capacity may also be required in the </w:t>
      </w:r>
      <w:r w:rsidR="00E600F0" w:rsidRPr="00AA6144">
        <w:rPr>
          <w:rStyle w:val="verdana"/>
          <w:color w:val="auto"/>
          <w:lang w:val="en-CA"/>
        </w:rPr>
        <w:t>circumstances where</w:t>
      </w:r>
      <w:r w:rsidR="009E3308" w:rsidRPr="00AA6144">
        <w:rPr>
          <w:rStyle w:val="verdana"/>
          <w:color w:val="auto"/>
          <w:lang w:val="en-CA"/>
        </w:rPr>
        <w:t xml:space="preserve"> </w:t>
      </w:r>
      <w:r w:rsidR="00DC36A4" w:rsidRPr="00AA6144">
        <w:rPr>
          <w:rStyle w:val="verdana"/>
          <w:color w:val="auto"/>
          <w:lang w:val="en-CA"/>
        </w:rPr>
        <w:t xml:space="preserve">the Minister </w:t>
      </w:r>
      <w:r w:rsidR="00E600F0" w:rsidRPr="00AA6144">
        <w:rPr>
          <w:rStyle w:val="verdana"/>
          <w:color w:val="auto"/>
          <w:lang w:val="en-CA"/>
        </w:rPr>
        <w:t>is compelled to</w:t>
      </w:r>
      <w:r w:rsidR="00DC36A4" w:rsidRPr="00AA6144">
        <w:rPr>
          <w:rStyle w:val="verdana"/>
          <w:color w:val="auto"/>
          <w:lang w:val="en-CA"/>
        </w:rPr>
        <w:t xml:space="preserve"> refuse surrender</w:t>
      </w:r>
      <w:r w:rsidR="00E600F0" w:rsidRPr="00AA6144">
        <w:rPr>
          <w:rStyle w:val="verdana"/>
          <w:color w:val="auto"/>
          <w:lang w:val="en-CA"/>
        </w:rPr>
        <w:t xml:space="preserve"> under section </w:t>
      </w:r>
      <w:r w:rsidR="00485022" w:rsidRPr="00AA6144">
        <w:rPr>
          <w:rStyle w:val="verdana"/>
          <w:color w:val="auto"/>
          <w:lang w:val="en-CA"/>
        </w:rPr>
        <w:t>44(1) and 46(1)</w:t>
      </w:r>
      <w:r w:rsidR="00E600F0" w:rsidRPr="00AA6144">
        <w:rPr>
          <w:rStyle w:val="verdana"/>
          <w:color w:val="auto"/>
          <w:lang w:val="en-CA"/>
        </w:rPr>
        <w:t xml:space="preserve"> of the </w:t>
      </w:r>
      <w:r w:rsidR="00E600F0" w:rsidRPr="00AA6144">
        <w:rPr>
          <w:rStyle w:val="verdana"/>
          <w:i/>
          <w:color w:val="auto"/>
          <w:lang w:val="en-CA"/>
        </w:rPr>
        <w:t>Extradition Act</w:t>
      </w:r>
      <w:r w:rsidR="00E600F0" w:rsidRPr="00AA6144">
        <w:rPr>
          <w:rStyle w:val="verdana"/>
          <w:color w:val="auto"/>
          <w:lang w:val="en-CA"/>
        </w:rPr>
        <w:t xml:space="preserve"> or </w:t>
      </w:r>
      <w:r w:rsidR="009E3308" w:rsidRPr="00AA6144">
        <w:rPr>
          <w:rStyle w:val="verdana"/>
          <w:color w:val="auto"/>
          <w:lang w:val="en-CA"/>
        </w:rPr>
        <w:t>the suspect faces a reasonable likelihood of torture by the requesting state (see discussion below).</w:t>
      </w:r>
    </w:p>
    <w:p w14:paraId="50E8F029" w14:textId="77777777" w:rsidR="009E3308" w:rsidRPr="00AA6144" w:rsidRDefault="009E3308" w:rsidP="009E3308">
      <w:pPr>
        <w:pStyle w:val="Heading4"/>
        <w:rPr>
          <w:color w:val="auto"/>
          <w:lang w:val="en-CA"/>
        </w:rPr>
      </w:pPr>
      <w:bookmarkStart w:id="187" w:name="_Toc220954485"/>
      <w:bookmarkStart w:id="188" w:name="_Toc294914658"/>
      <w:bookmarkStart w:id="189" w:name="_Toc43382765"/>
      <w:r w:rsidRPr="00AA6144">
        <w:rPr>
          <w:color w:val="auto"/>
          <w:lang w:val="en-CA"/>
        </w:rPr>
        <w:t>7.1.1.2. Nationality</w:t>
      </w:r>
      <w:bookmarkEnd w:id="186"/>
      <w:bookmarkEnd w:id="187"/>
      <w:bookmarkEnd w:id="188"/>
      <w:bookmarkEnd w:id="189"/>
    </w:p>
    <w:p w14:paraId="13522EBD" w14:textId="77777777" w:rsidR="00587B0F" w:rsidRPr="00AA6144" w:rsidRDefault="009E3308" w:rsidP="009E3308">
      <w:pPr>
        <w:rPr>
          <w:rStyle w:val="verdana"/>
          <w:color w:val="auto"/>
          <w:lang w:val="en-CA"/>
        </w:rPr>
      </w:pPr>
      <w:r w:rsidRPr="00AA6144">
        <w:rPr>
          <w:color w:val="auto"/>
          <w:lang w:val="en-CA"/>
        </w:rPr>
        <w:t xml:space="preserve">There is no general prohibition in Canadian law on the extradition of nationals, but Canadian citizens are subject to some protections against extradition under the </w:t>
      </w:r>
      <w:r w:rsidRPr="00AA6144">
        <w:rPr>
          <w:i/>
          <w:color w:val="auto"/>
          <w:lang w:val="en-CA"/>
        </w:rPr>
        <w:t>Charter</w:t>
      </w:r>
      <w:r w:rsidRPr="00AA6144">
        <w:rPr>
          <w:color w:val="auto"/>
          <w:lang w:val="en-CA"/>
        </w:rPr>
        <w:t>.</w:t>
      </w:r>
      <w:bookmarkStart w:id="190" w:name="_Ref267056724"/>
      <w:r w:rsidRPr="00AA6144">
        <w:rPr>
          <w:rStyle w:val="FootnoteReference"/>
          <w:color w:val="auto"/>
          <w:lang w:val="en-CA"/>
        </w:rPr>
        <w:footnoteReference w:id="520"/>
      </w:r>
      <w:bookmarkEnd w:id="190"/>
      <w:r w:rsidRPr="00AA6144">
        <w:rPr>
          <w:color w:val="auto"/>
          <w:lang w:val="en-CA"/>
        </w:rPr>
        <w:t xml:space="preserve">  </w:t>
      </w:r>
      <w:r w:rsidRPr="00AA6144">
        <w:rPr>
          <w:rStyle w:val="verdana"/>
          <w:color w:val="auto"/>
          <w:lang w:val="en-CA"/>
        </w:rPr>
        <w:t xml:space="preserve">For any </w:t>
      </w:r>
      <w:r w:rsidR="00055E8C" w:rsidRPr="00AA6144">
        <w:rPr>
          <w:rStyle w:val="verdana"/>
          <w:color w:val="auto"/>
          <w:lang w:val="en-CA"/>
        </w:rPr>
        <w:t>Canadian citizen against whom</w:t>
      </w:r>
      <w:r w:rsidRPr="00AA6144">
        <w:rPr>
          <w:rStyle w:val="verdana"/>
          <w:color w:val="auto"/>
          <w:lang w:val="en-CA"/>
        </w:rPr>
        <w:t xml:space="preserve"> extradition is sought</w:t>
      </w:r>
      <w:r w:rsidR="00055E8C" w:rsidRPr="00AA6144">
        <w:rPr>
          <w:rStyle w:val="verdana"/>
          <w:color w:val="auto"/>
          <w:lang w:val="en-CA"/>
        </w:rPr>
        <w:t xml:space="preserve">, </w:t>
      </w:r>
      <w:r w:rsidRPr="00AA6144">
        <w:rPr>
          <w:rStyle w:val="verdana"/>
          <w:color w:val="auto"/>
          <w:lang w:val="en-CA"/>
        </w:rPr>
        <w:t xml:space="preserve">extradition constitutes a </w:t>
      </w:r>
      <w:r w:rsidRPr="00AA6144">
        <w:rPr>
          <w:rStyle w:val="verdana"/>
          <w:i/>
          <w:color w:val="auto"/>
          <w:lang w:val="en-CA"/>
        </w:rPr>
        <w:t xml:space="preserve">prima facie </w:t>
      </w:r>
      <w:r w:rsidRPr="00AA6144">
        <w:rPr>
          <w:rStyle w:val="verdana"/>
          <w:color w:val="auto"/>
          <w:lang w:val="en-CA"/>
        </w:rPr>
        <w:t xml:space="preserve">violation of the </w:t>
      </w:r>
      <w:r w:rsidRPr="00AA6144">
        <w:rPr>
          <w:rStyle w:val="verdana"/>
          <w:i/>
          <w:color w:val="auto"/>
          <w:lang w:val="en-CA"/>
        </w:rPr>
        <w:t>Charter</w:t>
      </w:r>
      <w:r w:rsidRPr="00AA6144">
        <w:rPr>
          <w:rStyle w:val="verdana"/>
          <w:color w:val="auto"/>
          <w:lang w:val="en-CA"/>
        </w:rPr>
        <w:t xml:space="preserve"> right to </w:t>
      </w:r>
      <w:r w:rsidR="00055E8C" w:rsidRPr="00AA6144">
        <w:rPr>
          <w:rStyle w:val="verdana"/>
          <w:color w:val="auto"/>
          <w:lang w:val="en-CA"/>
        </w:rPr>
        <w:t xml:space="preserve">remain in Canada </w:t>
      </w:r>
      <w:r w:rsidRPr="00AA6144">
        <w:rPr>
          <w:rStyle w:val="verdana"/>
          <w:color w:val="auto"/>
          <w:lang w:val="en-CA"/>
        </w:rPr>
        <w:t>pursuant to section 6(1).</w:t>
      </w:r>
      <w:r w:rsidRPr="00AA6144">
        <w:rPr>
          <w:rStyle w:val="FootnoteReference"/>
          <w:color w:val="auto"/>
          <w:lang w:val="en-CA"/>
        </w:rPr>
        <w:footnoteReference w:id="521"/>
      </w:r>
      <w:r w:rsidRPr="00AA6144">
        <w:rPr>
          <w:rStyle w:val="verdana"/>
          <w:color w:val="auto"/>
          <w:lang w:val="en-CA"/>
        </w:rPr>
        <w:t xml:space="preserve">  </w:t>
      </w:r>
      <w:r w:rsidRPr="00AA6144">
        <w:rPr>
          <w:color w:val="auto"/>
          <w:lang w:val="en-CA"/>
        </w:rPr>
        <w:t xml:space="preserve">This </w:t>
      </w:r>
      <w:r w:rsidRPr="00AA6144">
        <w:rPr>
          <w:i/>
          <w:color w:val="auto"/>
          <w:lang w:val="en-CA"/>
        </w:rPr>
        <w:t xml:space="preserve">Charter </w:t>
      </w:r>
      <w:r w:rsidR="00055E8C" w:rsidRPr="00AA6144">
        <w:rPr>
          <w:color w:val="auto"/>
          <w:lang w:val="en-CA"/>
        </w:rPr>
        <w:t xml:space="preserve">right </w:t>
      </w:r>
      <w:r w:rsidRPr="00AA6144">
        <w:rPr>
          <w:color w:val="auto"/>
          <w:lang w:val="en-CA"/>
        </w:rPr>
        <w:t>does not apply to non-citizens, however,</w:t>
      </w:r>
      <w:r w:rsidRPr="00AA6144">
        <w:rPr>
          <w:rStyle w:val="FootnoteReference"/>
          <w:color w:val="auto"/>
          <w:lang w:val="en-CA"/>
        </w:rPr>
        <w:footnoteReference w:id="522"/>
      </w:r>
      <w:r w:rsidRPr="00AA6144">
        <w:rPr>
          <w:color w:val="auto"/>
          <w:lang w:val="en-CA"/>
        </w:rPr>
        <w:t xml:space="preserve"> and is only engaged by the Minister</w:t>
      </w:r>
      <w:r w:rsidR="00055E8C" w:rsidRPr="00AA6144">
        <w:rPr>
          <w:color w:val="auto"/>
          <w:lang w:val="en-CA"/>
        </w:rPr>
        <w:t xml:space="preserve"> of Justice</w:t>
      </w:r>
      <w:r w:rsidRPr="00AA6144">
        <w:rPr>
          <w:color w:val="auto"/>
          <w:lang w:val="en-CA"/>
        </w:rPr>
        <w:t>’s executive decision at the final stage of the process to surrender the person sought, and not at the earlier judicial stage of commit</w:t>
      </w:r>
      <w:r w:rsidR="009D30AE" w:rsidRPr="00AA6144">
        <w:rPr>
          <w:color w:val="auto"/>
          <w:lang w:val="en-CA"/>
        </w:rPr>
        <w:t>t</w:t>
      </w:r>
      <w:r w:rsidRPr="00AA6144">
        <w:rPr>
          <w:color w:val="auto"/>
          <w:lang w:val="en-CA"/>
        </w:rPr>
        <w:t>al.</w:t>
      </w:r>
      <w:r w:rsidRPr="00AA6144">
        <w:rPr>
          <w:rStyle w:val="FootnoteReference"/>
          <w:color w:val="auto"/>
          <w:lang w:val="en-CA"/>
        </w:rPr>
        <w:footnoteReference w:id="523"/>
      </w:r>
      <w:r w:rsidRPr="00AA6144">
        <w:rPr>
          <w:color w:val="auto"/>
          <w:lang w:val="en-CA"/>
        </w:rPr>
        <w:t xml:space="preserve"> Nonetheless </w:t>
      </w:r>
      <w:r w:rsidRPr="00AA6144">
        <w:rPr>
          <w:rStyle w:val="verdana"/>
          <w:color w:val="auto"/>
          <w:lang w:val="en-CA"/>
        </w:rPr>
        <w:t>the Minister is obliged to consider whether prosecution in Canada with respect to the crimes of which he</w:t>
      </w:r>
      <w:r w:rsidR="009B070D" w:rsidRPr="00AA6144">
        <w:rPr>
          <w:rStyle w:val="verdana"/>
          <w:color w:val="auto"/>
          <w:lang w:val="en-CA"/>
        </w:rPr>
        <w:t xml:space="preserve"> or she</w:t>
      </w:r>
      <w:r w:rsidRPr="00AA6144">
        <w:rPr>
          <w:rStyle w:val="verdana"/>
          <w:color w:val="auto"/>
          <w:lang w:val="en-CA"/>
        </w:rPr>
        <w:t xml:space="preserve"> is accused is possible or </w:t>
      </w:r>
      <w:r w:rsidR="00951F3C" w:rsidRPr="00AA6144">
        <w:rPr>
          <w:rStyle w:val="verdana"/>
          <w:color w:val="auto"/>
          <w:lang w:val="en-CA"/>
        </w:rPr>
        <w:t>desirable</w:t>
      </w:r>
      <w:r w:rsidRPr="00AA6144">
        <w:rPr>
          <w:rStyle w:val="verdana"/>
          <w:color w:val="auto"/>
          <w:lang w:val="en-CA"/>
        </w:rPr>
        <w:t>.</w:t>
      </w:r>
      <w:r w:rsidRPr="00AA6144">
        <w:rPr>
          <w:rStyle w:val="FootnoteReference"/>
          <w:color w:val="auto"/>
          <w:lang w:val="en-CA"/>
        </w:rPr>
        <w:footnoteReference w:id="524"/>
      </w:r>
      <w:r w:rsidRPr="00AA6144">
        <w:rPr>
          <w:rStyle w:val="verdana"/>
          <w:color w:val="auto"/>
          <w:lang w:val="en-CA"/>
        </w:rPr>
        <w:t xml:space="preserve"> In other words, the Minister has an obligation flowing from section 6(1) to assure </w:t>
      </w:r>
      <w:r w:rsidR="005E762B" w:rsidRPr="00AA6144">
        <w:rPr>
          <w:rStyle w:val="verdana"/>
          <w:color w:val="auto"/>
          <w:lang w:val="en-CA"/>
        </w:rPr>
        <w:t xml:space="preserve">him or herself </w:t>
      </w:r>
      <w:r w:rsidRPr="00AA6144">
        <w:rPr>
          <w:rStyle w:val="verdana"/>
          <w:color w:val="auto"/>
          <w:lang w:val="en-CA"/>
        </w:rPr>
        <w:t>that prosecution in Canada is not a realistic alternative.</w:t>
      </w:r>
      <w:r w:rsidRPr="00AA6144">
        <w:rPr>
          <w:rStyle w:val="FootnoteReference"/>
          <w:color w:val="auto"/>
          <w:lang w:val="en-CA"/>
        </w:rPr>
        <w:footnoteReference w:id="525"/>
      </w:r>
      <w:r w:rsidRPr="00AA6144">
        <w:rPr>
          <w:rStyle w:val="verdana"/>
          <w:color w:val="auto"/>
          <w:lang w:val="en-CA"/>
        </w:rPr>
        <w:t xml:space="preserve">  In </w:t>
      </w:r>
      <w:r w:rsidRPr="00AA6144">
        <w:rPr>
          <w:rStyle w:val="verdana"/>
          <w:i/>
          <w:color w:val="auto"/>
          <w:lang w:val="en-CA"/>
        </w:rPr>
        <w:t xml:space="preserve">United States v. </w:t>
      </w:r>
      <w:proofErr w:type="spellStart"/>
      <w:r w:rsidRPr="00AA6144">
        <w:rPr>
          <w:rStyle w:val="verdana"/>
          <w:i/>
          <w:color w:val="auto"/>
          <w:lang w:val="en-CA"/>
        </w:rPr>
        <w:t>Cotroni</w:t>
      </w:r>
      <w:proofErr w:type="spellEnd"/>
      <w:r w:rsidRPr="00AA6144">
        <w:rPr>
          <w:rStyle w:val="verdana"/>
          <w:color w:val="auto"/>
          <w:lang w:val="en-CA"/>
        </w:rPr>
        <w:t xml:space="preserve"> the Supreme Court</w:t>
      </w:r>
      <w:r w:rsidR="0014272D" w:rsidRPr="00AA6144">
        <w:rPr>
          <w:rStyle w:val="verdana"/>
          <w:color w:val="auto"/>
          <w:lang w:val="en-CA"/>
        </w:rPr>
        <w:t xml:space="preserve"> of Canada</w:t>
      </w:r>
      <w:r w:rsidRPr="00AA6144">
        <w:rPr>
          <w:rStyle w:val="verdana"/>
          <w:color w:val="auto"/>
          <w:lang w:val="en-CA"/>
        </w:rPr>
        <w:t xml:space="preserve"> established</w:t>
      </w:r>
      <w:r w:rsidR="0014272D" w:rsidRPr="00AA6144">
        <w:rPr>
          <w:rStyle w:val="verdana"/>
          <w:color w:val="auto"/>
          <w:lang w:val="en-CA"/>
        </w:rPr>
        <w:t xml:space="preserve"> the</w:t>
      </w:r>
      <w:r w:rsidRPr="00AA6144">
        <w:rPr>
          <w:rStyle w:val="verdana"/>
          <w:color w:val="auto"/>
          <w:lang w:val="en-CA"/>
        </w:rPr>
        <w:t xml:space="preserve"> factors </w:t>
      </w:r>
      <w:r w:rsidR="00016B86" w:rsidRPr="00AA6144">
        <w:rPr>
          <w:rStyle w:val="verdana"/>
          <w:color w:val="auto"/>
          <w:lang w:val="en-CA"/>
        </w:rPr>
        <w:t>to consider</w:t>
      </w:r>
      <w:r w:rsidRPr="00AA6144">
        <w:rPr>
          <w:rStyle w:val="verdana"/>
          <w:color w:val="auto"/>
          <w:lang w:val="en-CA"/>
        </w:rPr>
        <w:t xml:space="preserve"> in weighing whether domestic prosecution is preferable to extradition, and thus whether surrender of the Canadian citizen in question is justifiable in accordance with s</w:t>
      </w:r>
      <w:r w:rsidR="00016B86" w:rsidRPr="00AA6144">
        <w:rPr>
          <w:rStyle w:val="verdana"/>
          <w:color w:val="auto"/>
          <w:lang w:val="en-CA"/>
        </w:rPr>
        <w:t xml:space="preserve">ection </w:t>
      </w:r>
      <w:r w:rsidRPr="00AA6144">
        <w:rPr>
          <w:rStyle w:val="verdana"/>
          <w:color w:val="auto"/>
          <w:lang w:val="en-CA"/>
        </w:rPr>
        <w:t xml:space="preserve">1 of the </w:t>
      </w:r>
      <w:r w:rsidRPr="00AA6144">
        <w:rPr>
          <w:rStyle w:val="verdana"/>
          <w:i/>
          <w:color w:val="auto"/>
          <w:lang w:val="en-CA"/>
        </w:rPr>
        <w:t>Charter</w:t>
      </w:r>
      <w:r w:rsidRPr="00AA6144">
        <w:rPr>
          <w:rStyle w:val="verdana"/>
          <w:color w:val="auto"/>
          <w:lang w:val="en-CA"/>
        </w:rPr>
        <w:t>.</w:t>
      </w:r>
      <w:bookmarkStart w:id="191" w:name="_Ref267055845"/>
      <w:r w:rsidRPr="00AA6144">
        <w:rPr>
          <w:rStyle w:val="FootnoteReference"/>
          <w:color w:val="auto"/>
          <w:lang w:val="en-CA"/>
        </w:rPr>
        <w:footnoteReference w:id="526"/>
      </w:r>
      <w:bookmarkEnd w:id="191"/>
      <w:r w:rsidRPr="00AA6144">
        <w:rPr>
          <w:rStyle w:val="verdana"/>
          <w:color w:val="auto"/>
          <w:lang w:val="en-CA"/>
        </w:rPr>
        <w:t xml:space="preserve">  </w:t>
      </w:r>
      <w:r w:rsidR="0014272D" w:rsidRPr="00AA6144">
        <w:rPr>
          <w:rStyle w:val="verdana"/>
          <w:color w:val="auto"/>
          <w:lang w:val="en-CA"/>
        </w:rPr>
        <w:t>The</w:t>
      </w:r>
      <w:r w:rsidRPr="00AA6144">
        <w:rPr>
          <w:rStyle w:val="verdana"/>
          <w:color w:val="auto"/>
          <w:lang w:val="en-CA"/>
        </w:rPr>
        <w:t xml:space="preserve"> factors </w:t>
      </w:r>
      <w:r w:rsidR="00587B0F" w:rsidRPr="00AA6144">
        <w:rPr>
          <w:rStyle w:val="verdana"/>
          <w:color w:val="auto"/>
          <w:lang w:val="en-CA"/>
        </w:rPr>
        <w:t>include</w:t>
      </w:r>
      <w:r w:rsidRPr="00AA6144">
        <w:rPr>
          <w:rStyle w:val="verdana"/>
          <w:color w:val="auto"/>
          <w:lang w:val="en-CA"/>
        </w:rPr>
        <w:t>:</w:t>
      </w:r>
    </w:p>
    <w:p w14:paraId="52D7B3F8" w14:textId="77777777" w:rsidR="00587B0F" w:rsidRPr="00AA6144" w:rsidRDefault="00587B0F" w:rsidP="00A64B36">
      <w:pPr>
        <w:spacing w:after="0"/>
        <w:ind w:left="357"/>
        <w:rPr>
          <w:rStyle w:val="verdana"/>
          <w:color w:val="auto"/>
          <w:lang w:val="en-CA"/>
        </w:rPr>
      </w:pPr>
      <w:r w:rsidRPr="00AA6144">
        <w:rPr>
          <w:rStyle w:val="verdana"/>
          <w:color w:val="auto"/>
          <w:lang w:val="en-CA"/>
        </w:rPr>
        <w:t xml:space="preserve">(a) </w:t>
      </w:r>
      <w:r w:rsidR="009E3308" w:rsidRPr="00AA6144">
        <w:rPr>
          <w:rStyle w:val="verdana"/>
          <w:color w:val="auto"/>
          <w:lang w:val="en-CA"/>
        </w:rPr>
        <w:t>where was the impact of the offence felt or likely to have been felt</w:t>
      </w:r>
      <w:r w:rsidRPr="00AA6144">
        <w:rPr>
          <w:rStyle w:val="verdana"/>
          <w:color w:val="auto"/>
          <w:lang w:val="en-CA"/>
        </w:rPr>
        <w:t>;</w:t>
      </w:r>
      <w:r w:rsidRPr="00AA6144">
        <w:rPr>
          <w:rStyle w:val="verdana"/>
          <w:color w:val="auto"/>
          <w:lang w:val="en-CA"/>
        </w:rPr>
        <w:br/>
        <w:t xml:space="preserve">(b) </w:t>
      </w:r>
      <w:r w:rsidR="009E3308" w:rsidRPr="00AA6144">
        <w:rPr>
          <w:rStyle w:val="verdana"/>
          <w:color w:val="auto"/>
          <w:lang w:val="en-CA"/>
        </w:rPr>
        <w:t xml:space="preserve">which jurisdiction has the greater interest in prosecuting the </w:t>
      </w:r>
      <w:proofErr w:type="gramStart"/>
      <w:r w:rsidR="009E3308" w:rsidRPr="00AA6144">
        <w:rPr>
          <w:rStyle w:val="verdana"/>
          <w:color w:val="auto"/>
          <w:lang w:val="en-CA"/>
        </w:rPr>
        <w:t>offence</w:t>
      </w:r>
      <w:r w:rsidRPr="00AA6144">
        <w:rPr>
          <w:rStyle w:val="verdana"/>
          <w:color w:val="auto"/>
          <w:lang w:val="en-CA"/>
        </w:rPr>
        <w:t>;</w:t>
      </w:r>
      <w:proofErr w:type="gramEnd"/>
    </w:p>
    <w:p w14:paraId="38200A7C" w14:textId="77777777" w:rsidR="009E3308" w:rsidRPr="00AA6144" w:rsidRDefault="00587B0F" w:rsidP="00A64B36">
      <w:pPr>
        <w:spacing w:after="0"/>
        <w:ind w:left="357"/>
        <w:rPr>
          <w:rStyle w:val="verdana"/>
          <w:color w:val="auto"/>
          <w:lang w:val="en-CA"/>
        </w:rPr>
      </w:pPr>
      <w:r w:rsidRPr="00AA6144">
        <w:rPr>
          <w:rStyle w:val="verdana"/>
          <w:color w:val="auto"/>
          <w:lang w:val="en-CA"/>
        </w:rPr>
        <w:t xml:space="preserve">(c) </w:t>
      </w:r>
      <w:r w:rsidR="009E3308" w:rsidRPr="00AA6144">
        <w:rPr>
          <w:rStyle w:val="verdana"/>
          <w:color w:val="auto"/>
          <w:lang w:val="en-CA"/>
        </w:rPr>
        <w:t>which police force played the major role in the development of the case</w:t>
      </w:r>
      <w:r w:rsidRPr="00AA6144">
        <w:rPr>
          <w:rStyle w:val="verdana"/>
          <w:color w:val="auto"/>
          <w:lang w:val="en-CA"/>
        </w:rPr>
        <w:t>;</w:t>
      </w:r>
      <w:r w:rsidRPr="00AA6144">
        <w:rPr>
          <w:rStyle w:val="verdana"/>
          <w:color w:val="auto"/>
          <w:lang w:val="en-CA"/>
        </w:rPr>
        <w:br/>
        <w:t xml:space="preserve">(d) </w:t>
      </w:r>
      <w:r w:rsidR="009E3308" w:rsidRPr="00AA6144">
        <w:rPr>
          <w:rStyle w:val="verdana"/>
          <w:color w:val="auto"/>
          <w:lang w:val="en-CA"/>
        </w:rPr>
        <w:t>which jurisdiction has laid charges</w:t>
      </w:r>
      <w:r w:rsidRPr="00AA6144">
        <w:rPr>
          <w:rStyle w:val="verdana"/>
          <w:color w:val="auto"/>
          <w:lang w:val="en-CA"/>
        </w:rPr>
        <w:t>;</w:t>
      </w:r>
      <w:r w:rsidRPr="00AA6144">
        <w:rPr>
          <w:rStyle w:val="verdana"/>
          <w:color w:val="auto"/>
          <w:lang w:val="en-CA"/>
        </w:rPr>
        <w:br/>
        <w:t xml:space="preserve">(e) </w:t>
      </w:r>
      <w:r w:rsidR="009E3308" w:rsidRPr="00AA6144">
        <w:rPr>
          <w:rStyle w:val="verdana"/>
          <w:color w:val="auto"/>
          <w:lang w:val="en-CA"/>
        </w:rPr>
        <w:t>which jurisdiction has the most comprehensive case</w:t>
      </w:r>
      <w:r w:rsidRPr="00AA6144">
        <w:rPr>
          <w:rStyle w:val="verdana"/>
          <w:color w:val="auto"/>
          <w:lang w:val="en-CA"/>
        </w:rPr>
        <w:t>;</w:t>
      </w:r>
      <w:r w:rsidRPr="00AA6144">
        <w:rPr>
          <w:rStyle w:val="verdana"/>
          <w:color w:val="auto"/>
          <w:lang w:val="en-CA"/>
        </w:rPr>
        <w:br/>
        <w:t xml:space="preserve">(f) </w:t>
      </w:r>
      <w:r w:rsidR="009E3308" w:rsidRPr="00AA6144">
        <w:rPr>
          <w:rStyle w:val="verdana"/>
          <w:color w:val="auto"/>
          <w:lang w:val="en-CA"/>
        </w:rPr>
        <w:t>which jurisdiction is ready to proceed to trial</w:t>
      </w:r>
      <w:r w:rsidRPr="00AA6144">
        <w:rPr>
          <w:rStyle w:val="verdana"/>
          <w:color w:val="auto"/>
          <w:lang w:val="en-CA"/>
        </w:rPr>
        <w:t>;</w:t>
      </w:r>
      <w:r w:rsidRPr="00AA6144">
        <w:rPr>
          <w:rStyle w:val="verdana"/>
          <w:color w:val="auto"/>
          <w:lang w:val="en-CA"/>
        </w:rPr>
        <w:br/>
        <w:t xml:space="preserve">(g) </w:t>
      </w:r>
      <w:r w:rsidR="009E3308" w:rsidRPr="00AA6144">
        <w:rPr>
          <w:rStyle w:val="verdana"/>
          <w:color w:val="auto"/>
          <w:lang w:val="en-CA"/>
        </w:rPr>
        <w:t>where the evidence</w:t>
      </w:r>
      <w:r w:rsidRPr="00AA6144">
        <w:rPr>
          <w:rStyle w:val="verdana"/>
          <w:color w:val="auto"/>
          <w:lang w:val="en-CA"/>
        </w:rPr>
        <w:t xml:space="preserve"> is</w:t>
      </w:r>
      <w:r w:rsidR="009E3308" w:rsidRPr="00AA6144">
        <w:rPr>
          <w:rStyle w:val="verdana"/>
          <w:color w:val="auto"/>
          <w:lang w:val="en-CA"/>
        </w:rPr>
        <w:t xml:space="preserve"> located</w:t>
      </w:r>
      <w:r w:rsidR="000F1087" w:rsidRPr="00AA6144">
        <w:rPr>
          <w:rStyle w:val="verdana"/>
          <w:color w:val="auto"/>
          <w:lang w:val="en-CA"/>
        </w:rPr>
        <w:t>;</w:t>
      </w:r>
      <w:r w:rsidR="000F1087" w:rsidRPr="00AA6144">
        <w:rPr>
          <w:rStyle w:val="verdana"/>
          <w:color w:val="auto"/>
          <w:lang w:val="en-CA"/>
        </w:rPr>
        <w:br/>
        <w:t xml:space="preserve">(h) </w:t>
      </w:r>
      <w:r w:rsidR="009E3308" w:rsidRPr="00AA6144">
        <w:rPr>
          <w:rStyle w:val="verdana"/>
          <w:color w:val="auto"/>
          <w:lang w:val="en-CA"/>
        </w:rPr>
        <w:t>whether the evidence is mobile</w:t>
      </w:r>
      <w:r w:rsidR="000F1087" w:rsidRPr="00AA6144">
        <w:rPr>
          <w:rStyle w:val="verdana"/>
          <w:color w:val="auto"/>
          <w:lang w:val="en-CA"/>
        </w:rPr>
        <w:t>;</w:t>
      </w:r>
      <w:r w:rsidR="000F1087" w:rsidRPr="00AA6144">
        <w:rPr>
          <w:rStyle w:val="verdana"/>
          <w:color w:val="auto"/>
          <w:lang w:val="en-CA"/>
        </w:rPr>
        <w:br/>
        <w:t>(</w:t>
      </w:r>
      <w:proofErr w:type="spellStart"/>
      <w:r w:rsidR="000F1087" w:rsidRPr="00AA6144">
        <w:rPr>
          <w:rStyle w:val="verdana"/>
          <w:color w:val="auto"/>
          <w:lang w:val="en-CA"/>
        </w:rPr>
        <w:t>i</w:t>
      </w:r>
      <w:proofErr w:type="spellEnd"/>
      <w:r w:rsidR="000F1087" w:rsidRPr="00AA6144">
        <w:rPr>
          <w:rStyle w:val="verdana"/>
          <w:color w:val="auto"/>
          <w:lang w:val="en-CA"/>
        </w:rPr>
        <w:t xml:space="preserve">) </w:t>
      </w:r>
      <w:r w:rsidR="009E3308" w:rsidRPr="00AA6144">
        <w:rPr>
          <w:rStyle w:val="verdana"/>
          <w:color w:val="auto"/>
          <w:lang w:val="en-CA"/>
        </w:rPr>
        <w:t>the number of accused involved and whether they can be gathered in one place for trial</w:t>
      </w:r>
      <w:r w:rsidR="000F1087" w:rsidRPr="00AA6144">
        <w:rPr>
          <w:rStyle w:val="verdana"/>
          <w:color w:val="auto"/>
          <w:lang w:val="en-CA"/>
        </w:rPr>
        <w:t>;</w:t>
      </w:r>
      <w:r w:rsidR="000F1087" w:rsidRPr="00AA6144">
        <w:rPr>
          <w:rStyle w:val="verdana"/>
          <w:color w:val="auto"/>
          <w:lang w:val="en-CA"/>
        </w:rPr>
        <w:br/>
        <w:t xml:space="preserve">(j) </w:t>
      </w:r>
      <w:r w:rsidR="009E3308" w:rsidRPr="00AA6144">
        <w:rPr>
          <w:rStyle w:val="verdana"/>
          <w:color w:val="auto"/>
          <w:lang w:val="en-CA"/>
        </w:rPr>
        <w:t>in what jurisdiction were most of the acts in furtherance of the crime committed</w:t>
      </w:r>
      <w:r w:rsidR="000F1087" w:rsidRPr="00AA6144">
        <w:rPr>
          <w:rStyle w:val="verdana"/>
          <w:color w:val="auto"/>
          <w:lang w:val="en-CA"/>
        </w:rPr>
        <w:t>;</w:t>
      </w:r>
      <w:r w:rsidR="000F1087" w:rsidRPr="00AA6144">
        <w:rPr>
          <w:rStyle w:val="verdana"/>
          <w:color w:val="auto"/>
          <w:lang w:val="en-CA"/>
        </w:rPr>
        <w:br/>
        <w:t xml:space="preserve">(k) </w:t>
      </w:r>
      <w:r w:rsidR="009E3308" w:rsidRPr="00AA6144">
        <w:rPr>
          <w:rStyle w:val="verdana"/>
          <w:color w:val="auto"/>
          <w:lang w:val="en-CA"/>
        </w:rPr>
        <w:t>the nationality and residence of the accused</w:t>
      </w:r>
      <w:r w:rsidR="000F1087" w:rsidRPr="00AA6144">
        <w:rPr>
          <w:rStyle w:val="verdana"/>
          <w:color w:val="auto"/>
          <w:lang w:val="en-CA"/>
        </w:rPr>
        <w:t>; and</w:t>
      </w:r>
      <w:r w:rsidR="000F1087" w:rsidRPr="00AA6144">
        <w:rPr>
          <w:rStyle w:val="verdana"/>
          <w:color w:val="auto"/>
          <w:lang w:val="en-CA"/>
        </w:rPr>
        <w:br/>
        <w:t xml:space="preserve">(l) </w:t>
      </w:r>
      <w:r w:rsidR="009E3308" w:rsidRPr="00AA6144">
        <w:rPr>
          <w:rStyle w:val="verdana"/>
          <w:color w:val="auto"/>
          <w:lang w:val="en-CA"/>
        </w:rPr>
        <w:t>the severity of the sentence the accused is likely to receive in each jurisdiction.</w:t>
      </w:r>
      <w:r w:rsidR="009E3308" w:rsidRPr="00AA6144">
        <w:rPr>
          <w:rStyle w:val="FootnoteReference"/>
          <w:color w:val="auto"/>
          <w:lang w:val="en-CA"/>
        </w:rPr>
        <w:footnoteReference w:id="527"/>
      </w:r>
    </w:p>
    <w:p w14:paraId="403F0546" w14:textId="77777777" w:rsidR="00CA542C" w:rsidRPr="00AA6144" w:rsidRDefault="00CA542C" w:rsidP="0072293F">
      <w:pPr>
        <w:spacing w:after="0"/>
        <w:rPr>
          <w:rStyle w:val="verdana"/>
          <w:color w:val="auto"/>
          <w:lang w:val="en-CA"/>
        </w:rPr>
      </w:pPr>
    </w:p>
    <w:p w14:paraId="4CBA1A2F" w14:textId="77777777" w:rsidR="003D1D00" w:rsidRPr="00AA6144" w:rsidRDefault="001657DF" w:rsidP="0072293F">
      <w:pPr>
        <w:spacing w:after="0"/>
        <w:rPr>
          <w:color w:val="auto"/>
          <w:lang w:val="en-CA"/>
        </w:rPr>
      </w:pPr>
      <w:r w:rsidRPr="00AA6144">
        <w:rPr>
          <w:rStyle w:val="verdana"/>
          <w:color w:val="auto"/>
          <w:lang w:val="en-CA"/>
        </w:rPr>
        <w:t>Recently, t</w:t>
      </w:r>
      <w:r w:rsidR="00D02738" w:rsidRPr="00AA6144">
        <w:rPr>
          <w:rStyle w:val="verdana"/>
          <w:color w:val="auto"/>
          <w:lang w:val="en-CA"/>
        </w:rPr>
        <w:t xml:space="preserve">he Ontario Court of Appeal in </w:t>
      </w:r>
      <w:r w:rsidR="00D02738" w:rsidRPr="00AA6144">
        <w:rPr>
          <w:rStyle w:val="verdana"/>
          <w:i/>
          <w:color w:val="auto"/>
          <w:lang w:val="en-CA"/>
        </w:rPr>
        <w:t>United States v. Leonard</w:t>
      </w:r>
      <w:r w:rsidR="0007393E" w:rsidRPr="00AA6144">
        <w:rPr>
          <w:rStyle w:val="verdana"/>
          <w:color w:val="auto"/>
          <w:lang w:val="en-CA"/>
        </w:rPr>
        <w:t xml:space="preserve"> </w:t>
      </w:r>
      <w:r w:rsidR="0014272D" w:rsidRPr="00AA6144">
        <w:rPr>
          <w:rStyle w:val="verdana"/>
          <w:color w:val="auto"/>
          <w:lang w:val="en-CA"/>
        </w:rPr>
        <w:t>determined</w:t>
      </w:r>
      <w:r w:rsidR="003D1D00" w:rsidRPr="00AA6144">
        <w:rPr>
          <w:rStyle w:val="verdana"/>
          <w:color w:val="auto"/>
          <w:lang w:val="en-CA"/>
        </w:rPr>
        <w:t xml:space="preserve"> the appropriate analysis </w:t>
      </w:r>
      <w:r w:rsidR="005E1DB1" w:rsidRPr="00AA6144">
        <w:rPr>
          <w:rStyle w:val="verdana"/>
          <w:color w:val="auto"/>
          <w:lang w:val="en-CA"/>
        </w:rPr>
        <w:t>for whether</w:t>
      </w:r>
      <w:r w:rsidR="003D1D00" w:rsidRPr="00AA6144">
        <w:rPr>
          <w:rStyle w:val="verdana"/>
          <w:color w:val="auto"/>
          <w:lang w:val="en-CA"/>
        </w:rPr>
        <w:t xml:space="preserve"> </w:t>
      </w:r>
      <w:r w:rsidR="006877D5" w:rsidRPr="00AA6144">
        <w:rPr>
          <w:rStyle w:val="verdana"/>
          <w:color w:val="auto"/>
          <w:lang w:val="en-CA"/>
        </w:rPr>
        <w:t xml:space="preserve">the infringement of the offender’s </w:t>
      </w:r>
      <w:r w:rsidR="003D1D00" w:rsidRPr="00AA6144">
        <w:rPr>
          <w:rStyle w:val="verdana"/>
          <w:color w:val="auto"/>
          <w:lang w:val="en-CA"/>
        </w:rPr>
        <w:t xml:space="preserve">section 6 </w:t>
      </w:r>
      <w:r w:rsidR="003D1D00" w:rsidRPr="00AA6144">
        <w:rPr>
          <w:rStyle w:val="verdana"/>
          <w:i/>
          <w:color w:val="auto"/>
          <w:lang w:val="en-CA"/>
        </w:rPr>
        <w:t>Charter</w:t>
      </w:r>
      <w:r w:rsidR="005E1DB1" w:rsidRPr="00AA6144">
        <w:rPr>
          <w:rStyle w:val="verdana"/>
          <w:i/>
          <w:color w:val="auto"/>
          <w:lang w:val="en-CA"/>
        </w:rPr>
        <w:t xml:space="preserve"> </w:t>
      </w:r>
      <w:r w:rsidR="006877D5" w:rsidRPr="00AA6144">
        <w:rPr>
          <w:rStyle w:val="verdana"/>
          <w:color w:val="auto"/>
          <w:lang w:val="en-CA"/>
        </w:rPr>
        <w:t xml:space="preserve">right is </w:t>
      </w:r>
      <w:r w:rsidR="00255B85" w:rsidRPr="00AA6144">
        <w:rPr>
          <w:rStyle w:val="verdana"/>
          <w:color w:val="auto"/>
          <w:lang w:val="en-CA"/>
        </w:rPr>
        <w:t xml:space="preserve">justified under section 1 of the </w:t>
      </w:r>
      <w:r w:rsidR="00255B85" w:rsidRPr="00AA6144">
        <w:rPr>
          <w:rStyle w:val="verdana"/>
          <w:i/>
          <w:color w:val="auto"/>
          <w:lang w:val="en-CA"/>
        </w:rPr>
        <w:t>Charter</w:t>
      </w:r>
      <w:r w:rsidR="003D1D00" w:rsidRPr="00AA6144">
        <w:rPr>
          <w:rStyle w:val="verdana"/>
          <w:color w:val="auto"/>
          <w:lang w:val="en-CA"/>
        </w:rPr>
        <w:t>.</w:t>
      </w:r>
      <w:r w:rsidR="0072293F" w:rsidRPr="00AA6144">
        <w:rPr>
          <w:rStyle w:val="FootnoteReference"/>
          <w:color w:val="auto"/>
          <w:lang w:val="en-CA"/>
        </w:rPr>
        <w:footnoteReference w:id="528"/>
      </w:r>
      <w:r w:rsidR="003D1D00" w:rsidRPr="00AA6144">
        <w:rPr>
          <w:rStyle w:val="verdana"/>
          <w:color w:val="auto"/>
          <w:lang w:val="en-CA"/>
        </w:rPr>
        <w:t xml:space="preserve"> </w:t>
      </w:r>
      <w:r w:rsidR="0072293F" w:rsidRPr="00AA6144">
        <w:rPr>
          <w:rStyle w:val="verdana"/>
          <w:color w:val="auto"/>
          <w:lang w:val="en-CA"/>
        </w:rPr>
        <w:t xml:space="preserve">The Court held that the </w:t>
      </w:r>
      <w:proofErr w:type="spellStart"/>
      <w:r w:rsidR="0072293F" w:rsidRPr="00AA6144">
        <w:rPr>
          <w:rStyle w:val="verdana"/>
          <w:i/>
          <w:color w:val="auto"/>
          <w:lang w:val="en-CA"/>
        </w:rPr>
        <w:t>Cotroni</w:t>
      </w:r>
      <w:proofErr w:type="spellEnd"/>
      <w:r w:rsidR="0072293F" w:rsidRPr="00AA6144">
        <w:rPr>
          <w:rStyle w:val="verdana"/>
          <w:color w:val="auto"/>
          <w:lang w:val="en-CA"/>
        </w:rPr>
        <w:t xml:space="preserve"> analysis occurs separately and in spite of a prosecutor’s decision not to lay charges</w:t>
      </w:r>
      <w:r w:rsidR="007A696A" w:rsidRPr="00AA6144">
        <w:rPr>
          <w:rStyle w:val="verdana"/>
          <w:color w:val="auto"/>
          <w:lang w:val="en-CA"/>
        </w:rPr>
        <w:t>, stating “</w:t>
      </w:r>
      <w:r w:rsidR="007A696A" w:rsidRPr="00AA6144">
        <w:rPr>
          <w:color w:val="auto"/>
          <w:lang w:val="en-CA"/>
        </w:rPr>
        <w:t xml:space="preserve">the minister cannot treat the prosecutor's decision not to proceed with charges in Canada as conclusive </w:t>
      </w:r>
      <w:r w:rsidR="005E1DB1" w:rsidRPr="00AA6144">
        <w:rPr>
          <w:color w:val="auto"/>
          <w:lang w:val="en-CA"/>
        </w:rPr>
        <w:t xml:space="preserve">of the separate and distinct </w:t>
      </w:r>
      <w:proofErr w:type="spellStart"/>
      <w:r w:rsidR="005E1DB1" w:rsidRPr="00AA6144">
        <w:rPr>
          <w:i/>
          <w:color w:val="auto"/>
          <w:lang w:val="en-CA"/>
        </w:rPr>
        <w:t>Co</w:t>
      </w:r>
      <w:r w:rsidR="007A696A" w:rsidRPr="00AA6144">
        <w:rPr>
          <w:i/>
          <w:color w:val="auto"/>
          <w:lang w:val="en-CA"/>
        </w:rPr>
        <w:t>troni</w:t>
      </w:r>
      <w:proofErr w:type="spellEnd"/>
      <w:r w:rsidR="007A696A" w:rsidRPr="00AA6144">
        <w:rPr>
          <w:color w:val="auto"/>
          <w:lang w:val="en-CA"/>
        </w:rPr>
        <w:t xml:space="preserve"> analysis that the minister is required to conduct”.</w:t>
      </w:r>
      <w:r w:rsidR="005E1DB1" w:rsidRPr="00AA6144">
        <w:rPr>
          <w:rStyle w:val="FootnoteReference"/>
          <w:color w:val="auto"/>
          <w:lang w:val="en-CA"/>
        </w:rPr>
        <w:footnoteReference w:id="529"/>
      </w:r>
    </w:p>
    <w:p w14:paraId="1A8B490E" w14:textId="77777777" w:rsidR="00B65EE9" w:rsidRPr="00AA6144" w:rsidRDefault="00B65EE9" w:rsidP="0072293F">
      <w:pPr>
        <w:spacing w:after="0"/>
        <w:rPr>
          <w:color w:val="auto"/>
          <w:lang w:val="en-CA"/>
        </w:rPr>
      </w:pPr>
    </w:p>
    <w:p w14:paraId="6C7E589A" w14:textId="77777777" w:rsidR="00425515" w:rsidRPr="00AA6144" w:rsidRDefault="00B65EE9" w:rsidP="00425515">
      <w:pPr>
        <w:spacing w:after="0"/>
        <w:rPr>
          <w:color w:val="auto"/>
          <w:lang w:val="en-CA"/>
        </w:rPr>
      </w:pPr>
      <w:r w:rsidRPr="00AA6144">
        <w:rPr>
          <w:color w:val="auto"/>
          <w:lang w:val="en-CA"/>
        </w:rPr>
        <w:t xml:space="preserve">The Court in </w:t>
      </w:r>
      <w:r w:rsidRPr="00AA6144">
        <w:rPr>
          <w:i/>
          <w:color w:val="auto"/>
          <w:lang w:val="en-CA"/>
        </w:rPr>
        <w:t>United States v. Leonard</w:t>
      </w:r>
      <w:r w:rsidRPr="00AA6144">
        <w:rPr>
          <w:color w:val="auto"/>
          <w:lang w:val="en-CA"/>
        </w:rPr>
        <w:t xml:space="preserve"> also interpreted some of the individual </w:t>
      </w:r>
      <w:proofErr w:type="spellStart"/>
      <w:r w:rsidRPr="00AA6144">
        <w:rPr>
          <w:i/>
          <w:color w:val="auto"/>
          <w:lang w:val="en-CA"/>
        </w:rPr>
        <w:t>Cotroni</w:t>
      </w:r>
      <w:proofErr w:type="spellEnd"/>
      <w:r w:rsidRPr="00AA6144">
        <w:rPr>
          <w:i/>
          <w:color w:val="auto"/>
          <w:lang w:val="en-CA"/>
        </w:rPr>
        <w:t xml:space="preserve"> </w:t>
      </w:r>
      <w:r w:rsidRPr="00AA6144">
        <w:rPr>
          <w:color w:val="auto"/>
          <w:lang w:val="en-CA"/>
        </w:rPr>
        <w:t>factors</w:t>
      </w:r>
      <w:r w:rsidR="00F438AF" w:rsidRPr="00AA6144">
        <w:rPr>
          <w:color w:val="auto"/>
          <w:lang w:val="en-CA"/>
        </w:rPr>
        <w:t xml:space="preserve"> as they apply </w:t>
      </w:r>
      <w:r w:rsidR="0014272D" w:rsidRPr="00AA6144">
        <w:rPr>
          <w:color w:val="auto"/>
          <w:lang w:val="en-CA"/>
        </w:rPr>
        <w:t>to</w:t>
      </w:r>
      <w:r w:rsidR="00516A0E" w:rsidRPr="00AA6144">
        <w:rPr>
          <w:color w:val="auto"/>
          <w:lang w:val="en-CA"/>
        </w:rPr>
        <w:t xml:space="preserve"> an Aboriginal person sought for extradition</w:t>
      </w:r>
      <w:r w:rsidRPr="00AA6144">
        <w:rPr>
          <w:color w:val="auto"/>
          <w:lang w:val="en-CA"/>
        </w:rPr>
        <w:t xml:space="preserve">, namely </w:t>
      </w:r>
      <w:r w:rsidR="00516A0E" w:rsidRPr="00AA6144">
        <w:rPr>
          <w:color w:val="auto"/>
          <w:lang w:val="en-CA"/>
        </w:rPr>
        <w:t>the nationality and residence of the accused, and the severity of the sentence the accused is likely to receive in each jurisdiction.</w:t>
      </w:r>
      <w:r w:rsidR="00E47B4F" w:rsidRPr="00AA6144">
        <w:rPr>
          <w:color w:val="auto"/>
          <w:lang w:val="en-CA"/>
        </w:rPr>
        <w:t xml:space="preserve"> </w:t>
      </w:r>
      <w:r w:rsidR="000D5FFC" w:rsidRPr="00AA6144">
        <w:rPr>
          <w:color w:val="auto"/>
          <w:lang w:val="en-CA"/>
        </w:rPr>
        <w:t xml:space="preserve">For Aboriginal offenders, </w:t>
      </w:r>
      <w:r w:rsidR="00060FED" w:rsidRPr="00AA6144">
        <w:rPr>
          <w:color w:val="auto"/>
          <w:lang w:val="en-CA"/>
        </w:rPr>
        <w:t>the Minister</w:t>
      </w:r>
      <w:r w:rsidR="00C2365A" w:rsidRPr="00AA6144">
        <w:rPr>
          <w:color w:val="auto"/>
          <w:lang w:val="en-CA"/>
        </w:rPr>
        <w:t>,</w:t>
      </w:r>
      <w:r w:rsidR="00060FED" w:rsidRPr="00AA6144">
        <w:rPr>
          <w:color w:val="auto"/>
          <w:lang w:val="en-CA"/>
        </w:rPr>
        <w:t xml:space="preserve"> in exercising </w:t>
      </w:r>
      <w:r w:rsidR="004F5826" w:rsidRPr="00AA6144">
        <w:rPr>
          <w:color w:val="auto"/>
          <w:lang w:val="en-CA"/>
        </w:rPr>
        <w:t>ministerial discretion to extradite</w:t>
      </w:r>
      <w:r w:rsidR="00C2365A" w:rsidRPr="00AA6144">
        <w:rPr>
          <w:color w:val="auto"/>
          <w:lang w:val="en-CA"/>
        </w:rPr>
        <w:t>,</w:t>
      </w:r>
      <w:r w:rsidR="004F5826" w:rsidRPr="00AA6144">
        <w:rPr>
          <w:color w:val="auto"/>
          <w:lang w:val="en-CA"/>
        </w:rPr>
        <w:t xml:space="preserve"> must consider the Aboriginal status of the offender and </w:t>
      </w:r>
      <w:r w:rsidR="0014272D" w:rsidRPr="00AA6144">
        <w:rPr>
          <w:color w:val="auto"/>
          <w:lang w:val="en-CA"/>
        </w:rPr>
        <w:t>must consider:</w:t>
      </w:r>
    </w:p>
    <w:p w14:paraId="461A06D4" w14:textId="77777777" w:rsidR="004F5826" w:rsidRPr="00AA6144" w:rsidRDefault="004F5826" w:rsidP="00425515">
      <w:pPr>
        <w:spacing w:after="0"/>
        <w:rPr>
          <w:color w:val="auto"/>
          <w:lang w:val="en-CA"/>
        </w:rPr>
      </w:pPr>
    </w:p>
    <w:p w14:paraId="6F84C8A8" w14:textId="77777777" w:rsidR="004F5826" w:rsidRPr="00AA6144" w:rsidRDefault="004F5826" w:rsidP="00A64B36">
      <w:pPr>
        <w:spacing w:after="0"/>
        <w:ind w:left="357" w:right="567" w:firstLine="3"/>
        <w:rPr>
          <w:color w:val="auto"/>
          <w:lang w:val="en-CA"/>
        </w:rPr>
      </w:pPr>
      <w:r w:rsidRPr="00AA6144">
        <w:rPr>
          <w:color w:val="auto"/>
          <w:lang w:val="en-CA"/>
        </w:rPr>
        <w:t>the distinct situation of Aboriginal peoples in Canada including</w:t>
      </w:r>
      <w:r w:rsidR="00E05A89" w:rsidRPr="00AA6144">
        <w:rPr>
          <w:color w:val="auto"/>
          <w:lang w:val="en-CA"/>
        </w:rPr>
        <w:t xml:space="preserve"> […]</w:t>
      </w:r>
      <w:r w:rsidRPr="00AA6144">
        <w:rPr>
          <w:color w:val="auto"/>
          <w:lang w:val="en-CA"/>
        </w:rPr>
        <w:t xml:space="preserve"> </w:t>
      </w:r>
      <w:r w:rsidR="00E05A89" w:rsidRPr="00AA6144">
        <w:rPr>
          <w:color w:val="auto"/>
          <w:lang w:val="en-CA"/>
        </w:rPr>
        <w:t>t</w:t>
      </w:r>
      <w:r w:rsidRPr="00AA6144">
        <w:rPr>
          <w:color w:val="auto"/>
          <w:lang w:val="en-CA"/>
        </w:rPr>
        <w:t xml:space="preserve">he unique systemic or background factors which may have played a part in bringing the </w:t>
      </w:r>
      <w:proofErr w:type="gramStart"/>
      <w:r w:rsidRPr="00AA6144">
        <w:rPr>
          <w:color w:val="auto"/>
          <w:lang w:val="en-CA"/>
        </w:rPr>
        <w:t xml:space="preserve">particular </w:t>
      </w:r>
      <w:r w:rsidR="00581DAD" w:rsidRPr="00AA6144">
        <w:rPr>
          <w:color w:val="auto"/>
          <w:lang w:val="en-CA"/>
        </w:rPr>
        <w:t>A</w:t>
      </w:r>
      <w:r w:rsidRPr="00AA6144">
        <w:rPr>
          <w:color w:val="auto"/>
          <w:lang w:val="en-CA"/>
        </w:rPr>
        <w:t>boriginal</w:t>
      </w:r>
      <w:proofErr w:type="gramEnd"/>
      <w:r w:rsidRPr="00AA6144">
        <w:rPr>
          <w:color w:val="auto"/>
          <w:lang w:val="en-CA"/>
        </w:rPr>
        <w:t xml:space="preserve"> offender before the courts</w:t>
      </w:r>
      <w:r w:rsidR="00E05A89" w:rsidRPr="00AA6144">
        <w:rPr>
          <w:color w:val="auto"/>
          <w:lang w:val="en-CA"/>
        </w:rPr>
        <w:t xml:space="preserve"> […].</w:t>
      </w:r>
      <w:r w:rsidR="00E05A89" w:rsidRPr="00AA6144">
        <w:rPr>
          <w:rStyle w:val="FootnoteReference"/>
          <w:color w:val="auto"/>
          <w:lang w:val="en-CA"/>
        </w:rPr>
        <w:footnoteReference w:id="530"/>
      </w:r>
    </w:p>
    <w:p w14:paraId="5412C679" w14:textId="77777777" w:rsidR="008E54B0" w:rsidRPr="00AA6144" w:rsidRDefault="008E54B0" w:rsidP="00A64B36">
      <w:pPr>
        <w:spacing w:after="0"/>
        <w:ind w:right="567"/>
        <w:rPr>
          <w:color w:val="auto"/>
          <w:lang w:val="en-CA"/>
        </w:rPr>
      </w:pPr>
    </w:p>
    <w:p w14:paraId="6F54EA18" w14:textId="77777777" w:rsidR="00425515" w:rsidRPr="00AA6144" w:rsidRDefault="00624C69" w:rsidP="00A64B36">
      <w:pPr>
        <w:spacing w:after="0"/>
        <w:ind w:right="567"/>
        <w:rPr>
          <w:rStyle w:val="verdana"/>
          <w:color w:val="auto"/>
          <w:lang w:val="en-CA"/>
        </w:rPr>
      </w:pPr>
      <w:r w:rsidRPr="00AA6144">
        <w:rPr>
          <w:rStyle w:val="verdana"/>
          <w:color w:val="auto"/>
          <w:lang w:val="en-CA"/>
        </w:rPr>
        <w:t xml:space="preserve">The Supreme Court </w:t>
      </w:r>
      <w:r w:rsidR="002E42A1" w:rsidRPr="00AA6144">
        <w:rPr>
          <w:rStyle w:val="verdana"/>
          <w:color w:val="auto"/>
          <w:lang w:val="en-CA"/>
        </w:rPr>
        <w:t xml:space="preserve">of Canada </w:t>
      </w:r>
      <w:r w:rsidRPr="00AA6144">
        <w:rPr>
          <w:rStyle w:val="verdana"/>
          <w:color w:val="auto"/>
          <w:lang w:val="en-CA"/>
        </w:rPr>
        <w:t xml:space="preserve">in </w:t>
      </w:r>
      <w:proofErr w:type="spellStart"/>
      <w:r w:rsidRPr="00AA6144">
        <w:rPr>
          <w:rStyle w:val="verdana"/>
          <w:i/>
          <w:color w:val="auto"/>
          <w:lang w:val="en-CA"/>
        </w:rPr>
        <w:t>Sriskandarajah</w:t>
      </w:r>
      <w:proofErr w:type="spellEnd"/>
      <w:r w:rsidRPr="00AA6144">
        <w:rPr>
          <w:rStyle w:val="verdana"/>
          <w:i/>
          <w:color w:val="auto"/>
          <w:lang w:val="en-CA"/>
        </w:rPr>
        <w:t xml:space="preserve"> v. United States of America</w:t>
      </w:r>
      <w:r w:rsidRPr="00AA6144">
        <w:rPr>
          <w:rStyle w:val="verdana"/>
          <w:color w:val="auto"/>
          <w:lang w:val="en-CA"/>
        </w:rPr>
        <w:t xml:space="preserve"> </w:t>
      </w:r>
      <w:r w:rsidR="0014272D" w:rsidRPr="00AA6144">
        <w:rPr>
          <w:rStyle w:val="verdana"/>
          <w:color w:val="auto"/>
          <w:lang w:val="en-CA"/>
        </w:rPr>
        <w:t>held</w:t>
      </w:r>
      <w:r w:rsidRPr="00AA6144">
        <w:rPr>
          <w:rStyle w:val="verdana"/>
          <w:color w:val="auto"/>
          <w:lang w:val="en-CA"/>
        </w:rPr>
        <w:t xml:space="preserve"> </w:t>
      </w:r>
      <w:r w:rsidR="00561B78" w:rsidRPr="00AA6144">
        <w:rPr>
          <w:rStyle w:val="verdana"/>
          <w:color w:val="auto"/>
          <w:lang w:val="en-CA"/>
        </w:rPr>
        <w:t xml:space="preserve">that the </w:t>
      </w:r>
      <w:proofErr w:type="spellStart"/>
      <w:r w:rsidR="00561B78" w:rsidRPr="00AA6144">
        <w:rPr>
          <w:rStyle w:val="verdana"/>
          <w:i/>
          <w:color w:val="auto"/>
          <w:lang w:val="en-CA"/>
        </w:rPr>
        <w:t>Cotroni</w:t>
      </w:r>
      <w:proofErr w:type="spellEnd"/>
      <w:r w:rsidR="00561B78" w:rsidRPr="00AA6144">
        <w:rPr>
          <w:rStyle w:val="verdana"/>
          <w:i/>
          <w:color w:val="auto"/>
          <w:lang w:val="en-CA"/>
        </w:rPr>
        <w:t xml:space="preserve"> </w:t>
      </w:r>
      <w:r w:rsidR="00561B78" w:rsidRPr="00AA6144">
        <w:rPr>
          <w:rStyle w:val="verdana"/>
          <w:color w:val="auto"/>
          <w:lang w:val="en-CA"/>
        </w:rPr>
        <w:t xml:space="preserve">assessment in deciding whether the violation of an accused’s section 6 </w:t>
      </w:r>
      <w:r w:rsidR="00561B78" w:rsidRPr="00AA6144">
        <w:rPr>
          <w:rStyle w:val="verdana"/>
          <w:i/>
          <w:color w:val="auto"/>
          <w:lang w:val="en-CA"/>
        </w:rPr>
        <w:t xml:space="preserve">Charter </w:t>
      </w:r>
      <w:r w:rsidR="00561B78" w:rsidRPr="00AA6144">
        <w:rPr>
          <w:rStyle w:val="verdana"/>
          <w:color w:val="auto"/>
          <w:lang w:val="en-CA"/>
        </w:rPr>
        <w:t>rights is justified under section 1 is “mostly a political decision”</w:t>
      </w:r>
      <w:r w:rsidR="00C93541" w:rsidRPr="00AA6144">
        <w:rPr>
          <w:rStyle w:val="verdana"/>
          <w:color w:val="auto"/>
          <w:lang w:val="en-CA"/>
        </w:rPr>
        <w:t xml:space="preserve">. </w:t>
      </w:r>
      <w:r w:rsidR="00595ADA" w:rsidRPr="00AA6144">
        <w:rPr>
          <w:rStyle w:val="FootnoteReference"/>
          <w:color w:val="auto"/>
          <w:lang w:val="en-CA"/>
        </w:rPr>
        <w:footnoteReference w:id="531"/>
      </w:r>
      <w:r w:rsidR="00C93541" w:rsidRPr="00AA6144">
        <w:rPr>
          <w:rStyle w:val="verdana"/>
          <w:color w:val="auto"/>
          <w:lang w:val="en-CA"/>
        </w:rPr>
        <w:t xml:space="preserve"> The Court </w:t>
      </w:r>
      <w:r w:rsidR="001A592A" w:rsidRPr="00AA6144">
        <w:rPr>
          <w:rStyle w:val="verdana"/>
          <w:color w:val="auto"/>
          <w:lang w:val="en-CA"/>
        </w:rPr>
        <w:t xml:space="preserve">also </w:t>
      </w:r>
      <w:r w:rsidR="00D27F16" w:rsidRPr="00AA6144">
        <w:rPr>
          <w:rStyle w:val="verdana"/>
          <w:color w:val="auto"/>
          <w:lang w:val="en-CA"/>
        </w:rPr>
        <w:t xml:space="preserve">held that no single </w:t>
      </w:r>
      <w:proofErr w:type="spellStart"/>
      <w:r w:rsidR="00D27F16" w:rsidRPr="00AA6144">
        <w:rPr>
          <w:rStyle w:val="verdana"/>
          <w:i/>
          <w:color w:val="auto"/>
          <w:lang w:val="en-CA"/>
        </w:rPr>
        <w:t>Cotroni</w:t>
      </w:r>
      <w:proofErr w:type="spellEnd"/>
      <w:r w:rsidR="00D27F16" w:rsidRPr="00AA6144">
        <w:rPr>
          <w:rStyle w:val="verdana"/>
          <w:i/>
          <w:color w:val="auto"/>
          <w:lang w:val="en-CA"/>
        </w:rPr>
        <w:t xml:space="preserve"> </w:t>
      </w:r>
      <w:r w:rsidR="00D27F16" w:rsidRPr="00AA6144">
        <w:rPr>
          <w:rStyle w:val="verdana"/>
          <w:color w:val="auto"/>
          <w:lang w:val="en-CA"/>
        </w:rPr>
        <w:t xml:space="preserve">factor is </w:t>
      </w:r>
      <w:proofErr w:type="gramStart"/>
      <w:r w:rsidR="00D27F16" w:rsidRPr="00AA6144">
        <w:rPr>
          <w:rStyle w:val="verdana"/>
          <w:color w:val="auto"/>
          <w:lang w:val="en-CA"/>
        </w:rPr>
        <w:t>dispositive</w:t>
      </w:r>
      <w:proofErr w:type="gramEnd"/>
      <w:r w:rsidR="004D2B72" w:rsidRPr="00AA6144">
        <w:rPr>
          <w:rStyle w:val="verdana"/>
          <w:color w:val="auto"/>
          <w:lang w:val="en-CA"/>
        </w:rPr>
        <w:t xml:space="preserve"> and the assessment need not give each factor the equal weight</w:t>
      </w:r>
      <w:r w:rsidR="00D27F16" w:rsidRPr="00AA6144">
        <w:rPr>
          <w:rStyle w:val="verdana"/>
          <w:color w:val="auto"/>
          <w:lang w:val="en-CA"/>
        </w:rPr>
        <w:t>.</w:t>
      </w:r>
      <w:r w:rsidR="00A10C6E" w:rsidRPr="00AA6144">
        <w:rPr>
          <w:rStyle w:val="FootnoteReference"/>
          <w:color w:val="auto"/>
          <w:lang w:val="en-CA"/>
        </w:rPr>
        <w:footnoteReference w:id="532"/>
      </w:r>
    </w:p>
    <w:p w14:paraId="27A58844" w14:textId="77777777" w:rsidR="00D02738" w:rsidRPr="00AA6144" w:rsidRDefault="00D02738" w:rsidP="009E3308">
      <w:pPr>
        <w:spacing w:after="0"/>
        <w:rPr>
          <w:rStyle w:val="verdana"/>
          <w:color w:val="auto"/>
          <w:lang w:val="en-CA"/>
        </w:rPr>
      </w:pPr>
    </w:p>
    <w:p w14:paraId="146961C3" w14:textId="77777777" w:rsidR="009E3308" w:rsidRPr="00AA6144" w:rsidRDefault="002E42A1" w:rsidP="009E3308">
      <w:pPr>
        <w:pStyle w:val="AIBodyText"/>
        <w:rPr>
          <w:rStyle w:val="verdana"/>
          <w:color w:val="auto"/>
          <w:lang w:val="en-CA"/>
        </w:rPr>
      </w:pPr>
      <w:r w:rsidRPr="00AA6144">
        <w:rPr>
          <w:rStyle w:val="verdana"/>
          <w:color w:val="auto"/>
          <w:lang w:val="en-CA"/>
        </w:rPr>
        <w:t>C</w:t>
      </w:r>
      <w:r w:rsidR="009E3308" w:rsidRPr="00AA6144">
        <w:rPr>
          <w:rStyle w:val="verdana"/>
          <w:color w:val="auto"/>
          <w:lang w:val="en-CA"/>
        </w:rPr>
        <w:t xml:space="preserve">onsideration </w:t>
      </w:r>
      <w:r w:rsidR="00377977" w:rsidRPr="00AA6144">
        <w:rPr>
          <w:rStyle w:val="verdana"/>
          <w:color w:val="auto"/>
          <w:lang w:val="en-CA"/>
        </w:rPr>
        <w:t xml:space="preserve">of </w:t>
      </w:r>
      <w:r w:rsidR="009E3308" w:rsidRPr="00AA6144">
        <w:rPr>
          <w:rStyle w:val="verdana"/>
          <w:color w:val="auto"/>
          <w:lang w:val="en-CA"/>
        </w:rPr>
        <w:t xml:space="preserve">these factors would assume a greater normative character in the case of </w:t>
      </w:r>
      <w:r w:rsidR="00554130" w:rsidRPr="00AA6144">
        <w:rPr>
          <w:rStyle w:val="verdana"/>
          <w:color w:val="auto"/>
          <w:lang w:val="en-CA"/>
        </w:rPr>
        <w:t>those suspected of criminal responsibility</w:t>
      </w:r>
      <w:r w:rsidR="009E3308" w:rsidRPr="00AA6144">
        <w:rPr>
          <w:rStyle w:val="verdana"/>
          <w:color w:val="auto"/>
          <w:lang w:val="en-CA"/>
        </w:rPr>
        <w:t xml:space="preserve"> </w:t>
      </w:r>
      <w:r w:rsidR="00554130" w:rsidRPr="00AA6144">
        <w:rPr>
          <w:rStyle w:val="verdana"/>
          <w:color w:val="auto"/>
          <w:lang w:val="en-CA"/>
        </w:rPr>
        <w:t>f</w:t>
      </w:r>
      <w:r w:rsidR="009E3308" w:rsidRPr="00AA6144">
        <w:rPr>
          <w:rStyle w:val="verdana"/>
          <w:color w:val="auto"/>
          <w:lang w:val="en-CA"/>
        </w:rPr>
        <w:t>o</w:t>
      </w:r>
      <w:r w:rsidR="00554130" w:rsidRPr="00AA6144">
        <w:rPr>
          <w:rStyle w:val="verdana"/>
          <w:color w:val="auto"/>
          <w:lang w:val="en-CA"/>
        </w:rPr>
        <w:t>r</w:t>
      </w:r>
      <w:r w:rsidR="009E3308" w:rsidRPr="00AA6144">
        <w:rPr>
          <w:rStyle w:val="verdana"/>
          <w:color w:val="auto"/>
          <w:lang w:val="en-CA"/>
        </w:rPr>
        <w:t xml:space="preserve"> </w:t>
      </w:r>
      <w:r w:rsidR="00475A37" w:rsidRPr="00AA6144">
        <w:rPr>
          <w:rStyle w:val="verdana"/>
          <w:color w:val="auto"/>
          <w:lang w:val="en-CA"/>
        </w:rPr>
        <w:t xml:space="preserve">crimes under </w:t>
      </w:r>
      <w:r w:rsidRPr="00AA6144">
        <w:rPr>
          <w:rStyle w:val="verdana"/>
          <w:color w:val="auto"/>
          <w:lang w:val="en-CA"/>
        </w:rPr>
        <w:t xml:space="preserve">international </w:t>
      </w:r>
      <w:r w:rsidR="00475A37" w:rsidRPr="00AA6144">
        <w:rPr>
          <w:rStyle w:val="verdana"/>
          <w:color w:val="auto"/>
          <w:lang w:val="en-CA"/>
        </w:rPr>
        <w:t>law</w:t>
      </w:r>
      <w:r w:rsidR="009E3308" w:rsidRPr="00AA6144">
        <w:rPr>
          <w:rStyle w:val="verdana"/>
          <w:color w:val="auto"/>
          <w:lang w:val="en-CA"/>
        </w:rPr>
        <w:t>, and that the Minister’s discretion may be constrained in such cases. Canada would potentially be in violation of its obligations to assist in the apprehension and prosecution of those suspected of such crimes if it orders surrender without a determination that extradition will not hinder the investigation or prosecution of other perpetrators, or without issuing an assurance with the requesting state to that effect.</w:t>
      </w:r>
      <w:r w:rsidR="009E3308" w:rsidRPr="00AA6144">
        <w:rPr>
          <w:rStyle w:val="FootnoteReference"/>
          <w:color w:val="auto"/>
          <w:lang w:val="en-CA"/>
        </w:rPr>
        <w:footnoteReference w:id="533"/>
      </w:r>
      <w:r w:rsidR="009E3308" w:rsidRPr="00AA6144">
        <w:rPr>
          <w:rStyle w:val="verdana"/>
          <w:color w:val="auto"/>
          <w:lang w:val="en-CA"/>
        </w:rPr>
        <w:t xml:space="preserve">  Such a scenario has not been considered by the Supreme Court of Canada</w:t>
      </w:r>
      <w:r w:rsidRPr="00AA6144">
        <w:rPr>
          <w:rStyle w:val="verdana"/>
          <w:color w:val="auto"/>
          <w:lang w:val="en-CA"/>
        </w:rPr>
        <w:t>.</w:t>
      </w:r>
      <w:r w:rsidR="009E3308" w:rsidRPr="00AA6144">
        <w:rPr>
          <w:rStyle w:val="verdana"/>
          <w:color w:val="auto"/>
          <w:lang w:val="en-CA"/>
        </w:rPr>
        <w:t xml:space="preserve"> </w:t>
      </w:r>
      <w:r w:rsidR="0094413E" w:rsidRPr="00AA6144">
        <w:rPr>
          <w:rStyle w:val="verdana"/>
          <w:color w:val="auto"/>
          <w:lang w:val="en-CA"/>
        </w:rPr>
        <w:t>W</w:t>
      </w:r>
      <w:r w:rsidR="009E3308" w:rsidRPr="00AA6144">
        <w:rPr>
          <w:rStyle w:val="verdana"/>
          <w:color w:val="auto"/>
          <w:lang w:val="en-CA"/>
        </w:rPr>
        <w:t>e suggest that Canada has an obligation to ensure effective prosecution</w:t>
      </w:r>
      <w:r w:rsidR="0094413E" w:rsidRPr="00AA6144">
        <w:rPr>
          <w:rStyle w:val="verdana"/>
          <w:color w:val="auto"/>
          <w:lang w:val="en-CA"/>
        </w:rPr>
        <w:t xml:space="preserve"> of crimes of concern to the international community</w:t>
      </w:r>
      <w:r w:rsidR="009E3308" w:rsidRPr="00AA6144">
        <w:rPr>
          <w:rStyle w:val="verdana"/>
          <w:color w:val="auto"/>
          <w:lang w:val="en-CA"/>
        </w:rPr>
        <w:t xml:space="preserve">, whether through domestic prosecution or through extradition with the assurances that the process </w:t>
      </w:r>
      <w:r w:rsidRPr="00AA6144">
        <w:rPr>
          <w:rStyle w:val="verdana"/>
          <w:color w:val="auto"/>
          <w:lang w:val="en-CA"/>
        </w:rPr>
        <w:t xml:space="preserve">will </w:t>
      </w:r>
      <w:r w:rsidR="009E3308" w:rsidRPr="00AA6144">
        <w:rPr>
          <w:rStyle w:val="verdana"/>
          <w:color w:val="auto"/>
          <w:lang w:val="en-CA"/>
        </w:rPr>
        <w:t xml:space="preserve">not undermine active investigations or contribute to impunity for </w:t>
      </w:r>
      <w:r w:rsidR="00554130" w:rsidRPr="00AA6144">
        <w:rPr>
          <w:rStyle w:val="verdana"/>
          <w:color w:val="auto"/>
          <w:lang w:val="en-CA"/>
        </w:rPr>
        <w:t>those suspected of criminal responsibility for crimes under international law</w:t>
      </w:r>
      <w:r w:rsidR="009E3308" w:rsidRPr="00AA6144">
        <w:rPr>
          <w:rStyle w:val="verdana"/>
          <w:color w:val="auto"/>
          <w:lang w:val="en-CA"/>
        </w:rPr>
        <w:t>.</w:t>
      </w:r>
    </w:p>
    <w:p w14:paraId="29D82D23" w14:textId="77777777" w:rsidR="009E3308" w:rsidRPr="00AA6144" w:rsidRDefault="00945647" w:rsidP="009E3308">
      <w:pPr>
        <w:pStyle w:val="AIBodyText"/>
        <w:rPr>
          <w:color w:val="auto"/>
          <w:lang w:val="en-CA"/>
        </w:rPr>
      </w:pPr>
      <w:r w:rsidRPr="00AA6144">
        <w:rPr>
          <w:rStyle w:val="verdana"/>
          <w:color w:val="auto"/>
          <w:lang w:val="en-CA"/>
        </w:rPr>
        <w:t xml:space="preserve">Canada’s domestic prosecution for such crimes must remain a feasible option in </w:t>
      </w:r>
      <w:r w:rsidR="009E3308" w:rsidRPr="00AA6144">
        <w:rPr>
          <w:rStyle w:val="verdana"/>
          <w:color w:val="auto"/>
          <w:lang w:val="en-CA"/>
        </w:rPr>
        <w:t>the absence of a</w:t>
      </w:r>
      <w:r w:rsidR="002E42A1" w:rsidRPr="00AA6144">
        <w:rPr>
          <w:rStyle w:val="verdana"/>
          <w:color w:val="auto"/>
          <w:lang w:val="en-CA"/>
        </w:rPr>
        <w:t xml:space="preserve"> </w:t>
      </w:r>
      <w:r w:rsidR="002E42A1" w:rsidRPr="00AA6144">
        <w:rPr>
          <w:rStyle w:val="verdana"/>
          <w:i/>
          <w:color w:val="auto"/>
          <w:lang w:val="en-CA"/>
        </w:rPr>
        <w:t xml:space="preserve">bona fide </w:t>
      </w:r>
      <w:r w:rsidR="002E42A1" w:rsidRPr="00AA6144">
        <w:rPr>
          <w:rStyle w:val="verdana"/>
          <w:color w:val="auto"/>
          <w:lang w:val="en-CA"/>
        </w:rPr>
        <w:t xml:space="preserve">extradition request that will ensure accountability for </w:t>
      </w:r>
      <w:r w:rsidR="00475A37" w:rsidRPr="00AA6144">
        <w:rPr>
          <w:rStyle w:val="verdana"/>
          <w:color w:val="auto"/>
          <w:lang w:val="en-CA"/>
        </w:rPr>
        <w:t>crimes under international law</w:t>
      </w:r>
      <w:r w:rsidR="00A166B5" w:rsidRPr="00AA6144">
        <w:rPr>
          <w:rStyle w:val="verdana"/>
          <w:color w:val="auto"/>
          <w:lang w:val="en-CA"/>
        </w:rPr>
        <w:t>.</w:t>
      </w:r>
      <w:r w:rsidR="009E3308" w:rsidRPr="00AA6144">
        <w:rPr>
          <w:rStyle w:val="verdana"/>
          <w:color w:val="auto"/>
          <w:lang w:val="en-CA"/>
        </w:rPr>
        <w:t xml:space="preserve"> If an analysis of these factors demonstrates that domestic prosecution </w:t>
      </w:r>
      <w:r w:rsidR="002E42A1" w:rsidRPr="00AA6144">
        <w:rPr>
          <w:rStyle w:val="verdana"/>
          <w:color w:val="auto"/>
          <w:lang w:val="en-CA"/>
        </w:rPr>
        <w:t>will better</w:t>
      </w:r>
      <w:r w:rsidR="009E3308" w:rsidRPr="00AA6144">
        <w:rPr>
          <w:rStyle w:val="verdana"/>
          <w:color w:val="auto"/>
          <w:lang w:val="en-CA"/>
        </w:rPr>
        <w:t xml:space="preserve"> ensure the proper administration of justice for such crimes, domestic prosecution may be necessary to avoid impunity.  </w:t>
      </w:r>
    </w:p>
    <w:p w14:paraId="65487380" w14:textId="77777777" w:rsidR="009E3308" w:rsidRPr="00AA6144" w:rsidRDefault="009E3308" w:rsidP="009E3308">
      <w:pPr>
        <w:pStyle w:val="Heading4"/>
        <w:rPr>
          <w:color w:val="auto"/>
          <w:lang w:val="en-CA"/>
        </w:rPr>
      </w:pPr>
      <w:bookmarkStart w:id="192" w:name="_Toc193798685"/>
      <w:bookmarkStart w:id="193" w:name="_Toc220954486"/>
      <w:bookmarkStart w:id="194" w:name="_Toc294914659"/>
      <w:bookmarkStart w:id="195" w:name="_Toc43382766"/>
      <w:r w:rsidRPr="00AA6144">
        <w:rPr>
          <w:color w:val="auto"/>
          <w:lang w:val="en-CA"/>
        </w:rPr>
        <w:t>7.1.1.3. Double criminality</w:t>
      </w:r>
      <w:bookmarkEnd w:id="192"/>
      <w:bookmarkEnd w:id="193"/>
      <w:r w:rsidRPr="00AA6144">
        <w:rPr>
          <w:color w:val="auto"/>
          <w:lang w:val="en-CA"/>
        </w:rPr>
        <w:t xml:space="preserve"> and territorial jurisdiction</w:t>
      </w:r>
      <w:bookmarkEnd w:id="194"/>
      <w:bookmarkEnd w:id="195"/>
    </w:p>
    <w:p w14:paraId="2783E2E6" w14:textId="77777777" w:rsidR="009E3308" w:rsidRPr="00AA6144" w:rsidRDefault="009E3308" w:rsidP="009E3308">
      <w:pPr>
        <w:rPr>
          <w:rStyle w:val="verdana"/>
          <w:color w:val="auto"/>
          <w:lang w:val="en-CA"/>
        </w:rPr>
      </w:pPr>
      <w:r w:rsidRPr="00AA6144">
        <w:rPr>
          <w:rStyle w:val="verdana"/>
          <w:color w:val="auto"/>
          <w:lang w:val="en-CA"/>
        </w:rPr>
        <w:t xml:space="preserve">Canada’s </w:t>
      </w:r>
      <w:r w:rsidRPr="00AA6144">
        <w:rPr>
          <w:i/>
          <w:color w:val="auto"/>
          <w:szCs w:val="18"/>
          <w:lang w:val="en-CA"/>
        </w:rPr>
        <w:t xml:space="preserve">Extradition Act </w:t>
      </w:r>
      <w:r w:rsidRPr="00AA6144">
        <w:rPr>
          <w:color w:val="auto"/>
          <w:szCs w:val="18"/>
          <w:lang w:val="en-CA"/>
        </w:rPr>
        <w:t xml:space="preserve">takes a relaxed approach to this requirement.  It does not </w:t>
      </w:r>
      <w:r w:rsidRPr="00AA6144">
        <w:rPr>
          <w:rStyle w:val="verdana"/>
          <w:color w:val="auto"/>
          <w:lang w:val="en-CA"/>
        </w:rPr>
        <w:t>require that offen</w:t>
      </w:r>
      <w:r w:rsidR="00F447FD" w:rsidRPr="00AA6144">
        <w:rPr>
          <w:rStyle w:val="verdana"/>
          <w:color w:val="auto"/>
          <w:lang w:val="en-CA"/>
        </w:rPr>
        <w:t>c</w:t>
      </w:r>
      <w:r w:rsidRPr="00AA6144">
        <w:rPr>
          <w:rStyle w:val="verdana"/>
          <w:color w:val="auto"/>
          <w:lang w:val="en-CA"/>
        </w:rPr>
        <w:t xml:space="preserve">es for which an individual is sought </w:t>
      </w:r>
      <w:r w:rsidR="00455577" w:rsidRPr="00AA6144">
        <w:rPr>
          <w:rStyle w:val="verdana"/>
          <w:color w:val="auto"/>
          <w:lang w:val="en-CA"/>
        </w:rPr>
        <w:t xml:space="preserve">are </w:t>
      </w:r>
      <w:r w:rsidRPr="00AA6144">
        <w:rPr>
          <w:rStyle w:val="verdana"/>
          <w:color w:val="auto"/>
          <w:lang w:val="en-CA"/>
        </w:rPr>
        <w:t xml:space="preserve">parallel </w:t>
      </w:r>
      <w:r w:rsidR="00455577" w:rsidRPr="00AA6144">
        <w:rPr>
          <w:rStyle w:val="verdana"/>
          <w:color w:val="auto"/>
          <w:lang w:val="en-CA"/>
        </w:rPr>
        <w:t xml:space="preserve">to </w:t>
      </w:r>
      <w:r w:rsidRPr="00AA6144">
        <w:rPr>
          <w:rStyle w:val="verdana"/>
          <w:color w:val="auto"/>
          <w:lang w:val="en-CA"/>
        </w:rPr>
        <w:t>specific offen</w:t>
      </w:r>
      <w:r w:rsidR="00882527" w:rsidRPr="00AA6144">
        <w:rPr>
          <w:rStyle w:val="verdana"/>
          <w:color w:val="auto"/>
          <w:lang w:val="en-CA"/>
        </w:rPr>
        <w:t>c</w:t>
      </w:r>
      <w:r w:rsidRPr="00AA6144">
        <w:rPr>
          <w:rStyle w:val="verdana"/>
          <w:color w:val="auto"/>
          <w:lang w:val="en-CA"/>
        </w:rPr>
        <w:t>es in Canadian law.  Rather, it requires only that the conduct alleged by the requesting state amount</w:t>
      </w:r>
      <w:r w:rsidR="00AF212E" w:rsidRPr="00AA6144">
        <w:rPr>
          <w:rStyle w:val="verdana"/>
          <w:color w:val="auto"/>
          <w:lang w:val="en-CA"/>
        </w:rPr>
        <w:t>s</w:t>
      </w:r>
      <w:r w:rsidRPr="00AA6144">
        <w:rPr>
          <w:rStyle w:val="verdana"/>
          <w:color w:val="auto"/>
          <w:lang w:val="en-CA"/>
        </w:rPr>
        <w:t xml:space="preserve"> to an offence</w:t>
      </w:r>
      <w:r w:rsidR="00455577" w:rsidRPr="00AA6144">
        <w:rPr>
          <w:rStyle w:val="verdana"/>
          <w:color w:val="auto"/>
          <w:lang w:val="en-CA"/>
        </w:rPr>
        <w:t xml:space="preserve"> </w:t>
      </w:r>
      <w:r w:rsidRPr="00AA6144">
        <w:rPr>
          <w:rStyle w:val="verdana"/>
          <w:color w:val="auto"/>
          <w:lang w:val="en-CA"/>
        </w:rPr>
        <w:t>in Canada, notwithstanding the fact that the conduct may be “named, defined or characterized” in a different way by the extradition partner.</w:t>
      </w:r>
      <w:r w:rsidR="009046CB" w:rsidRPr="00AA6144">
        <w:rPr>
          <w:rStyle w:val="FootnoteReference"/>
          <w:color w:val="auto"/>
          <w:lang w:val="en-CA"/>
        </w:rPr>
        <w:footnoteReference w:id="534"/>
      </w:r>
      <w:r w:rsidRPr="00AA6144">
        <w:rPr>
          <w:rStyle w:val="verdana"/>
          <w:color w:val="auto"/>
          <w:lang w:val="en-CA"/>
        </w:rPr>
        <w:t xml:space="preserve"> </w:t>
      </w:r>
      <w:r w:rsidRPr="00AA6144">
        <w:rPr>
          <w:color w:val="auto"/>
          <w:lang w:val="en-CA"/>
        </w:rPr>
        <w:t xml:space="preserve">Under Canadian law, Canada may </w:t>
      </w:r>
      <w:r w:rsidR="00A04A71" w:rsidRPr="00AA6144">
        <w:rPr>
          <w:color w:val="auto"/>
          <w:lang w:val="en-CA"/>
        </w:rPr>
        <w:t xml:space="preserve">only </w:t>
      </w:r>
      <w:r w:rsidRPr="00AA6144">
        <w:rPr>
          <w:color w:val="auto"/>
          <w:lang w:val="en-CA"/>
        </w:rPr>
        <w:t>extradite a</w:t>
      </w:r>
      <w:r w:rsidR="00A04A71" w:rsidRPr="00AA6144">
        <w:rPr>
          <w:color w:val="auto"/>
          <w:lang w:val="en-CA"/>
        </w:rPr>
        <w:t xml:space="preserve"> person sought</w:t>
      </w:r>
      <w:r w:rsidRPr="00AA6144">
        <w:rPr>
          <w:color w:val="auto"/>
          <w:lang w:val="en-CA"/>
        </w:rPr>
        <w:t xml:space="preserve"> for trial or to serve a sentence </w:t>
      </w:r>
      <w:r w:rsidR="00A04A71" w:rsidRPr="00AA6144">
        <w:rPr>
          <w:color w:val="auto"/>
          <w:lang w:val="en-CA"/>
        </w:rPr>
        <w:t xml:space="preserve">in the circumstances described in section 3(1) of the </w:t>
      </w:r>
      <w:r w:rsidR="00A04A71" w:rsidRPr="00AA6144">
        <w:rPr>
          <w:i/>
          <w:color w:val="auto"/>
          <w:lang w:val="en-CA"/>
        </w:rPr>
        <w:t>Extradition Act</w:t>
      </w:r>
      <w:r w:rsidR="00A04A71" w:rsidRPr="00AA6144">
        <w:rPr>
          <w:color w:val="auto"/>
          <w:lang w:val="en-CA"/>
        </w:rPr>
        <w:t>.</w:t>
      </w:r>
      <w:r w:rsidRPr="00AA6144">
        <w:rPr>
          <w:rStyle w:val="FootnoteReference"/>
          <w:color w:val="auto"/>
          <w:lang w:val="en-CA"/>
        </w:rPr>
        <w:footnoteReference w:id="535"/>
      </w:r>
    </w:p>
    <w:p w14:paraId="09A44C87" w14:textId="77777777" w:rsidR="009E3308" w:rsidRPr="00AA6144" w:rsidRDefault="009E3308" w:rsidP="009E3308">
      <w:pPr>
        <w:rPr>
          <w:color w:val="auto"/>
          <w:lang w:val="en-CA"/>
        </w:rPr>
      </w:pPr>
      <w:r w:rsidRPr="00AA6144">
        <w:rPr>
          <w:rStyle w:val="verdana"/>
          <w:color w:val="auto"/>
          <w:lang w:val="en-CA"/>
        </w:rPr>
        <w:t xml:space="preserve">The Minister </w:t>
      </w:r>
      <w:r w:rsidR="00455577" w:rsidRPr="00AA6144">
        <w:rPr>
          <w:rStyle w:val="verdana"/>
          <w:color w:val="auto"/>
          <w:lang w:val="en-CA"/>
        </w:rPr>
        <w:t xml:space="preserve">of Justice </w:t>
      </w:r>
      <w:r w:rsidRPr="00AA6144">
        <w:rPr>
          <w:rStyle w:val="verdana"/>
          <w:color w:val="auto"/>
          <w:lang w:val="en-CA"/>
        </w:rPr>
        <w:t xml:space="preserve">has </w:t>
      </w:r>
      <w:r w:rsidR="008D4E12" w:rsidRPr="00AA6144">
        <w:rPr>
          <w:rStyle w:val="verdana"/>
          <w:color w:val="auto"/>
          <w:lang w:val="en-CA"/>
        </w:rPr>
        <w:t xml:space="preserve">broad </w:t>
      </w:r>
      <w:r w:rsidRPr="00AA6144">
        <w:rPr>
          <w:rStyle w:val="verdana"/>
          <w:color w:val="auto"/>
          <w:lang w:val="en-CA"/>
        </w:rPr>
        <w:t>discretion</w:t>
      </w:r>
      <w:r w:rsidR="00402B57" w:rsidRPr="00AA6144">
        <w:rPr>
          <w:rStyle w:val="verdana"/>
          <w:color w:val="auto"/>
          <w:lang w:val="en-CA"/>
        </w:rPr>
        <w:t xml:space="preserve"> at all stages of the extradition process</w:t>
      </w:r>
      <w:r w:rsidR="00455577" w:rsidRPr="00AA6144">
        <w:rPr>
          <w:rStyle w:val="verdana"/>
          <w:color w:val="auto"/>
          <w:lang w:val="en-CA"/>
        </w:rPr>
        <w:t>,</w:t>
      </w:r>
      <w:r w:rsidRPr="00AA6144">
        <w:rPr>
          <w:rStyle w:val="verdana"/>
          <w:color w:val="auto"/>
          <w:lang w:val="en-CA"/>
        </w:rPr>
        <w:t xml:space="preserve"> </w:t>
      </w:r>
      <w:r w:rsidR="00192E0F" w:rsidRPr="00AA6144">
        <w:rPr>
          <w:rStyle w:val="verdana"/>
          <w:color w:val="auto"/>
          <w:lang w:val="en-CA"/>
        </w:rPr>
        <w:t>particularly in the way the foreign offence is approximated in</w:t>
      </w:r>
      <w:r w:rsidRPr="00AA6144">
        <w:rPr>
          <w:rStyle w:val="verdana"/>
          <w:color w:val="auto"/>
          <w:lang w:val="en-CA"/>
        </w:rPr>
        <w:t xml:space="preserve"> scope and character </w:t>
      </w:r>
      <w:r w:rsidR="00192E0F" w:rsidRPr="00AA6144">
        <w:rPr>
          <w:rStyle w:val="verdana"/>
          <w:color w:val="auto"/>
          <w:lang w:val="en-CA"/>
        </w:rPr>
        <w:t xml:space="preserve">to a </w:t>
      </w:r>
      <w:r w:rsidR="00C31EF7" w:rsidRPr="00AA6144">
        <w:rPr>
          <w:rStyle w:val="verdana"/>
          <w:color w:val="auto"/>
          <w:lang w:val="en-CA"/>
        </w:rPr>
        <w:t>similar</w:t>
      </w:r>
      <w:r w:rsidR="00DB2D47" w:rsidRPr="00AA6144">
        <w:rPr>
          <w:rStyle w:val="verdana"/>
          <w:color w:val="auto"/>
          <w:lang w:val="en-CA"/>
        </w:rPr>
        <w:t xml:space="preserve"> Canadian criminal offence.</w:t>
      </w:r>
      <w:r w:rsidR="00455577" w:rsidRPr="00AA6144">
        <w:rPr>
          <w:rStyle w:val="verdana"/>
          <w:color w:val="auto"/>
          <w:lang w:val="en-CA"/>
        </w:rPr>
        <w:t xml:space="preserve"> </w:t>
      </w:r>
      <w:r w:rsidRPr="00AA6144">
        <w:rPr>
          <w:rStyle w:val="verdana"/>
          <w:color w:val="auto"/>
          <w:lang w:val="en-CA"/>
        </w:rPr>
        <w:t>The Minister determines which Canadian offen</w:t>
      </w:r>
      <w:r w:rsidR="00DB0126" w:rsidRPr="00AA6144">
        <w:rPr>
          <w:rStyle w:val="verdana"/>
          <w:color w:val="auto"/>
          <w:lang w:val="en-CA"/>
        </w:rPr>
        <w:t>c</w:t>
      </w:r>
      <w:r w:rsidRPr="00AA6144">
        <w:rPr>
          <w:rStyle w:val="verdana"/>
          <w:color w:val="auto"/>
          <w:lang w:val="en-CA"/>
        </w:rPr>
        <w:t>e</w:t>
      </w:r>
      <w:r w:rsidR="005F285B" w:rsidRPr="00AA6144">
        <w:rPr>
          <w:rStyle w:val="verdana"/>
          <w:color w:val="auto"/>
          <w:lang w:val="en-CA"/>
        </w:rPr>
        <w:t>(s)</w:t>
      </w:r>
      <w:r w:rsidRPr="00AA6144">
        <w:rPr>
          <w:rStyle w:val="verdana"/>
          <w:color w:val="auto"/>
          <w:lang w:val="en-CA"/>
        </w:rPr>
        <w:t xml:space="preserve"> most closely approximate the conduct alleged in the </w:t>
      </w:r>
      <w:r w:rsidR="002A50C8" w:rsidRPr="00AA6144">
        <w:rPr>
          <w:rStyle w:val="verdana"/>
          <w:color w:val="auto"/>
          <w:lang w:val="en-CA"/>
        </w:rPr>
        <w:t xml:space="preserve">Record </w:t>
      </w:r>
      <w:r w:rsidRPr="00AA6144">
        <w:rPr>
          <w:rStyle w:val="verdana"/>
          <w:color w:val="auto"/>
          <w:lang w:val="en-CA"/>
        </w:rPr>
        <w:t xml:space="preserve">of the </w:t>
      </w:r>
      <w:r w:rsidR="002A50C8" w:rsidRPr="00AA6144">
        <w:rPr>
          <w:rStyle w:val="verdana"/>
          <w:color w:val="auto"/>
          <w:lang w:val="en-CA"/>
        </w:rPr>
        <w:t xml:space="preserve">Case </w:t>
      </w:r>
      <w:r w:rsidRPr="00AA6144">
        <w:rPr>
          <w:rStyle w:val="verdana"/>
          <w:color w:val="auto"/>
          <w:lang w:val="en-CA"/>
        </w:rPr>
        <w:t xml:space="preserve">when issuing the </w:t>
      </w:r>
      <w:r w:rsidR="00C31EF7" w:rsidRPr="00AA6144">
        <w:rPr>
          <w:rStyle w:val="verdana"/>
          <w:color w:val="auto"/>
          <w:lang w:val="en-CA"/>
        </w:rPr>
        <w:t>ATP</w:t>
      </w:r>
      <w:r w:rsidRPr="00AA6144">
        <w:rPr>
          <w:rStyle w:val="verdana"/>
          <w:color w:val="auto"/>
          <w:lang w:val="en-CA"/>
        </w:rPr>
        <w:t xml:space="preserve">.  Where several offences punishable by </w:t>
      </w:r>
      <w:r w:rsidR="00C31EF7" w:rsidRPr="00AA6144">
        <w:rPr>
          <w:rStyle w:val="verdana"/>
          <w:color w:val="auto"/>
          <w:lang w:val="en-CA"/>
        </w:rPr>
        <w:t xml:space="preserve">Canadian </w:t>
      </w:r>
      <w:r w:rsidRPr="00AA6144">
        <w:rPr>
          <w:rStyle w:val="verdana"/>
          <w:color w:val="auto"/>
          <w:lang w:val="en-CA"/>
        </w:rPr>
        <w:t>law are alleged in the ATP, only one of the offen</w:t>
      </w:r>
      <w:r w:rsidR="008750D4" w:rsidRPr="00AA6144">
        <w:rPr>
          <w:rStyle w:val="verdana"/>
          <w:color w:val="auto"/>
          <w:lang w:val="en-CA"/>
        </w:rPr>
        <w:t>c</w:t>
      </w:r>
      <w:r w:rsidRPr="00AA6144">
        <w:rPr>
          <w:rStyle w:val="verdana"/>
          <w:color w:val="auto"/>
          <w:lang w:val="en-CA"/>
        </w:rPr>
        <w:t xml:space="preserve">es needs to comply with the double criminality requirements in section 3 of the </w:t>
      </w:r>
      <w:r w:rsidR="008F377E" w:rsidRPr="00AA6144">
        <w:rPr>
          <w:rStyle w:val="verdana"/>
          <w:i/>
          <w:color w:val="auto"/>
          <w:lang w:val="en-CA"/>
        </w:rPr>
        <w:t xml:space="preserve">Extradition </w:t>
      </w:r>
      <w:r w:rsidRPr="00AA6144">
        <w:rPr>
          <w:rStyle w:val="verdana"/>
          <w:i/>
          <w:color w:val="auto"/>
          <w:lang w:val="en-CA"/>
        </w:rPr>
        <w:t>Act</w:t>
      </w:r>
      <w:r w:rsidRPr="00AA6144">
        <w:rPr>
          <w:rStyle w:val="verdana"/>
          <w:color w:val="auto"/>
          <w:lang w:val="en-CA"/>
        </w:rPr>
        <w:t xml:space="preserve"> in order for the extradition hearing to proceed on all of them.</w:t>
      </w:r>
      <w:r w:rsidRPr="00AA6144">
        <w:rPr>
          <w:rStyle w:val="FootnoteReference"/>
          <w:color w:val="auto"/>
          <w:lang w:val="en-CA"/>
        </w:rPr>
        <w:footnoteReference w:id="536"/>
      </w:r>
      <w:r w:rsidRPr="00AA6144">
        <w:rPr>
          <w:rStyle w:val="verdana"/>
          <w:color w:val="auto"/>
          <w:lang w:val="en-CA"/>
        </w:rPr>
        <w:t xml:space="preserve">  Additionally, the Minister can order surrender even for charges not listed in the ATP or the judicial order for committal, provided that at least one of the offen</w:t>
      </w:r>
      <w:r w:rsidR="00DA049E" w:rsidRPr="00AA6144">
        <w:rPr>
          <w:rStyle w:val="verdana"/>
          <w:color w:val="auto"/>
          <w:lang w:val="en-CA"/>
        </w:rPr>
        <w:t>c</w:t>
      </w:r>
      <w:r w:rsidRPr="00AA6144">
        <w:rPr>
          <w:rStyle w:val="verdana"/>
          <w:color w:val="auto"/>
          <w:lang w:val="en-CA"/>
        </w:rPr>
        <w:t xml:space="preserve">es in the committal order meets the requirements of section 3 of the </w:t>
      </w:r>
      <w:r w:rsidR="00C31EF7" w:rsidRPr="00AA6144">
        <w:rPr>
          <w:rStyle w:val="verdana"/>
          <w:i/>
          <w:color w:val="auto"/>
          <w:lang w:val="en-CA"/>
        </w:rPr>
        <w:t xml:space="preserve">Extradition </w:t>
      </w:r>
      <w:r w:rsidRPr="00AA6144">
        <w:rPr>
          <w:rStyle w:val="verdana"/>
          <w:i/>
          <w:color w:val="auto"/>
          <w:lang w:val="en-CA"/>
        </w:rPr>
        <w:t>Act</w:t>
      </w:r>
      <w:r w:rsidR="00BB0E09" w:rsidRPr="00AA6144">
        <w:rPr>
          <w:rStyle w:val="verdana"/>
          <w:color w:val="auto"/>
          <w:lang w:val="en-CA"/>
        </w:rPr>
        <w:t>,</w:t>
      </w:r>
      <w:r w:rsidRPr="00AA6144">
        <w:rPr>
          <w:rStyle w:val="FootnoteReference"/>
          <w:color w:val="auto"/>
          <w:lang w:val="en-CA"/>
        </w:rPr>
        <w:footnoteReference w:id="537"/>
      </w:r>
      <w:r w:rsidRPr="00AA6144">
        <w:rPr>
          <w:rStyle w:val="verdana"/>
          <w:color w:val="auto"/>
          <w:lang w:val="en-CA"/>
        </w:rPr>
        <w:t xml:space="preserve"> and all the offences for which the individual is surrendered relate to conduct punishable if committed in Canada.</w:t>
      </w:r>
      <w:r w:rsidRPr="00AA6144">
        <w:rPr>
          <w:rStyle w:val="FootnoteReference"/>
          <w:color w:val="auto"/>
          <w:lang w:val="en-CA"/>
        </w:rPr>
        <w:footnoteReference w:id="538"/>
      </w:r>
      <w:r w:rsidRPr="00AA6144">
        <w:rPr>
          <w:rStyle w:val="verdana"/>
          <w:color w:val="auto"/>
          <w:lang w:val="en-CA"/>
        </w:rPr>
        <w:t xml:space="preserve">  </w:t>
      </w:r>
    </w:p>
    <w:p w14:paraId="7F1888A4" w14:textId="77777777" w:rsidR="009E3308" w:rsidRPr="00AA6144" w:rsidRDefault="009E3308" w:rsidP="009E3308">
      <w:pPr>
        <w:rPr>
          <w:color w:val="auto"/>
          <w:lang w:val="en-CA"/>
        </w:rPr>
      </w:pPr>
      <w:r w:rsidRPr="00AA6144">
        <w:rPr>
          <w:color w:val="auto"/>
          <w:lang w:val="en-CA"/>
        </w:rPr>
        <w:t>Canadian law also provides that the Minister of Justice may refuse to grant a request for extradition if he or she is satisfied that “none of the conduct on which the extradition partner bases its request occurred in the territory over which the extradition partner has jurisdiction.”</w:t>
      </w:r>
      <w:r w:rsidRPr="00AA6144">
        <w:rPr>
          <w:rStyle w:val="FootnoteReference"/>
          <w:color w:val="auto"/>
          <w:lang w:val="en-CA"/>
        </w:rPr>
        <w:footnoteReference w:id="539"/>
      </w:r>
      <w:r w:rsidRPr="00AA6144">
        <w:rPr>
          <w:color w:val="auto"/>
          <w:lang w:val="en-CA"/>
        </w:rPr>
        <w:t xml:space="preserve"> </w:t>
      </w:r>
    </w:p>
    <w:p w14:paraId="6B3F0538" w14:textId="77777777" w:rsidR="009E3308" w:rsidRPr="00AA6144" w:rsidRDefault="009E3308" w:rsidP="009E3308">
      <w:pPr>
        <w:rPr>
          <w:color w:val="auto"/>
          <w:lang w:val="en-CA"/>
        </w:rPr>
      </w:pPr>
      <w:r w:rsidRPr="00AA6144">
        <w:rPr>
          <w:color w:val="auto"/>
          <w:lang w:val="en-CA"/>
        </w:rPr>
        <w:t>This double criminality requirement</w:t>
      </w:r>
      <w:r w:rsidR="00E8034A" w:rsidRPr="00AA6144">
        <w:rPr>
          <w:color w:val="auto"/>
          <w:lang w:val="en-CA"/>
        </w:rPr>
        <w:t xml:space="preserve"> in the </w:t>
      </w:r>
      <w:r w:rsidR="00E8034A" w:rsidRPr="00AA6144">
        <w:rPr>
          <w:i/>
          <w:color w:val="auto"/>
          <w:lang w:val="en-CA"/>
        </w:rPr>
        <w:t>Extradition Act</w:t>
      </w:r>
      <w:r w:rsidRPr="00AA6144">
        <w:rPr>
          <w:color w:val="auto"/>
          <w:lang w:val="en-CA"/>
        </w:rPr>
        <w:t xml:space="preserve"> does not indicate whether the conduct would have to be criminal at the time of the crime, at the time of the extradition request</w:t>
      </w:r>
      <w:r w:rsidR="002F697B" w:rsidRPr="00AA6144">
        <w:rPr>
          <w:color w:val="auto"/>
          <w:lang w:val="en-CA"/>
        </w:rPr>
        <w:t>,</w:t>
      </w:r>
      <w:r w:rsidRPr="00AA6144">
        <w:rPr>
          <w:color w:val="auto"/>
          <w:lang w:val="en-CA"/>
        </w:rPr>
        <w:t xml:space="preserve"> or </w:t>
      </w:r>
      <w:r w:rsidR="002F697B" w:rsidRPr="00AA6144">
        <w:rPr>
          <w:color w:val="auto"/>
          <w:lang w:val="en-CA"/>
        </w:rPr>
        <w:t xml:space="preserve">at </w:t>
      </w:r>
      <w:r w:rsidRPr="00AA6144">
        <w:rPr>
          <w:color w:val="auto"/>
          <w:lang w:val="en-CA"/>
        </w:rPr>
        <w:t xml:space="preserve">the time extradition is to take place.  However, the protections afforded to all persons under </w:t>
      </w:r>
      <w:r w:rsidR="000112FE" w:rsidRPr="00AA6144">
        <w:rPr>
          <w:color w:val="auto"/>
          <w:lang w:val="en-CA"/>
        </w:rPr>
        <w:t xml:space="preserve">section 7 </w:t>
      </w:r>
      <w:r w:rsidRPr="00AA6144">
        <w:rPr>
          <w:color w:val="auto"/>
          <w:lang w:val="en-CA"/>
        </w:rPr>
        <w:t xml:space="preserve">of the </w:t>
      </w:r>
      <w:r w:rsidRPr="00AA6144">
        <w:rPr>
          <w:i/>
          <w:color w:val="auto"/>
          <w:lang w:val="en-CA"/>
        </w:rPr>
        <w:t xml:space="preserve">Charter </w:t>
      </w:r>
      <w:r w:rsidRPr="00AA6144">
        <w:rPr>
          <w:color w:val="auto"/>
          <w:lang w:val="en-CA"/>
        </w:rPr>
        <w:t xml:space="preserve">suggest that the conduct would have to have been criminal at the time it was committed for such a charge to be valid under Canadian law, and by extension, for the purpose of the double criminality requirement (see discussion below in </w:t>
      </w:r>
      <w:r w:rsidR="00A4029B" w:rsidRPr="00AA6144">
        <w:rPr>
          <w:color w:val="auto"/>
          <w:lang w:val="en-CA"/>
        </w:rPr>
        <w:t xml:space="preserve">Section </w:t>
      </w:r>
      <w:r w:rsidRPr="00AA6144">
        <w:rPr>
          <w:color w:val="auto"/>
          <w:lang w:val="en-CA"/>
        </w:rPr>
        <w:t>7.1.1.7 Non-retroactivity).</w:t>
      </w:r>
    </w:p>
    <w:p w14:paraId="6BB8291B" w14:textId="77777777" w:rsidR="009E3308" w:rsidRPr="00AA6144" w:rsidRDefault="009E3308" w:rsidP="009E3308">
      <w:pPr>
        <w:pStyle w:val="Heading4"/>
        <w:rPr>
          <w:color w:val="auto"/>
          <w:lang w:val="en-CA"/>
        </w:rPr>
      </w:pPr>
      <w:bookmarkStart w:id="196" w:name="_Toc193798686"/>
      <w:bookmarkStart w:id="197" w:name="_Toc220954487"/>
      <w:bookmarkStart w:id="198" w:name="_Toc294914660"/>
      <w:bookmarkStart w:id="199" w:name="_Toc43382767"/>
      <w:r w:rsidRPr="00AA6144">
        <w:rPr>
          <w:color w:val="auto"/>
          <w:lang w:val="en-CA"/>
        </w:rPr>
        <w:t>7.1.1.4. Political offence</w:t>
      </w:r>
      <w:bookmarkEnd w:id="196"/>
      <w:bookmarkEnd w:id="197"/>
      <w:bookmarkEnd w:id="198"/>
      <w:bookmarkEnd w:id="199"/>
    </w:p>
    <w:p w14:paraId="130DE314" w14:textId="77777777" w:rsidR="009E3308" w:rsidRPr="00AA6144" w:rsidRDefault="009E3308" w:rsidP="009E3308">
      <w:pPr>
        <w:pStyle w:val="AIBodyText"/>
        <w:rPr>
          <w:color w:val="auto"/>
          <w:lang w:val="en-CA"/>
        </w:rPr>
      </w:pPr>
      <w:r w:rsidRPr="00AA6144">
        <w:rPr>
          <w:color w:val="auto"/>
          <w:lang w:val="en-CA"/>
        </w:rPr>
        <w:t>Canadian law provides that no one will be extradited for a political offence.</w:t>
      </w:r>
      <w:r w:rsidRPr="00AA6144">
        <w:rPr>
          <w:rStyle w:val="FootnoteReference"/>
          <w:color w:val="auto"/>
          <w:lang w:val="en-CA"/>
        </w:rPr>
        <w:footnoteReference w:id="540"/>
      </w:r>
      <w:r w:rsidRPr="00AA6144">
        <w:rPr>
          <w:color w:val="auto"/>
          <w:lang w:val="en-CA"/>
        </w:rPr>
        <w:t xml:space="preserve"> This does not however extend to</w:t>
      </w:r>
      <w:r w:rsidR="002F697B" w:rsidRPr="00AA6144">
        <w:rPr>
          <w:color w:val="auto"/>
          <w:lang w:val="en-CA"/>
        </w:rPr>
        <w:t xml:space="preserve"> obligations</w:t>
      </w:r>
      <w:r w:rsidR="00597646" w:rsidRPr="00AA6144">
        <w:rPr>
          <w:color w:val="auto"/>
          <w:lang w:val="en-CA"/>
        </w:rPr>
        <w:t xml:space="preserve"> to extradite for offences</w:t>
      </w:r>
      <w:r w:rsidR="002F697B" w:rsidRPr="00AA6144">
        <w:rPr>
          <w:color w:val="auto"/>
          <w:lang w:val="en-CA"/>
        </w:rPr>
        <w:t xml:space="preserve"> under multilateral extradition agreements</w:t>
      </w:r>
      <w:r w:rsidR="00597646" w:rsidRPr="00AA6144">
        <w:rPr>
          <w:color w:val="auto"/>
          <w:lang w:val="en-CA"/>
        </w:rPr>
        <w:t xml:space="preserve"> or </w:t>
      </w:r>
      <w:r w:rsidRPr="00AA6144">
        <w:rPr>
          <w:color w:val="auto"/>
          <w:lang w:val="en-CA"/>
        </w:rPr>
        <w:t>other acts such murder, inflicting serious bodily harm or sexual assault.</w:t>
      </w:r>
      <w:r w:rsidRPr="00AA6144">
        <w:rPr>
          <w:rStyle w:val="FootnoteReference"/>
          <w:color w:val="auto"/>
          <w:lang w:val="en-CA"/>
        </w:rPr>
        <w:footnoteReference w:id="541"/>
      </w:r>
    </w:p>
    <w:p w14:paraId="16CD29E5" w14:textId="77777777" w:rsidR="009E3308" w:rsidRPr="00AA6144" w:rsidRDefault="009E3308" w:rsidP="009E3308">
      <w:pPr>
        <w:pStyle w:val="AIBodyText"/>
        <w:rPr>
          <w:color w:val="auto"/>
          <w:lang w:val="en-CA"/>
        </w:rPr>
      </w:pPr>
      <w:r w:rsidRPr="00AA6144">
        <w:rPr>
          <w:color w:val="auto"/>
          <w:lang w:val="en-CA"/>
        </w:rPr>
        <w:t xml:space="preserve">Including a political offence exception to extradition is not in and of itself a problem.  The problem arises when states fail to define the term in a manner which expressly excludes crimes under international law since there is no internationally agreed definition of </w:t>
      </w:r>
      <w:bookmarkStart w:id="200" w:name="_Toc193798687"/>
      <w:r w:rsidR="00B23664" w:rsidRPr="00AA6144">
        <w:rPr>
          <w:color w:val="auto"/>
          <w:lang w:val="en-CA"/>
        </w:rPr>
        <w:t>“political offences.”</w:t>
      </w:r>
      <w:r w:rsidRPr="00AA6144">
        <w:rPr>
          <w:rStyle w:val="FootnoteReference"/>
          <w:color w:val="auto"/>
          <w:lang w:val="en-CA"/>
        </w:rPr>
        <w:footnoteReference w:id="542"/>
      </w:r>
      <w:r w:rsidRPr="00AA6144">
        <w:rPr>
          <w:color w:val="auto"/>
          <w:lang w:val="en-CA"/>
        </w:rPr>
        <w:t xml:space="preserve"> Some guidance is provided by treaties such as the Genocide Convention, which expressly states that genocide is not a political crime for the purposes of extradition</w:t>
      </w:r>
      <w:r w:rsidR="00C64CAA" w:rsidRPr="00AA6144">
        <w:rPr>
          <w:color w:val="auto"/>
          <w:lang w:val="en-CA"/>
        </w:rPr>
        <w:t xml:space="preserve">. </w:t>
      </w:r>
      <w:r w:rsidR="00B23664" w:rsidRPr="00AA6144">
        <w:rPr>
          <w:color w:val="auto"/>
          <w:lang w:val="en-CA"/>
        </w:rPr>
        <w:t>O</w:t>
      </w:r>
      <w:r w:rsidR="00C64CAA" w:rsidRPr="00AA6144">
        <w:rPr>
          <w:color w:val="auto"/>
          <w:lang w:val="en-CA"/>
        </w:rPr>
        <w:t>ther treaties implicitly exclude this possibility by imposing a</w:t>
      </w:r>
      <w:r w:rsidR="00B23664" w:rsidRPr="00AA6144">
        <w:rPr>
          <w:color w:val="auto"/>
          <w:lang w:val="en-CA"/>
        </w:rPr>
        <w:t xml:space="preserve">n ‘extradite or prosecute’ </w:t>
      </w:r>
      <w:r w:rsidR="00C64CAA" w:rsidRPr="00AA6144">
        <w:rPr>
          <w:color w:val="auto"/>
          <w:lang w:val="en-CA"/>
        </w:rPr>
        <w:t>obligation with respect to the crime of genocide.</w:t>
      </w:r>
      <w:r w:rsidR="00C64CAA" w:rsidRPr="00AA6144">
        <w:rPr>
          <w:rStyle w:val="FootnoteReference"/>
          <w:color w:val="auto"/>
          <w:lang w:val="en-CA"/>
        </w:rPr>
        <w:footnoteReference w:id="543"/>
      </w:r>
      <w:r w:rsidRPr="00AA6144">
        <w:rPr>
          <w:color w:val="auto"/>
          <w:lang w:val="en-CA"/>
        </w:rPr>
        <w:t xml:space="preserve"> </w:t>
      </w:r>
      <w:r w:rsidR="00C64CAA" w:rsidRPr="00AA6144">
        <w:rPr>
          <w:color w:val="auto"/>
          <w:lang w:val="en-CA"/>
        </w:rPr>
        <w:t xml:space="preserve"> T</w:t>
      </w:r>
      <w:r w:rsidRPr="00AA6144">
        <w:rPr>
          <w:color w:val="auto"/>
          <w:lang w:val="en-CA"/>
        </w:rPr>
        <w:t xml:space="preserve">he 1997 International Convention for the Suppression of Terrorist Bombings and the 1999 International Convention for the Suppression of the Financing of Terrorism both exclude the crimes listed in those treaties from the definition of political offence. </w:t>
      </w:r>
    </w:p>
    <w:p w14:paraId="57CCEF6F" w14:textId="77777777" w:rsidR="009E3308" w:rsidRPr="00AA6144" w:rsidRDefault="009E3308" w:rsidP="009E3308">
      <w:pPr>
        <w:pStyle w:val="Heading4"/>
        <w:rPr>
          <w:color w:val="auto"/>
          <w:lang w:val="en-CA"/>
        </w:rPr>
      </w:pPr>
      <w:bookmarkStart w:id="201" w:name="_Toc220954488"/>
      <w:bookmarkStart w:id="202" w:name="_Toc294914661"/>
      <w:bookmarkStart w:id="203" w:name="_Toc43382768"/>
      <w:r w:rsidRPr="00AA6144">
        <w:rPr>
          <w:color w:val="auto"/>
          <w:lang w:val="en-CA"/>
        </w:rPr>
        <w:t>7.1.1.5. Military offence</w:t>
      </w:r>
      <w:bookmarkEnd w:id="200"/>
      <w:bookmarkEnd w:id="201"/>
      <w:bookmarkEnd w:id="202"/>
      <w:bookmarkEnd w:id="203"/>
    </w:p>
    <w:p w14:paraId="6C0A6CD5" w14:textId="77777777" w:rsidR="009E3308" w:rsidRPr="00AA6144" w:rsidRDefault="009E3308" w:rsidP="009E3308">
      <w:pPr>
        <w:rPr>
          <w:color w:val="auto"/>
          <w:lang w:val="en-CA"/>
        </w:rPr>
      </w:pPr>
      <w:r w:rsidRPr="00AA6144">
        <w:rPr>
          <w:color w:val="auto"/>
          <w:lang w:val="en-CA"/>
        </w:rPr>
        <w:t>Canadian law has a provision expressly barring extradition for purely military offences, such as conduct unbecoming an officer or mutiny.</w:t>
      </w:r>
      <w:r w:rsidRPr="00AA6144">
        <w:rPr>
          <w:rStyle w:val="FootnoteReference"/>
          <w:color w:val="auto"/>
          <w:lang w:val="en-CA"/>
        </w:rPr>
        <w:footnoteReference w:id="544"/>
      </w:r>
      <w:r w:rsidRPr="00AA6144">
        <w:rPr>
          <w:color w:val="auto"/>
          <w:lang w:val="en-CA"/>
        </w:rPr>
        <w:t xml:space="preserve"> However, this provision does not encompass conduct that constitutes an “offence under criminal law” and </w:t>
      </w:r>
      <w:r w:rsidR="00B23664" w:rsidRPr="00AA6144">
        <w:rPr>
          <w:color w:val="auto"/>
          <w:lang w:val="en-CA"/>
        </w:rPr>
        <w:t xml:space="preserve">therefore </w:t>
      </w:r>
      <w:r w:rsidRPr="00AA6144">
        <w:rPr>
          <w:color w:val="auto"/>
          <w:lang w:val="en-CA"/>
        </w:rPr>
        <w:t>does not extend to crimes under international law incorporated in a military criminal code.</w:t>
      </w:r>
    </w:p>
    <w:p w14:paraId="66FE1CB7" w14:textId="77777777" w:rsidR="009E3308" w:rsidRPr="00AA6144" w:rsidRDefault="009E3308" w:rsidP="009E3308">
      <w:pPr>
        <w:pStyle w:val="Heading4"/>
        <w:rPr>
          <w:color w:val="auto"/>
          <w:lang w:val="en-CA"/>
        </w:rPr>
      </w:pPr>
      <w:bookmarkStart w:id="204" w:name="_Toc193798688"/>
      <w:bookmarkStart w:id="205" w:name="_Toc220954489"/>
      <w:bookmarkStart w:id="206" w:name="_Toc294914662"/>
      <w:bookmarkStart w:id="207" w:name="_Toc43382769"/>
      <w:r w:rsidRPr="00AA6144">
        <w:rPr>
          <w:color w:val="auto"/>
          <w:lang w:val="en-CA"/>
        </w:rPr>
        <w:t xml:space="preserve">7.1.1.6. </w:t>
      </w:r>
      <w:r w:rsidRPr="00AA6144">
        <w:rPr>
          <w:i/>
          <w:color w:val="auto"/>
          <w:lang w:val="en-CA"/>
        </w:rPr>
        <w:t>Ne bis in idem</w:t>
      </w:r>
      <w:bookmarkEnd w:id="204"/>
      <w:bookmarkEnd w:id="205"/>
      <w:bookmarkEnd w:id="206"/>
      <w:bookmarkEnd w:id="207"/>
    </w:p>
    <w:p w14:paraId="3DA083B4" w14:textId="77777777" w:rsidR="009E3308" w:rsidRPr="00AA6144" w:rsidRDefault="009E3308" w:rsidP="009E3308">
      <w:pPr>
        <w:pStyle w:val="AIBodyText"/>
        <w:rPr>
          <w:color w:val="auto"/>
          <w:lang w:val="en-CA"/>
        </w:rPr>
      </w:pPr>
      <w:r w:rsidRPr="00AA6144">
        <w:rPr>
          <w:color w:val="auto"/>
          <w:lang w:val="en-CA"/>
        </w:rPr>
        <w:t>Canadian law provides that Canada may not extradite a suspect for trial if the person has been previously acquitted or convicted</w:t>
      </w:r>
      <w:r w:rsidR="009052C1" w:rsidRPr="00AA6144">
        <w:rPr>
          <w:color w:val="auto"/>
          <w:lang w:val="en-CA"/>
        </w:rPr>
        <w:t xml:space="preserve"> of the conduct for which extradition is sought</w:t>
      </w:r>
      <w:r w:rsidRPr="00AA6144">
        <w:rPr>
          <w:color w:val="auto"/>
          <w:lang w:val="en-CA"/>
        </w:rPr>
        <w:t>.</w:t>
      </w:r>
      <w:r w:rsidRPr="00AA6144">
        <w:rPr>
          <w:rStyle w:val="FootnoteReference"/>
          <w:color w:val="auto"/>
          <w:lang w:val="en-CA"/>
        </w:rPr>
        <w:footnoteReference w:id="545"/>
      </w:r>
      <w:r w:rsidR="002258E7" w:rsidRPr="00AA6144">
        <w:rPr>
          <w:color w:val="auto"/>
          <w:lang w:val="en-CA"/>
        </w:rPr>
        <w:t xml:space="preserve"> The principle of </w:t>
      </w:r>
      <w:proofErr w:type="spellStart"/>
      <w:r w:rsidR="002258E7" w:rsidRPr="00AA6144">
        <w:rPr>
          <w:i/>
          <w:color w:val="auto"/>
          <w:lang w:val="en-CA"/>
        </w:rPr>
        <w:t>nis</w:t>
      </w:r>
      <w:proofErr w:type="spellEnd"/>
      <w:r w:rsidR="002258E7" w:rsidRPr="00AA6144">
        <w:rPr>
          <w:i/>
          <w:color w:val="auto"/>
          <w:lang w:val="en-CA"/>
        </w:rPr>
        <w:t xml:space="preserve"> bis in idem </w:t>
      </w:r>
      <w:r w:rsidR="002258E7" w:rsidRPr="00AA6144">
        <w:rPr>
          <w:color w:val="auto"/>
          <w:lang w:val="en-CA"/>
        </w:rPr>
        <w:t xml:space="preserve">in the extradition context engages a persons right to life, liberty, and security of the person guaranteed in section 7 of the </w:t>
      </w:r>
      <w:r w:rsidR="002258E7" w:rsidRPr="00AA6144">
        <w:rPr>
          <w:i/>
          <w:color w:val="auto"/>
          <w:lang w:val="en-CA"/>
        </w:rPr>
        <w:t>Canadian Charter of Rights and Freedoms</w:t>
      </w:r>
      <w:r w:rsidR="002258E7" w:rsidRPr="00AA6144">
        <w:rPr>
          <w:color w:val="auto"/>
          <w:lang w:val="en-CA"/>
        </w:rPr>
        <w:t>.</w:t>
      </w:r>
    </w:p>
    <w:p w14:paraId="51E96775" w14:textId="77777777" w:rsidR="00296B1B" w:rsidRPr="00AA6144" w:rsidRDefault="00296B1B" w:rsidP="009E3308">
      <w:pPr>
        <w:pStyle w:val="AIBodyText"/>
        <w:rPr>
          <w:color w:val="auto"/>
          <w:lang w:val="en-CA"/>
        </w:rPr>
      </w:pPr>
      <w:r w:rsidRPr="00AA6144">
        <w:rPr>
          <w:color w:val="auto"/>
          <w:lang w:val="en-CA"/>
        </w:rPr>
        <w:t xml:space="preserve">Recently, the Quebec Court of Appeal in </w:t>
      </w:r>
      <w:proofErr w:type="spellStart"/>
      <w:r w:rsidRPr="00AA6144">
        <w:rPr>
          <w:i/>
          <w:color w:val="auto"/>
          <w:lang w:val="en-CA"/>
        </w:rPr>
        <w:t>Bouarfa</w:t>
      </w:r>
      <w:proofErr w:type="spellEnd"/>
      <w:r w:rsidRPr="00AA6144">
        <w:rPr>
          <w:i/>
          <w:color w:val="auto"/>
          <w:lang w:val="en-CA"/>
        </w:rPr>
        <w:t xml:space="preserve"> </w:t>
      </w:r>
      <w:r w:rsidR="000F0C79" w:rsidRPr="00AA6144">
        <w:rPr>
          <w:i/>
          <w:color w:val="auto"/>
          <w:lang w:val="en-CA"/>
        </w:rPr>
        <w:t>v</w:t>
      </w:r>
      <w:r w:rsidRPr="00AA6144">
        <w:rPr>
          <w:i/>
          <w:color w:val="auto"/>
          <w:lang w:val="en-CA"/>
        </w:rPr>
        <w:t xml:space="preserve"> Canada (</w:t>
      </w:r>
      <w:r w:rsidR="000F0C79" w:rsidRPr="00AA6144">
        <w:rPr>
          <w:i/>
          <w:color w:val="auto"/>
          <w:lang w:val="en-CA"/>
        </w:rPr>
        <w:t>Minister of</w:t>
      </w:r>
      <w:r w:rsidRPr="00AA6144">
        <w:rPr>
          <w:i/>
          <w:color w:val="auto"/>
          <w:lang w:val="en-CA"/>
        </w:rPr>
        <w:t xml:space="preserve"> Justice</w:t>
      </w:r>
      <w:r w:rsidRPr="00AA6144">
        <w:rPr>
          <w:color w:val="auto"/>
          <w:lang w:val="en-CA"/>
        </w:rPr>
        <w:t xml:space="preserve">), considered </w:t>
      </w:r>
      <w:r w:rsidR="00D40FA1" w:rsidRPr="00AA6144">
        <w:rPr>
          <w:color w:val="auto"/>
          <w:lang w:val="en-CA"/>
        </w:rPr>
        <w:t xml:space="preserve">the principle of </w:t>
      </w:r>
      <w:r w:rsidR="00D40FA1" w:rsidRPr="00AA6144">
        <w:rPr>
          <w:i/>
          <w:color w:val="auto"/>
          <w:lang w:val="en-CA"/>
        </w:rPr>
        <w:t>ne bis in idem</w:t>
      </w:r>
      <w:r w:rsidR="00D40FA1" w:rsidRPr="00AA6144">
        <w:rPr>
          <w:color w:val="auto"/>
          <w:lang w:val="en-CA"/>
        </w:rPr>
        <w:t xml:space="preserve"> in the context of extradition. </w:t>
      </w:r>
      <w:r w:rsidR="009C44D3" w:rsidRPr="00AA6144">
        <w:rPr>
          <w:color w:val="auto"/>
          <w:lang w:val="en-CA"/>
        </w:rPr>
        <w:t xml:space="preserve">France sought </w:t>
      </w:r>
      <w:r w:rsidR="00CF79E1" w:rsidRPr="00AA6144">
        <w:rPr>
          <w:color w:val="auto"/>
          <w:lang w:val="en-CA"/>
        </w:rPr>
        <w:t xml:space="preserve">extradition </w:t>
      </w:r>
      <w:r w:rsidR="008E534D" w:rsidRPr="00AA6144">
        <w:rPr>
          <w:color w:val="auto"/>
          <w:lang w:val="en-CA"/>
        </w:rPr>
        <w:t xml:space="preserve">of a person </w:t>
      </w:r>
      <w:r w:rsidR="009052C1" w:rsidRPr="00AA6144">
        <w:rPr>
          <w:color w:val="auto"/>
          <w:lang w:val="en-CA"/>
        </w:rPr>
        <w:t xml:space="preserve">in Canada </w:t>
      </w:r>
      <w:r w:rsidR="008E534D" w:rsidRPr="00AA6144">
        <w:rPr>
          <w:color w:val="auto"/>
          <w:lang w:val="en-CA"/>
        </w:rPr>
        <w:t xml:space="preserve">who had already faced criminal prosecution in </w:t>
      </w:r>
      <w:r w:rsidR="00B26F47" w:rsidRPr="00AA6144">
        <w:rPr>
          <w:color w:val="auto"/>
          <w:lang w:val="en-CA"/>
        </w:rPr>
        <w:t>France</w:t>
      </w:r>
      <w:r w:rsidR="008E534D" w:rsidRPr="00AA6144">
        <w:rPr>
          <w:color w:val="auto"/>
          <w:lang w:val="en-CA"/>
        </w:rPr>
        <w:t xml:space="preserve">, albeit </w:t>
      </w:r>
      <w:r w:rsidR="008E534D" w:rsidRPr="00AA6144">
        <w:rPr>
          <w:i/>
          <w:color w:val="auto"/>
          <w:lang w:val="en-CA"/>
        </w:rPr>
        <w:t>in absentia</w:t>
      </w:r>
      <w:r w:rsidR="00397BB1" w:rsidRPr="00AA6144">
        <w:rPr>
          <w:color w:val="auto"/>
          <w:lang w:val="en-CA"/>
        </w:rPr>
        <w:t>,</w:t>
      </w:r>
      <w:r w:rsidR="005B533C" w:rsidRPr="00AA6144">
        <w:rPr>
          <w:color w:val="auto"/>
          <w:lang w:val="en-CA"/>
        </w:rPr>
        <w:t xml:space="preserve"> as well as having been acquitted in Algeria for the same offences</w:t>
      </w:r>
      <w:r w:rsidR="008E534D" w:rsidRPr="00AA6144">
        <w:rPr>
          <w:color w:val="auto"/>
          <w:lang w:val="en-CA"/>
        </w:rPr>
        <w:t>.</w:t>
      </w:r>
      <w:r w:rsidR="00DD42A7" w:rsidRPr="00AA6144">
        <w:rPr>
          <w:rStyle w:val="FootnoteReference"/>
          <w:color w:val="auto"/>
          <w:lang w:val="en-CA"/>
        </w:rPr>
        <w:footnoteReference w:id="546"/>
      </w:r>
      <w:r w:rsidR="008E534D" w:rsidRPr="00AA6144">
        <w:rPr>
          <w:color w:val="auto"/>
          <w:lang w:val="en-CA"/>
        </w:rPr>
        <w:t xml:space="preserve"> </w:t>
      </w:r>
      <w:r w:rsidR="006E2A76" w:rsidRPr="00AA6144">
        <w:rPr>
          <w:color w:val="auto"/>
          <w:lang w:val="en-CA"/>
        </w:rPr>
        <w:t xml:space="preserve">The </w:t>
      </w:r>
      <w:r w:rsidR="00E64B68" w:rsidRPr="00AA6144">
        <w:rPr>
          <w:color w:val="auto"/>
          <w:lang w:val="en-CA"/>
        </w:rPr>
        <w:t>person was arrested</w:t>
      </w:r>
      <w:r w:rsidR="005B533C" w:rsidRPr="00AA6144">
        <w:rPr>
          <w:color w:val="auto"/>
          <w:lang w:val="en-CA"/>
        </w:rPr>
        <w:t xml:space="preserve"> upon arriving in Canada, </w:t>
      </w:r>
      <w:r w:rsidR="00397BB1" w:rsidRPr="00AA6144">
        <w:rPr>
          <w:color w:val="auto"/>
          <w:lang w:val="en-CA"/>
        </w:rPr>
        <w:t xml:space="preserve">and the Minister of Justice sought an order for his committal. The </w:t>
      </w:r>
      <w:r w:rsidR="009052C1" w:rsidRPr="00AA6144">
        <w:rPr>
          <w:color w:val="auto"/>
          <w:lang w:val="en-CA"/>
        </w:rPr>
        <w:t xml:space="preserve">Quebec </w:t>
      </w:r>
      <w:r w:rsidR="00397BB1" w:rsidRPr="00AA6144">
        <w:rPr>
          <w:color w:val="auto"/>
          <w:lang w:val="en-CA"/>
        </w:rPr>
        <w:t>Court</w:t>
      </w:r>
      <w:r w:rsidR="009052C1" w:rsidRPr="00AA6144">
        <w:rPr>
          <w:color w:val="auto"/>
          <w:lang w:val="en-CA"/>
        </w:rPr>
        <w:t xml:space="preserve"> of Appeal</w:t>
      </w:r>
      <w:r w:rsidR="00C03136" w:rsidRPr="00AA6144">
        <w:rPr>
          <w:color w:val="auto"/>
          <w:lang w:val="en-CA"/>
        </w:rPr>
        <w:t xml:space="preserve"> determined that the Minister should have considered </w:t>
      </w:r>
      <w:r w:rsidR="00E84DC4" w:rsidRPr="00AA6144">
        <w:rPr>
          <w:color w:val="auto"/>
          <w:lang w:val="en-CA"/>
        </w:rPr>
        <w:t xml:space="preserve">the plea of </w:t>
      </w:r>
      <w:r w:rsidR="00E84DC4" w:rsidRPr="00AA6144">
        <w:rPr>
          <w:i/>
          <w:color w:val="auto"/>
          <w:lang w:val="en-CA"/>
        </w:rPr>
        <w:t>autrefois acquit</w:t>
      </w:r>
      <w:r w:rsidR="0047752B" w:rsidRPr="00AA6144">
        <w:rPr>
          <w:color w:val="auto"/>
          <w:lang w:val="en-CA"/>
        </w:rPr>
        <w:t xml:space="preserve"> and the fact that the person sought could face </w:t>
      </w:r>
      <w:r w:rsidR="00E04BEA" w:rsidRPr="00AA6144">
        <w:rPr>
          <w:color w:val="auto"/>
          <w:lang w:val="en-CA"/>
        </w:rPr>
        <w:t>another prosecution for the same offences</w:t>
      </w:r>
      <w:r w:rsidR="009052C1" w:rsidRPr="00AA6144">
        <w:rPr>
          <w:color w:val="auto"/>
          <w:lang w:val="en-CA"/>
        </w:rPr>
        <w:t xml:space="preserve">, and </w:t>
      </w:r>
      <w:r w:rsidR="00E04BEA" w:rsidRPr="00AA6144">
        <w:rPr>
          <w:color w:val="auto"/>
          <w:lang w:val="en-CA"/>
        </w:rPr>
        <w:t xml:space="preserve">concluded </w:t>
      </w:r>
      <w:r w:rsidR="00615C72" w:rsidRPr="00AA6144">
        <w:rPr>
          <w:color w:val="auto"/>
          <w:lang w:val="en-CA"/>
        </w:rPr>
        <w:t xml:space="preserve">that without “additional assurances from the French authorities […] the applicant’s extradition to France could constitute unlawful interference with his right to liberty and security guaranteed under section 7 of the </w:t>
      </w:r>
      <w:r w:rsidR="00615C72" w:rsidRPr="00AA6144">
        <w:rPr>
          <w:i/>
          <w:color w:val="auto"/>
          <w:lang w:val="en-CA"/>
        </w:rPr>
        <w:t>Charter</w:t>
      </w:r>
      <w:r w:rsidR="00615C72" w:rsidRPr="00AA6144">
        <w:rPr>
          <w:color w:val="auto"/>
          <w:lang w:val="en-CA"/>
        </w:rPr>
        <w:t>.”</w:t>
      </w:r>
      <w:r w:rsidR="00F92295" w:rsidRPr="00AA6144">
        <w:rPr>
          <w:rStyle w:val="FootnoteReference"/>
          <w:color w:val="auto"/>
          <w:lang w:val="en-CA"/>
        </w:rPr>
        <w:footnoteReference w:id="547"/>
      </w:r>
    </w:p>
    <w:p w14:paraId="0232CFE5" w14:textId="77777777" w:rsidR="009E3308" w:rsidRPr="00AA6144" w:rsidRDefault="009E3308" w:rsidP="009E3308">
      <w:pPr>
        <w:pStyle w:val="Heading4"/>
        <w:rPr>
          <w:color w:val="auto"/>
          <w:lang w:val="en-CA"/>
        </w:rPr>
      </w:pPr>
      <w:bookmarkStart w:id="208" w:name="_Toc193798689"/>
      <w:bookmarkStart w:id="209" w:name="_Toc220954490"/>
      <w:bookmarkStart w:id="210" w:name="_Toc294914663"/>
      <w:bookmarkStart w:id="211" w:name="_Toc43382770"/>
      <w:r w:rsidRPr="00AA6144">
        <w:rPr>
          <w:color w:val="auto"/>
          <w:lang w:val="en-CA"/>
        </w:rPr>
        <w:t>7.1.1.7. Non-retroactivity</w:t>
      </w:r>
      <w:bookmarkEnd w:id="208"/>
      <w:bookmarkEnd w:id="209"/>
      <w:bookmarkEnd w:id="210"/>
      <w:bookmarkEnd w:id="211"/>
    </w:p>
    <w:p w14:paraId="725E363E" w14:textId="77777777" w:rsidR="00C80200" w:rsidRPr="00AA6144" w:rsidRDefault="00F92295" w:rsidP="00A64B36">
      <w:pPr>
        <w:pStyle w:val="AIBodyText"/>
        <w:rPr>
          <w:color w:val="auto"/>
          <w:lang w:val="en-CA"/>
        </w:rPr>
      </w:pPr>
      <w:r w:rsidRPr="00AA6144">
        <w:rPr>
          <w:color w:val="auto"/>
          <w:lang w:val="en-CA"/>
        </w:rPr>
        <w:t>There</w:t>
      </w:r>
      <w:r w:rsidR="009E3308" w:rsidRPr="00AA6144">
        <w:rPr>
          <w:color w:val="auto"/>
          <w:lang w:val="en-CA"/>
        </w:rPr>
        <w:t xml:space="preserve"> is no provision in Canadian law expressly prohibiting extradition on the basis that the conduct was not a crime under the law of the requesting state or Canada at the time it occurred</w:t>
      </w:r>
      <w:r w:rsidR="004179E1" w:rsidRPr="00AA6144">
        <w:rPr>
          <w:color w:val="auto"/>
          <w:lang w:val="en-CA"/>
        </w:rPr>
        <w:t>.</w:t>
      </w:r>
      <w:r w:rsidR="00ED7621" w:rsidRPr="00AA6144">
        <w:rPr>
          <w:color w:val="auto"/>
          <w:lang w:val="en-CA"/>
        </w:rPr>
        <w:t xml:space="preserve"> </w:t>
      </w:r>
      <w:r w:rsidR="009E3308" w:rsidRPr="00AA6144">
        <w:rPr>
          <w:color w:val="auto"/>
          <w:lang w:val="en-CA"/>
        </w:rPr>
        <w:t xml:space="preserve">Thus, whether certain criminal conduct would be recognized as a crime under international law or the general principles of law “recognized by the community of nations” at the time it was committed could be an issue for determination when extradition is sought for crimes that do not fall within the jurisdiction of an already-existing international criminal tribunal such as the ICC, the ICTR or the ICTY (see also the above discussion in </w:t>
      </w:r>
      <w:r w:rsidR="000F0C79" w:rsidRPr="00AA6144">
        <w:rPr>
          <w:color w:val="auto"/>
          <w:lang w:val="en-CA"/>
        </w:rPr>
        <w:t>S</w:t>
      </w:r>
      <w:r w:rsidR="009E3308" w:rsidRPr="00AA6144">
        <w:rPr>
          <w:color w:val="auto"/>
          <w:lang w:val="en-CA"/>
        </w:rPr>
        <w:t>ection 7.1.1.3. Double criminality and territorial jurisdiction).</w:t>
      </w:r>
      <w:r w:rsidR="004179E1" w:rsidRPr="00AA6144">
        <w:rPr>
          <w:color w:val="auto"/>
          <w:lang w:val="en-CA"/>
        </w:rPr>
        <w:t xml:space="preserve"> </w:t>
      </w:r>
    </w:p>
    <w:p w14:paraId="2353CF41" w14:textId="77777777" w:rsidR="009E3308" w:rsidRPr="00AA6144" w:rsidRDefault="009E3308" w:rsidP="00092DFC">
      <w:pPr>
        <w:pStyle w:val="Heading4"/>
        <w:rPr>
          <w:lang w:val="en-CA"/>
        </w:rPr>
      </w:pPr>
      <w:bookmarkStart w:id="212" w:name="_Toc193798690"/>
      <w:bookmarkStart w:id="213" w:name="_Toc220954491"/>
      <w:bookmarkStart w:id="214" w:name="_Toc294914664"/>
      <w:bookmarkStart w:id="215" w:name="_Toc43382771"/>
      <w:r w:rsidRPr="00AA6144">
        <w:rPr>
          <w:lang w:val="en-CA"/>
        </w:rPr>
        <w:t>7.1.1.8. Statutes of limitation</w:t>
      </w:r>
      <w:bookmarkEnd w:id="212"/>
      <w:bookmarkEnd w:id="213"/>
      <w:bookmarkEnd w:id="214"/>
      <w:bookmarkEnd w:id="215"/>
    </w:p>
    <w:p w14:paraId="6142BC37" w14:textId="77777777" w:rsidR="009E3308" w:rsidRPr="00AA6144" w:rsidRDefault="009E3308" w:rsidP="009E3308">
      <w:pPr>
        <w:pStyle w:val="AIBodyText"/>
        <w:rPr>
          <w:color w:val="auto"/>
          <w:lang w:val="en-CA"/>
        </w:rPr>
      </w:pPr>
      <w:r w:rsidRPr="00AA6144">
        <w:rPr>
          <w:color w:val="auto"/>
          <w:lang w:val="en-CA"/>
        </w:rPr>
        <w:t xml:space="preserve">There is a provision in </w:t>
      </w:r>
      <w:r w:rsidR="00363696" w:rsidRPr="00AA6144">
        <w:rPr>
          <w:i/>
          <w:color w:val="auto"/>
          <w:lang w:val="en-CA"/>
        </w:rPr>
        <w:t>Extradition Act</w:t>
      </w:r>
      <w:r w:rsidRPr="00AA6144">
        <w:rPr>
          <w:color w:val="auto"/>
          <w:lang w:val="en-CA"/>
        </w:rPr>
        <w:t xml:space="preserve"> expressly prohibiting extradition on the basis that the prosecution would be barred in the requesting state on the basis of a statute of limitation.</w:t>
      </w:r>
      <w:r w:rsidRPr="00AA6144">
        <w:rPr>
          <w:rStyle w:val="FootnoteReference"/>
          <w:color w:val="auto"/>
          <w:lang w:val="en-CA"/>
        </w:rPr>
        <w:footnoteReference w:id="548"/>
      </w:r>
      <w:r w:rsidRPr="00AA6144">
        <w:rPr>
          <w:color w:val="auto"/>
          <w:lang w:val="en-CA"/>
        </w:rPr>
        <w:t xml:space="preserve"> See discussion above in Section 6.3 regarding the prohibition of statutes of limitations for crimes under international law.</w:t>
      </w:r>
    </w:p>
    <w:p w14:paraId="583B6E62" w14:textId="77777777" w:rsidR="009E3308" w:rsidRPr="00AA6144" w:rsidRDefault="009E3308" w:rsidP="009E3308">
      <w:pPr>
        <w:pStyle w:val="Heading4"/>
        <w:rPr>
          <w:color w:val="auto"/>
          <w:lang w:val="en-CA"/>
        </w:rPr>
      </w:pPr>
      <w:bookmarkStart w:id="216" w:name="_Toc193798691"/>
      <w:bookmarkStart w:id="217" w:name="_Toc220954492"/>
      <w:bookmarkStart w:id="218" w:name="_Toc294914665"/>
      <w:bookmarkStart w:id="219" w:name="_Toc43382772"/>
      <w:r w:rsidRPr="00AA6144">
        <w:rPr>
          <w:color w:val="auto"/>
          <w:lang w:val="en-CA"/>
        </w:rPr>
        <w:t xml:space="preserve">7.1.1.9. Amnesties, </w:t>
      </w:r>
      <w:proofErr w:type="gramStart"/>
      <w:r w:rsidRPr="00AA6144">
        <w:rPr>
          <w:color w:val="auto"/>
          <w:lang w:val="en-CA"/>
        </w:rPr>
        <w:t>pardons</w:t>
      </w:r>
      <w:proofErr w:type="gramEnd"/>
      <w:r w:rsidRPr="00AA6144">
        <w:rPr>
          <w:color w:val="auto"/>
          <w:lang w:val="en-CA"/>
        </w:rPr>
        <w:t xml:space="preserve"> and similar measures of impunity</w:t>
      </w:r>
      <w:bookmarkEnd w:id="216"/>
      <w:bookmarkEnd w:id="217"/>
      <w:bookmarkEnd w:id="218"/>
      <w:bookmarkEnd w:id="219"/>
    </w:p>
    <w:p w14:paraId="7B068EB9" w14:textId="77777777" w:rsidR="009E3308" w:rsidRPr="00AA6144" w:rsidRDefault="009E3308" w:rsidP="009E3308">
      <w:pPr>
        <w:pStyle w:val="AIBodyText"/>
        <w:rPr>
          <w:color w:val="auto"/>
          <w:lang w:val="en-CA"/>
        </w:rPr>
      </w:pPr>
      <w:r w:rsidRPr="00AA6144">
        <w:rPr>
          <w:color w:val="auto"/>
          <w:lang w:val="en-CA"/>
        </w:rPr>
        <w:t>There</w:t>
      </w:r>
      <w:r w:rsidR="00421ACA" w:rsidRPr="00AA6144">
        <w:rPr>
          <w:color w:val="auto"/>
          <w:lang w:val="en-CA"/>
        </w:rPr>
        <w:t xml:space="preserve"> are</w:t>
      </w:r>
      <w:r w:rsidRPr="00AA6144">
        <w:rPr>
          <w:color w:val="auto"/>
          <w:lang w:val="en-CA"/>
        </w:rPr>
        <w:t xml:space="preserve"> no explicit provision</w:t>
      </w:r>
      <w:r w:rsidR="000C275D" w:rsidRPr="00AA6144">
        <w:rPr>
          <w:color w:val="auto"/>
          <w:lang w:val="en-CA"/>
        </w:rPr>
        <w:t>s</w:t>
      </w:r>
      <w:r w:rsidRPr="00AA6144">
        <w:rPr>
          <w:color w:val="auto"/>
          <w:lang w:val="en-CA"/>
        </w:rPr>
        <w:t xml:space="preserve"> in Canadian law prohibiting extradition on the basis that the prosecution would be barred in either the requesting state or in Canada on the basis of an amnesty, pardon or other measure of impunity (see discussion above in Section 6.10 regarding the prohibition of amnesties and similar measures of impunity).</w:t>
      </w:r>
    </w:p>
    <w:p w14:paraId="459E4957" w14:textId="77777777" w:rsidR="009E3308" w:rsidRPr="00AA6144" w:rsidRDefault="009E3308" w:rsidP="009E3308">
      <w:pPr>
        <w:pStyle w:val="Heading4"/>
        <w:rPr>
          <w:color w:val="auto"/>
          <w:lang w:val="en-CA"/>
        </w:rPr>
      </w:pPr>
      <w:bookmarkStart w:id="220" w:name="_Toc294914666"/>
      <w:bookmarkStart w:id="221" w:name="_Toc43382773"/>
      <w:r w:rsidRPr="00AA6144">
        <w:rPr>
          <w:color w:val="auto"/>
          <w:lang w:val="en-CA"/>
        </w:rPr>
        <w:t>7.1.1.10. Other obstacles</w:t>
      </w:r>
      <w:bookmarkEnd w:id="220"/>
      <w:bookmarkEnd w:id="221"/>
    </w:p>
    <w:p w14:paraId="64706B71" w14:textId="77777777" w:rsidR="009E3308" w:rsidRPr="00AA6144" w:rsidRDefault="009E3308" w:rsidP="009E3308">
      <w:pPr>
        <w:pStyle w:val="AIBodyText"/>
        <w:numPr>
          <w:ilvl w:val="3"/>
          <w:numId w:val="1"/>
        </w:numPr>
        <w:rPr>
          <w:color w:val="auto"/>
          <w:lang w:val="en-CA"/>
        </w:rPr>
      </w:pPr>
      <w:r w:rsidRPr="00AA6144">
        <w:rPr>
          <w:color w:val="auto"/>
          <w:lang w:val="en-CA"/>
        </w:rPr>
        <w:t xml:space="preserve">The </w:t>
      </w:r>
      <w:r w:rsidRPr="00AA6144">
        <w:rPr>
          <w:i/>
          <w:color w:val="auto"/>
          <w:lang w:val="en-CA"/>
        </w:rPr>
        <w:t>Extradition Act</w:t>
      </w:r>
      <w:r w:rsidRPr="00AA6144">
        <w:rPr>
          <w:color w:val="auto"/>
          <w:lang w:val="en-CA"/>
        </w:rPr>
        <w:t xml:space="preserve"> provides</w:t>
      </w:r>
      <w:r w:rsidR="000C275D" w:rsidRPr="00AA6144">
        <w:rPr>
          <w:color w:val="auto"/>
          <w:lang w:val="en-CA"/>
        </w:rPr>
        <w:t xml:space="preserve"> that the Minister </w:t>
      </w:r>
      <w:r w:rsidR="00C81240" w:rsidRPr="00AA6144">
        <w:rPr>
          <w:color w:val="auto"/>
          <w:lang w:val="en-CA"/>
        </w:rPr>
        <w:t xml:space="preserve">of Justice </w:t>
      </w:r>
      <w:r w:rsidR="000C275D" w:rsidRPr="00AA6144">
        <w:rPr>
          <w:color w:val="auto"/>
          <w:lang w:val="en-CA"/>
        </w:rPr>
        <w:t>has both mandatory and discretionary grounds of refus</w:t>
      </w:r>
      <w:r w:rsidR="00C81240" w:rsidRPr="00AA6144">
        <w:rPr>
          <w:color w:val="auto"/>
          <w:lang w:val="en-CA"/>
        </w:rPr>
        <w:t xml:space="preserve">e </w:t>
      </w:r>
      <w:r w:rsidR="000C275D" w:rsidRPr="00AA6144">
        <w:rPr>
          <w:color w:val="auto"/>
          <w:lang w:val="en-CA"/>
        </w:rPr>
        <w:t>surrender.</w:t>
      </w:r>
      <w:r w:rsidRPr="00AA6144">
        <w:rPr>
          <w:color w:val="auto"/>
          <w:lang w:val="en-CA"/>
        </w:rPr>
        <w:t xml:space="preserve"> </w:t>
      </w:r>
      <w:r w:rsidR="00C81240" w:rsidRPr="00AA6144">
        <w:rPr>
          <w:color w:val="auto"/>
          <w:lang w:val="en-CA"/>
        </w:rPr>
        <w:t>D</w:t>
      </w:r>
      <w:r w:rsidR="00E13493" w:rsidRPr="00AA6144">
        <w:rPr>
          <w:color w:val="auto"/>
          <w:lang w:val="en-CA"/>
        </w:rPr>
        <w:t>iscretionary grounds of</w:t>
      </w:r>
      <w:r w:rsidR="00FB6E71" w:rsidRPr="00AA6144">
        <w:rPr>
          <w:color w:val="auto"/>
          <w:lang w:val="en-CA"/>
        </w:rPr>
        <w:t xml:space="preserve"> refusal</w:t>
      </w:r>
      <w:r w:rsidR="00E13493" w:rsidRPr="00AA6144">
        <w:rPr>
          <w:color w:val="auto"/>
          <w:lang w:val="en-CA"/>
        </w:rPr>
        <w:t xml:space="preserve"> </w:t>
      </w:r>
      <w:r w:rsidRPr="00AA6144">
        <w:rPr>
          <w:color w:val="auto"/>
          <w:lang w:val="en-CA"/>
        </w:rPr>
        <w:t xml:space="preserve">are factual determinations by the Minister, as the </w:t>
      </w:r>
      <w:r w:rsidR="00C7280D" w:rsidRPr="00AA6144">
        <w:rPr>
          <w:color w:val="auto"/>
          <w:lang w:val="en-CA"/>
        </w:rPr>
        <w:t xml:space="preserve">discretionary </w:t>
      </w:r>
      <w:r w:rsidRPr="00AA6144">
        <w:rPr>
          <w:color w:val="auto"/>
          <w:lang w:val="en-CA"/>
        </w:rPr>
        <w:t xml:space="preserve">provisions apply only “if the Minister is satisfied” that </w:t>
      </w:r>
      <w:r w:rsidR="004C0EF4" w:rsidRPr="00AA6144">
        <w:rPr>
          <w:color w:val="auto"/>
          <w:lang w:val="en-CA"/>
        </w:rPr>
        <w:t xml:space="preserve">certain </w:t>
      </w:r>
      <w:r w:rsidR="00921FD9" w:rsidRPr="00AA6144">
        <w:rPr>
          <w:color w:val="auto"/>
          <w:lang w:val="en-CA"/>
        </w:rPr>
        <w:t>circumstances exist</w:t>
      </w:r>
      <w:r w:rsidR="008949E4" w:rsidRPr="00AA6144">
        <w:rPr>
          <w:color w:val="auto"/>
          <w:lang w:val="en-CA"/>
        </w:rPr>
        <w:t>. This</w:t>
      </w:r>
      <w:r w:rsidRPr="00AA6144">
        <w:rPr>
          <w:color w:val="auto"/>
          <w:lang w:val="en-CA"/>
        </w:rPr>
        <w:t xml:space="preserve"> </w:t>
      </w:r>
      <w:r w:rsidR="00FB6E71" w:rsidRPr="00AA6144">
        <w:rPr>
          <w:color w:val="auto"/>
          <w:lang w:val="en-CA"/>
        </w:rPr>
        <w:t xml:space="preserve">reinforces the idea that </w:t>
      </w:r>
      <w:r w:rsidRPr="00AA6144">
        <w:rPr>
          <w:color w:val="auto"/>
          <w:lang w:val="en-CA"/>
        </w:rPr>
        <w:t xml:space="preserve">the </w:t>
      </w:r>
      <w:r w:rsidR="00FB6E71" w:rsidRPr="00AA6144">
        <w:rPr>
          <w:color w:val="auto"/>
          <w:lang w:val="en-CA"/>
        </w:rPr>
        <w:t xml:space="preserve">administration of the </w:t>
      </w:r>
      <w:r w:rsidR="00FB6E71" w:rsidRPr="00AA6144">
        <w:rPr>
          <w:i/>
          <w:color w:val="auto"/>
          <w:lang w:val="en-CA"/>
        </w:rPr>
        <w:t>Extradition Act</w:t>
      </w:r>
      <w:r w:rsidRPr="00AA6144">
        <w:rPr>
          <w:color w:val="auto"/>
          <w:lang w:val="en-CA"/>
        </w:rPr>
        <w:t xml:space="preserve"> and extradition decision-making </w:t>
      </w:r>
      <w:r w:rsidR="00FB6E71" w:rsidRPr="00AA6144">
        <w:rPr>
          <w:color w:val="auto"/>
          <w:lang w:val="en-CA"/>
        </w:rPr>
        <w:t xml:space="preserve">are </w:t>
      </w:r>
      <w:r w:rsidRPr="00AA6144">
        <w:rPr>
          <w:i/>
          <w:color w:val="auto"/>
          <w:lang w:val="en-CA"/>
        </w:rPr>
        <w:t xml:space="preserve">de facto </w:t>
      </w:r>
      <w:r w:rsidRPr="00AA6144">
        <w:rPr>
          <w:color w:val="auto"/>
          <w:lang w:val="en-CA"/>
        </w:rPr>
        <w:t>sovereign choice.</w:t>
      </w:r>
      <w:r w:rsidRPr="00AA6144">
        <w:rPr>
          <w:rStyle w:val="FootnoteReference"/>
          <w:color w:val="auto"/>
          <w:lang w:val="en-CA"/>
        </w:rPr>
        <w:footnoteReference w:id="549"/>
      </w:r>
      <w:r w:rsidRPr="00AA6144">
        <w:rPr>
          <w:color w:val="auto"/>
          <w:lang w:val="en-CA"/>
        </w:rPr>
        <w:t xml:space="preserve">  </w:t>
      </w:r>
    </w:p>
    <w:p w14:paraId="47D6A9EA" w14:textId="77777777" w:rsidR="009E3308" w:rsidRPr="00AA6144" w:rsidRDefault="009E3308" w:rsidP="009E3308">
      <w:pPr>
        <w:pStyle w:val="Heading3"/>
        <w:rPr>
          <w:color w:val="auto"/>
          <w:lang w:val="en-CA"/>
        </w:rPr>
      </w:pPr>
      <w:bookmarkStart w:id="222" w:name="_Toc193798692"/>
      <w:bookmarkStart w:id="223" w:name="_Toc220954493"/>
      <w:bookmarkStart w:id="224" w:name="_Toc294914667"/>
      <w:bookmarkStart w:id="225" w:name="_Toc43382774"/>
      <w:r w:rsidRPr="00AA6144">
        <w:rPr>
          <w:color w:val="auto"/>
          <w:lang w:val="en-CA"/>
        </w:rPr>
        <w:t>7.1.2. Safeguards</w:t>
      </w:r>
      <w:bookmarkEnd w:id="222"/>
      <w:bookmarkEnd w:id="223"/>
      <w:bookmarkEnd w:id="224"/>
      <w:bookmarkEnd w:id="225"/>
    </w:p>
    <w:p w14:paraId="11414403" w14:textId="77777777" w:rsidR="00DF338C" w:rsidRPr="00AA6144" w:rsidRDefault="00DF338C" w:rsidP="00DF338C">
      <w:pPr>
        <w:spacing w:after="0"/>
        <w:rPr>
          <w:lang w:val="en-CA"/>
        </w:rPr>
      </w:pPr>
    </w:p>
    <w:p w14:paraId="0FDADDF1" w14:textId="77777777" w:rsidR="009E3308" w:rsidRPr="00AA6144" w:rsidRDefault="003B7561" w:rsidP="009E3308">
      <w:pPr>
        <w:pStyle w:val="AIBodyText"/>
        <w:rPr>
          <w:color w:val="auto"/>
          <w:lang w:val="en-CA"/>
        </w:rPr>
      </w:pPr>
      <w:r w:rsidRPr="00AA6144">
        <w:rPr>
          <w:color w:val="auto"/>
          <w:lang w:val="en-CA"/>
        </w:rPr>
        <w:t>Section</w:t>
      </w:r>
      <w:r w:rsidR="00727D79" w:rsidRPr="00AA6144">
        <w:rPr>
          <w:color w:val="auto"/>
          <w:lang w:val="en-CA"/>
        </w:rPr>
        <w:t>s 6 and</w:t>
      </w:r>
      <w:r w:rsidR="009E3308" w:rsidRPr="00AA6144">
        <w:rPr>
          <w:color w:val="auto"/>
          <w:lang w:val="en-CA"/>
        </w:rPr>
        <w:t xml:space="preserve"> 7 of the </w:t>
      </w:r>
      <w:r w:rsidRPr="00AA6144">
        <w:rPr>
          <w:i/>
          <w:color w:val="auto"/>
          <w:lang w:val="en-CA"/>
        </w:rPr>
        <w:t xml:space="preserve">Canadian </w:t>
      </w:r>
      <w:r w:rsidR="009E3308" w:rsidRPr="00AA6144">
        <w:rPr>
          <w:i/>
          <w:color w:val="auto"/>
          <w:lang w:val="en-CA"/>
        </w:rPr>
        <w:t>Charter of Rights and Freedoms</w:t>
      </w:r>
      <w:r w:rsidR="00946532" w:rsidRPr="00AA6144">
        <w:rPr>
          <w:color w:val="auto"/>
          <w:lang w:val="en-CA"/>
        </w:rPr>
        <w:t xml:space="preserve"> provide protections </w:t>
      </w:r>
      <w:r w:rsidR="00CA1410" w:rsidRPr="00AA6144">
        <w:rPr>
          <w:color w:val="auto"/>
          <w:lang w:val="en-CA"/>
        </w:rPr>
        <w:t xml:space="preserve">to persons in the extradition process. Section 7 </w:t>
      </w:r>
      <w:r w:rsidR="009E3308" w:rsidRPr="00AA6144">
        <w:rPr>
          <w:color w:val="auto"/>
          <w:lang w:val="en-CA"/>
        </w:rPr>
        <w:t>provide</w:t>
      </w:r>
      <w:r w:rsidR="00CA1410" w:rsidRPr="00AA6144">
        <w:rPr>
          <w:color w:val="auto"/>
          <w:lang w:val="en-CA"/>
        </w:rPr>
        <w:t>s</w:t>
      </w:r>
      <w:r w:rsidR="009E3308" w:rsidRPr="00AA6144">
        <w:rPr>
          <w:color w:val="auto"/>
          <w:lang w:val="en-CA"/>
        </w:rPr>
        <w:t xml:space="preserve"> guarantees</w:t>
      </w:r>
      <w:r w:rsidR="00242D46" w:rsidRPr="00AA6144">
        <w:rPr>
          <w:color w:val="auto"/>
          <w:lang w:val="en-CA"/>
        </w:rPr>
        <w:t xml:space="preserve"> </w:t>
      </w:r>
      <w:r w:rsidR="009E3308" w:rsidRPr="00AA6144">
        <w:rPr>
          <w:color w:val="auto"/>
          <w:lang w:val="en-CA"/>
        </w:rPr>
        <w:t>applicable to all persons</w:t>
      </w:r>
      <w:r w:rsidR="00C81240" w:rsidRPr="00AA6144">
        <w:rPr>
          <w:color w:val="auto"/>
          <w:lang w:val="en-CA"/>
        </w:rPr>
        <w:t xml:space="preserve"> present in Canada</w:t>
      </w:r>
      <w:r w:rsidR="00CA1410" w:rsidRPr="00AA6144">
        <w:rPr>
          <w:color w:val="auto"/>
          <w:lang w:val="en-CA"/>
        </w:rPr>
        <w:t>,</w:t>
      </w:r>
      <w:r w:rsidR="009E3308" w:rsidRPr="00AA6144">
        <w:rPr>
          <w:color w:val="auto"/>
          <w:lang w:val="en-CA"/>
        </w:rPr>
        <w:t xml:space="preserve"> </w:t>
      </w:r>
      <w:r w:rsidR="00C81240" w:rsidRPr="00AA6144">
        <w:rPr>
          <w:color w:val="auto"/>
          <w:lang w:val="en-CA"/>
        </w:rPr>
        <w:t xml:space="preserve">and includes protection </w:t>
      </w:r>
      <w:r w:rsidR="009E3308" w:rsidRPr="00AA6144">
        <w:rPr>
          <w:color w:val="auto"/>
          <w:lang w:val="en-CA"/>
        </w:rPr>
        <w:t xml:space="preserve">against torture, cruel and unusual </w:t>
      </w:r>
      <w:proofErr w:type="gramStart"/>
      <w:r w:rsidR="009E3308" w:rsidRPr="00AA6144">
        <w:rPr>
          <w:color w:val="auto"/>
          <w:lang w:val="en-CA"/>
        </w:rPr>
        <w:t>treatment</w:t>
      </w:r>
      <w:proofErr w:type="gramEnd"/>
      <w:r w:rsidR="009E3308" w:rsidRPr="00AA6144">
        <w:rPr>
          <w:color w:val="auto"/>
          <w:lang w:val="en-CA"/>
        </w:rPr>
        <w:t xml:space="preserve"> or punishment (including the death penalty). Additionally, pursuant to section 6(1) of the </w:t>
      </w:r>
      <w:r w:rsidR="009E3308" w:rsidRPr="00AA6144">
        <w:rPr>
          <w:i/>
          <w:color w:val="auto"/>
          <w:lang w:val="en-CA"/>
        </w:rPr>
        <w:t>Charter</w:t>
      </w:r>
      <w:r w:rsidR="009E3308" w:rsidRPr="00AA6144">
        <w:rPr>
          <w:color w:val="auto"/>
          <w:lang w:val="en-CA"/>
        </w:rPr>
        <w:t>,</w:t>
      </w:r>
      <w:r w:rsidR="009E3308" w:rsidRPr="00AA6144">
        <w:rPr>
          <w:i/>
          <w:color w:val="auto"/>
          <w:lang w:val="en-CA"/>
        </w:rPr>
        <w:t xml:space="preserve"> </w:t>
      </w:r>
      <w:r w:rsidR="009E3308" w:rsidRPr="00AA6144">
        <w:rPr>
          <w:color w:val="auto"/>
          <w:lang w:val="en-CA"/>
        </w:rPr>
        <w:t>before ordering the surrender of a Canadian citizen to face charges abroad, Canadian authorities have an obligation to consider whether domestic prosecution is preferable.</w:t>
      </w:r>
      <w:r w:rsidR="003B09D2" w:rsidRPr="00AA6144">
        <w:rPr>
          <w:rStyle w:val="FootnoteReference"/>
          <w:color w:val="auto"/>
          <w:lang w:val="en-CA"/>
        </w:rPr>
        <w:footnoteReference w:id="550"/>
      </w:r>
      <w:r w:rsidR="009E3308" w:rsidRPr="00AA6144">
        <w:rPr>
          <w:color w:val="auto"/>
          <w:lang w:val="en-CA"/>
        </w:rPr>
        <w:t xml:space="preserve"> </w:t>
      </w:r>
      <w:r w:rsidR="00C81240" w:rsidRPr="00AA6144">
        <w:rPr>
          <w:color w:val="auto"/>
          <w:lang w:val="en-CA"/>
        </w:rPr>
        <w:t>However, successfully</w:t>
      </w:r>
      <w:r w:rsidR="00CA1410" w:rsidRPr="00AA6144">
        <w:rPr>
          <w:color w:val="auto"/>
          <w:lang w:val="en-CA"/>
        </w:rPr>
        <w:t xml:space="preserve"> </w:t>
      </w:r>
      <w:r w:rsidR="00C81240" w:rsidRPr="00AA6144">
        <w:rPr>
          <w:color w:val="auto"/>
          <w:lang w:val="en-CA"/>
        </w:rPr>
        <w:t>challenging an extradition decision</w:t>
      </w:r>
      <w:r w:rsidR="009E3308" w:rsidRPr="00AA6144">
        <w:rPr>
          <w:color w:val="auto"/>
          <w:lang w:val="en-CA"/>
        </w:rPr>
        <w:t xml:space="preserve"> </w:t>
      </w:r>
      <w:r w:rsidR="00CA1410" w:rsidRPr="00AA6144">
        <w:rPr>
          <w:color w:val="auto"/>
          <w:lang w:val="en-CA"/>
        </w:rPr>
        <w:t>on a section 6 argument</w:t>
      </w:r>
      <w:r w:rsidR="009E3308" w:rsidRPr="00AA6144">
        <w:rPr>
          <w:color w:val="auto"/>
          <w:lang w:val="en-CA"/>
        </w:rPr>
        <w:t xml:space="preserve"> </w:t>
      </w:r>
      <w:r w:rsidR="00C81240" w:rsidRPr="00AA6144">
        <w:rPr>
          <w:color w:val="auto"/>
          <w:lang w:val="en-CA"/>
        </w:rPr>
        <w:t xml:space="preserve">is unlikely </w:t>
      </w:r>
      <w:r w:rsidR="009E3308" w:rsidRPr="00AA6144">
        <w:rPr>
          <w:color w:val="auto"/>
          <w:lang w:val="en-CA"/>
        </w:rPr>
        <w:t>in light of the recent Supreme Court</w:t>
      </w:r>
      <w:r w:rsidR="008B6FB5" w:rsidRPr="00AA6144">
        <w:rPr>
          <w:color w:val="auto"/>
          <w:lang w:val="en-CA"/>
        </w:rPr>
        <w:t xml:space="preserve"> of Canada</w:t>
      </w:r>
      <w:r w:rsidR="009E3308" w:rsidRPr="00AA6144">
        <w:rPr>
          <w:color w:val="auto"/>
          <w:lang w:val="en-CA"/>
        </w:rPr>
        <w:t xml:space="preserve"> jurisprudence (see above discussion in section 7.1.1.2. Nationality).</w:t>
      </w:r>
    </w:p>
    <w:p w14:paraId="5A811887" w14:textId="77777777" w:rsidR="009E3308" w:rsidRPr="00AA6144" w:rsidRDefault="009E3308" w:rsidP="009E3308">
      <w:pPr>
        <w:pStyle w:val="Heading4"/>
        <w:rPr>
          <w:color w:val="auto"/>
          <w:lang w:val="en-CA"/>
        </w:rPr>
      </w:pPr>
      <w:bookmarkStart w:id="226" w:name="_Toc193798693"/>
      <w:bookmarkStart w:id="227" w:name="_Toc294914668"/>
      <w:bookmarkStart w:id="228" w:name="_Toc43382775"/>
      <w:r w:rsidRPr="00AA6144">
        <w:rPr>
          <w:color w:val="auto"/>
          <w:lang w:val="en-CA"/>
        </w:rPr>
        <w:t>7.1.2.1. F</w:t>
      </w:r>
      <w:bookmarkEnd w:id="226"/>
      <w:r w:rsidRPr="00AA6144">
        <w:rPr>
          <w:color w:val="auto"/>
          <w:lang w:val="en-CA"/>
        </w:rPr>
        <w:t>air trial</w:t>
      </w:r>
      <w:bookmarkEnd w:id="227"/>
      <w:bookmarkEnd w:id="228"/>
    </w:p>
    <w:p w14:paraId="2596D2CE" w14:textId="77777777" w:rsidR="00636912" w:rsidRPr="00AA6144" w:rsidRDefault="009E3308" w:rsidP="00417A99">
      <w:pPr>
        <w:rPr>
          <w:color w:val="auto"/>
          <w:lang w:val="en-CA"/>
        </w:rPr>
      </w:pPr>
      <w:r w:rsidRPr="00AA6144">
        <w:rPr>
          <w:color w:val="auto"/>
          <w:lang w:val="en-CA"/>
        </w:rPr>
        <w:t xml:space="preserve">There is no express prohibition in Canadian law on extradition of a </w:t>
      </w:r>
      <w:r w:rsidR="006439F4" w:rsidRPr="00AA6144">
        <w:rPr>
          <w:color w:val="auto"/>
          <w:lang w:val="en-CA"/>
        </w:rPr>
        <w:t xml:space="preserve">person </w:t>
      </w:r>
      <w:r w:rsidRPr="00AA6144">
        <w:rPr>
          <w:color w:val="auto"/>
          <w:lang w:val="en-CA"/>
        </w:rPr>
        <w:t>on the ground that he or she might face an unfair trial</w:t>
      </w:r>
      <w:bookmarkStart w:id="229" w:name="_Toc193798694"/>
      <w:r w:rsidRPr="00AA6144">
        <w:rPr>
          <w:color w:val="auto"/>
          <w:lang w:val="en-CA"/>
        </w:rPr>
        <w:t xml:space="preserve">. </w:t>
      </w:r>
    </w:p>
    <w:p w14:paraId="2621E18F" w14:textId="77777777" w:rsidR="009E3308" w:rsidRPr="00AA6144" w:rsidRDefault="00636912" w:rsidP="00417A99">
      <w:pPr>
        <w:rPr>
          <w:rStyle w:val="verdana"/>
          <w:color w:val="auto"/>
          <w:lang w:val="en-CA"/>
        </w:rPr>
      </w:pPr>
      <w:r w:rsidRPr="00AA6144">
        <w:rPr>
          <w:rStyle w:val="verdana"/>
          <w:color w:val="auto"/>
          <w:lang w:val="en-CA"/>
        </w:rPr>
        <w:t>I</w:t>
      </w:r>
      <w:r w:rsidR="009E3308" w:rsidRPr="00AA6144">
        <w:rPr>
          <w:color w:val="auto"/>
          <w:lang w:val="en-CA"/>
        </w:rPr>
        <w:t xml:space="preserve">n </w:t>
      </w:r>
      <w:r w:rsidR="009E3308" w:rsidRPr="00AA6144">
        <w:rPr>
          <w:i/>
          <w:color w:val="auto"/>
          <w:lang w:val="en-CA"/>
        </w:rPr>
        <w:t>Canada v. Schmidt</w:t>
      </w:r>
      <w:r w:rsidR="009E3308" w:rsidRPr="00AA6144">
        <w:rPr>
          <w:color w:val="auto"/>
          <w:lang w:val="en-CA"/>
        </w:rPr>
        <w:t xml:space="preserve">, </w:t>
      </w:r>
      <w:r w:rsidRPr="00AA6144">
        <w:rPr>
          <w:color w:val="auto"/>
          <w:lang w:val="en-CA"/>
        </w:rPr>
        <w:t>the Supreme Court</w:t>
      </w:r>
      <w:r w:rsidR="006C35F5" w:rsidRPr="00AA6144">
        <w:rPr>
          <w:color w:val="auto"/>
          <w:lang w:val="en-CA"/>
        </w:rPr>
        <w:t xml:space="preserve"> of Canada</w:t>
      </w:r>
      <w:r w:rsidR="009E3308" w:rsidRPr="00AA6144">
        <w:rPr>
          <w:color w:val="auto"/>
          <w:lang w:val="en-CA"/>
        </w:rPr>
        <w:t xml:space="preserve"> cited extensive American jurisprudence on the question of consideration for the due process protections of foreign legal systems, </w:t>
      </w:r>
      <w:r w:rsidRPr="00AA6144">
        <w:rPr>
          <w:color w:val="auto"/>
          <w:lang w:val="en-CA"/>
        </w:rPr>
        <w:t xml:space="preserve">specifically focusing on the </w:t>
      </w:r>
      <w:r w:rsidR="009E3308" w:rsidRPr="00AA6144">
        <w:rPr>
          <w:color w:val="auto"/>
          <w:lang w:val="en-CA"/>
        </w:rPr>
        <w:t xml:space="preserve">question of </w:t>
      </w:r>
      <w:r w:rsidR="009E3308" w:rsidRPr="00AA6144">
        <w:rPr>
          <w:i/>
          <w:color w:val="auto"/>
          <w:lang w:val="en-CA"/>
        </w:rPr>
        <w:t xml:space="preserve">autrefois acquit </w:t>
      </w:r>
      <w:r w:rsidR="009E3308" w:rsidRPr="00AA6144">
        <w:rPr>
          <w:color w:val="auto"/>
          <w:lang w:val="en-CA"/>
        </w:rPr>
        <w:t>or double jeopardy</w:t>
      </w:r>
      <w:r w:rsidR="00843CB0" w:rsidRPr="00AA6144">
        <w:rPr>
          <w:color w:val="auto"/>
          <w:lang w:val="en-CA"/>
        </w:rPr>
        <w:t>.</w:t>
      </w:r>
      <w:r w:rsidR="009E3308" w:rsidRPr="00AA6144">
        <w:rPr>
          <w:rStyle w:val="FootnoteReference"/>
          <w:color w:val="auto"/>
          <w:lang w:val="en-CA"/>
        </w:rPr>
        <w:footnoteReference w:id="551"/>
      </w:r>
      <w:r w:rsidR="009E3308" w:rsidRPr="00AA6144">
        <w:rPr>
          <w:color w:val="auto"/>
          <w:lang w:val="en-CA"/>
        </w:rPr>
        <w:t xml:space="preserve">  Citing failure of the 19</w:t>
      </w:r>
      <w:r w:rsidR="009E3308" w:rsidRPr="00AA6144">
        <w:rPr>
          <w:color w:val="auto"/>
          <w:vertAlign w:val="superscript"/>
          <w:lang w:val="en-CA"/>
        </w:rPr>
        <w:t>th</w:t>
      </w:r>
      <w:r w:rsidR="009E3308" w:rsidRPr="00AA6144">
        <w:rPr>
          <w:color w:val="auto"/>
          <w:lang w:val="en-CA"/>
        </w:rPr>
        <w:t xml:space="preserve"> century extradition process in England due to </w:t>
      </w:r>
      <w:r w:rsidR="00843CB0" w:rsidRPr="00AA6144">
        <w:rPr>
          <w:color w:val="auto"/>
          <w:lang w:val="en-CA"/>
        </w:rPr>
        <w:t>overly scrupulous</w:t>
      </w:r>
      <w:r w:rsidR="009E3308" w:rsidRPr="00AA6144">
        <w:rPr>
          <w:color w:val="auto"/>
          <w:lang w:val="en-CA"/>
        </w:rPr>
        <w:t xml:space="preserve"> application of English legal standards to extradition requests, the Court emphasized the practical nature of Canada’s current extradition regime which was meant to avoid “finicky evaluations against the rules governing the legal process in this country.”</w:t>
      </w:r>
      <w:r w:rsidR="009E3308" w:rsidRPr="00AA6144">
        <w:rPr>
          <w:rStyle w:val="FootnoteReference"/>
          <w:color w:val="auto"/>
          <w:lang w:val="en-CA"/>
        </w:rPr>
        <w:footnoteReference w:id="552"/>
      </w:r>
      <w:r w:rsidR="009E3308" w:rsidRPr="00AA6144">
        <w:rPr>
          <w:color w:val="auto"/>
          <w:lang w:val="en-CA"/>
        </w:rPr>
        <w:t xml:space="preserve">  </w:t>
      </w:r>
      <w:r w:rsidR="009F0EE9" w:rsidRPr="00AA6144">
        <w:rPr>
          <w:color w:val="auto"/>
          <w:lang w:val="en-CA"/>
        </w:rPr>
        <w:t>The Court held</w:t>
      </w:r>
      <w:r w:rsidR="009E3308" w:rsidRPr="00AA6144">
        <w:rPr>
          <w:color w:val="auto"/>
          <w:lang w:val="en-CA"/>
        </w:rPr>
        <w:t xml:space="preserve"> that “a </w:t>
      </w:r>
      <w:r w:rsidR="009E3308" w:rsidRPr="00AA6144">
        <w:rPr>
          <w:rStyle w:val="verdana"/>
          <w:color w:val="auto"/>
          <w:lang w:val="en-CA"/>
        </w:rPr>
        <w:t>foreign judicial system will not necessarily be considered fundamentally unjust because it functions on the basis of an investigatory system without the presumption of innocence or, generally, because its procedural or evidentiary safeguards have none of the rigours of our system.”</w:t>
      </w:r>
      <w:r w:rsidR="009E3308" w:rsidRPr="00AA6144">
        <w:rPr>
          <w:rStyle w:val="FootnoteReference"/>
          <w:color w:val="auto"/>
          <w:lang w:val="en-CA"/>
        </w:rPr>
        <w:footnoteReference w:id="553"/>
      </w:r>
      <w:r w:rsidR="009E3308" w:rsidRPr="00AA6144">
        <w:rPr>
          <w:rStyle w:val="verdana"/>
          <w:color w:val="auto"/>
          <w:lang w:val="en-CA"/>
        </w:rPr>
        <w:t xml:space="preserve">  </w:t>
      </w:r>
    </w:p>
    <w:p w14:paraId="7CD6F1AE" w14:textId="77777777" w:rsidR="009E3308" w:rsidRPr="00AA6144" w:rsidRDefault="009E3308" w:rsidP="009E3308">
      <w:pPr>
        <w:rPr>
          <w:rStyle w:val="verdana"/>
          <w:color w:val="auto"/>
          <w:lang w:val="en-CA"/>
        </w:rPr>
      </w:pPr>
      <w:r w:rsidRPr="00AA6144">
        <w:rPr>
          <w:rStyle w:val="verdana"/>
          <w:color w:val="auto"/>
          <w:lang w:val="en-CA"/>
        </w:rPr>
        <w:t>The right to due process under s</w:t>
      </w:r>
      <w:r w:rsidR="00D0223C" w:rsidRPr="00AA6144">
        <w:rPr>
          <w:rStyle w:val="verdana"/>
          <w:color w:val="auto"/>
          <w:lang w:val="en-CA"/>
        </w:rPr>
        <w:t xml:space="preserve">ection </w:t>
      </w:r>
      <w:r w:rsidRPr="00AA6144">
        <w:rPr>
          <w:rStyle w:val="verdana"/>
          <w:color w:val="auto"/>
          <w:lang w:val="en-CA"/>
        </w:rPr>
        <w:t xml:space="preserve">11 of the </w:t>
      </w:r>
      <w:r w:rsidRPr="00AA6144">
        <w:rPr>
          <w:rStyle w:val="verdana"/>
          <w:i/>
          <w:color w:val="auto"/>
          <w:lang w:val="en-CA"/>
        </w:rPr>
        <w:t>Charter</w:t>
      </w:r>
      <w:r w:rsidRPr="00AA6144">
        <w:rPr>
          <w:rStyle w:val="verdana"/>
          <w:color w:val="auto"/>
          <w:lang w:val="en-CA"/>
        </w:rPr>
        <w:t xml:space="preserve"> includes the right not to be subject to a multiplicity of proceedings of citizenship and extradition proceedings.</w:t>
      </w:r>
      <w:r w:rsidRPr="00AA6144">
        <w:rPr>
          <w:rStyle w:val="FootnoteReference"/>
          <w:color w:val="auto"/>
          <w:lang w:val="en-CA"/>
        </w:rPr>
        <w:footnoteReference w:id="554"/>
      </w:r>
      <w:r w:rsidRPr="00AA6144">
        <w:rPr>
          <w:rStyle w:val="verdana"/>
          <w:color w:val="auto"/>
          <w:lang w:val="en-CA"/>
        </w:rPr>
        <w:t xml:space="preserve">  If the decision is made to prosecute on the basis of charges in Canada, the Crown counsel prosecuting Canadian charges parallel to those that are the subject of extradition cannot be faulted for delaying the expenditure of time and resources on the Canadian prosecution while the Minister of Justice decides whether to authorize extradition proceedings. However, if the Canadian charges ultimately do proceed and delay becomes an issue, the prosecution may be held accountable under the analysis required by s</w:t>
      </w:r>
      <w:r w:rsidR="00D0223C" w:rsidRPr="00AA6144">
        <w:rPr>
          <w:rStyle w:val="verdana"/>
          <w:color w:val="auto"/>
          <w:lang w:val="en-CA"/>
        </w:rPr>
        <w:t xml:space="preserve">ection </w:t>
      </w:r>
      <w:r w:rsidRPr="00AA6144">
        <w:rPr>
          <w:rStyle w:val="verdana"/>
          <w:color w:val="auto"/>
          <w:lang w:val="en-CA"/>
        </w:rPr>
        <w:t xml:space="preserve">11(b) of the </w:t>
      </w:r>
      <w:r w:rsidRPr="00AA6144">
        <w:rPr>
          <w:rStyle w:val="verdana"/>
          <w:i/>
          <w:color w:val="auto"/>
          <w:lang w:val="en-CA"/>
        </w:rPr>
        <w:t>Charter</w:t>
      </w:r>
      <w:r w:rsidRPr="00AA6144">
        <w:rPr>
          <w:rStyle w:val="verdana"/>
          <w:color w:val="auto"/>
          <w:lang w:val="en-CA"/>
        </w:rPr>
        <w:t>.</w:t>
      </w:r>
      <w:r w:rsidRPr="00AA6144">
        <w:rPr>
          <w:rStyle w:val="FootnoteReference"/>
          <w:color w:val="auto"/>
          <w:lang w:val="en-CA"/>
        </w:rPr>
        <w:footnoteReference w:id="555"/>
      </w:r>
      <w:r w:rsidRPr="00AA6144">
        <w:rPr>
          <w:rStyle w:val="verdana"/>
          <w:color w:val="auto"/>
          <w:lang w:val="en-CA"/>
        </w:rPr>
        <w:t xml:space="preserve">  The Minister’s own decision is subject to the timelines laid out in the </w:t>
      </w:r>
      <w:r w:rsidR="00AF25CC" w:rsidRPr="00AA6144">
        <w:rPr>
          <w:rStyle w:val="verdana"/>
          <w:i/>
          <w:color w:val="auto"/>
          <w:lang w:val="en-CA"/>
        </w:rPr>
        <w:t xml:space="preserve">Extradition </w:t>
      </w:r>
      <w:r w:rsidRPr="00AA6144">
        <w:rPr>
          <w:rStyle w:val="verdana"/>
          <w:i/>
          <w:color w:val="auto"/>
          <w:lang w:val="en-CA"/>
        </w:rPr>
        <w:t>Act</w:t>
      </w:r>
      <w:r w:rsidRPr="00AA6144">
        <w:rPr>
          <w:rStyle w:val="verdana"/>
          <w:color w:val="auto"/>
          <w:lang w:val="en-CA"/>
        </w:rPr>
        <w:t xml:space="preserve"> – surrender must occur not less than 30 days</w:t>
      </w:r>
      <w:r w:rsidRPr="00AA6144">
        <w:rPr>
          <w:rStyle w:val="FootnoteReference"/>
          <w:color w:val="auto"/>
          <w:lang w:val="en-CA"/>
        </w:rPr>
        <w:footnoteReference w:id="556"/>
      </w:r>
      <w:r w:rsidRPr="00AA6144">
        <w:rPr>
          <w:rStyle w:val="verdana"/>
          <w:color w:val="auto"/>
          <w:lang w:val="en-CA"/>
        </w:rPr>
        <w:t xml:space="preserve"> but not more than 90 days</w:t>
      </w:r>
      <w:r w:rsidRPr="00AA6144">
        <w:rPr>
          <w:rStyle w:val="FootnoteReference"/>
          <w:color w:val="auto"/>
          <w:lang w:val="en-CA"/>
        </w:rPr>
        <w:footnoteReference w:id="557"/>
      </w:r>
      <w:r w:rsidRPr="00AA6144">
        <w:rPr>
          <w:rStyle w:val="verdana"/>
          <w:color w:val="auto"/>
          <w:lang w:val="en-CA"/>
        </w:rPr>
        <w:t xml:space="preserve"> of the committal order being issued by the extradition judge</w:t>
      </w:r>
      <w:r w:rsidR="00A64598" w:rsidRPr="00AA6144">
        <w:rPr>
          <w:rStyle w:val="verdana"/>
          <w:color w:val="auto"/>
          <w:lang w:val="en-CA"/>
        </w:rPr>
        <w:t>. There is one exc</w:t>
      </w:r>
      <w:r w:rsidR="00C61447" w:rsidRPr="00AA6144">
        <w:rPr>
          <w:rStyle w:val="verdana"/>
          <w:color w:val="auto"/>
          <w:lang w:val="en-CA"/>
        </w:rPr>
        <w:t xml:space="preserve">eption: </w:t>
      </w:r>
      <w:r w:rsidR="00A64598" w:rsidRPr="00AA6144">
        <w:rPr>
          <w:rStyle w:val="verdana"/>
          <w:color w:val="auto"/>
          <w:lang w:val="en-CA"/>
        </w:rPr>
        <w:t xml:space="preserve">where the </w:t>
      </w:r>
      <w:r w:rsidR="00D11B76" w:rsidRPr="00AA6144">
        <w:rPr>
          <w:rStyle w:val="verdana"/>
          <w:color w:val="auto"/>
          <w:lang w:val="en-CA"/>
        </w:rPr>
        <w:t xml:space="preserve">person sought makes submissions pursuant to </w:t>
      </w:r>
      <w:r w:rsidR="00C61447" w:rsidRPr="00AA6144">
        <w:rPr>
          <w:rStyle w:val="verdana"/>
          <w:color w:val="auto"/>
          <w:lang w:val="en-CA"/>
        </w:rPr>
        <w:t xml:space="preserve">section 43, the Minister can impose an </w:t>
      </w:r>
      <w:r w:rsidRPr="00AA6144">
        <w:rPr>
          <w:rStyle w:val="verdana"/>
          <w:color w:val="auto"/>
          <w:lang w:val="en-CA"/>
        </w:rPr>
        <w:t>additional one-time extension of 60 days</w:t>
      </w:r>
      <w:r w:rsidR="00C61447" w:rsidRPr="00AA6144">
        <w:rPr>
          <w:rStyle w:val="verdana"/>
          <w:color w:val="auto"/>
          <w:lang w:val="en-CA"/>
        </w:rPr>
        <w:t>.</w:t>
      </w:r>
      <w:r w:rsidRPr="00AA6144">
        <w:rPr>
          <w:rStyle w:val="FootnoteReference"/>
          <w:color w:val="auto"/>
          <w:lang w:val="en-CA"/>
        </w:rPr>
        <w:footnoteReference w:id="558"/>
      </w:r>
      <w:r w:rsidR="00C61447" w:rsidRPr="00AA6144">
        <w:rPr>
          <w:rStyle w:val="verdana"/>
          <w:color w:val="auto"/>
          <w:lang w:val="en-CA"/>
        </w:rPr>
        <w:t xml:space="preserve"> </w:t>
      </w:r>
    </w:p>
    <w:p w14:paraId="5D028C08" w14:textId="77777777" w:rsidR="00F23EDB" w:rsidRPr="00AA6144" w:rsidRDefault="006C35F5" w:rsidP="009E3308">
      <w:pPr>
        <w:pStyle w:val="AIBodyText"/>
        <w:rPr>
          <w:rStyle w:val="verdana"/>
          <w:color w:val="auto"/>
          <w:lang w:val="en-CA"/>
        </w:rPr>
      </w:pPr>
      <w:r w:rsidRPr="00AA6144">
        <w:rPr>
          <w:rStyle w:val="verdana"/>
          <w:color w:val="auto"/>
          <w:lang w:val="en-CA"/>
        </w:rPr>
        <w:t>I</w:t>
      </w:r>
      <w:r w:rsidR="009E3308" w:rsidRPr="00AA6144">
        <w:rPr>
          <w:rStyle w:val="verdana"/>
          <w:color w:val="auto"/>
          <w:lang w:val="en-CA"/>
        </w:rPr>
        <w:t xml:space="preserve">t is only the potential likelihood of treatment that would “shock the conscience” of Canadian society that trigger the protections of section 7 of the </w:t>
      </w:r>
      <w:r w:rsidR="009E3308" w:rsidRPr="00AA6144">
        <w:rPr>
          <w:rStyle w:val="verdana"/>
          <w:i/>
          <w:color w:val="auto"/>
          <w:lang w:val="en-CA"/>
        </w:rPr>
        <w:t>Charter</w:t>
      </w:r>
      <w:r w:rsidR="009E3308" w:rsidRPr="00AA6144">
        <w:rPr>
          <w:rStyle w:val="verdana"/>
          <w:color w:val="auto"/>
          <w:lang w:val="en-CA"/>
        </w:rPr>
        <w:t xml:space="preserve">.  However, this has been interpreted narrowly – </w:t>
      </w:r>
      <w:r w:rsidR="009E3308" w:rsidRPr="00AA6144">
        <w:rPr>
          <w:color w:val="auto"/>
          <w:lang w:val="en-CA"/>
        </w:rPr>
        <w:t>the words ‘shock the conscience’ “</w:t>
      </w:r>
      <w:r w:rsidR="009E3308" w:rsidRPr="00AA6144">
        <w:rPr>
          <w:rStyle w:val="verdana"/>
          <w:color w:val="auto"/>
          <w:lang w:val="en-CA"/>
        </w:rPr>
        <w:t>were intended to underline the very exceptional nature of circumstances that would constitutionally limit the Minister's decision in extradition cases</w:t>
      </w:r>
      <w:r w:rsidR="009E3308" w:rsidRPr="00AA6144">
        <w:rPr>
          <w:color w:val="auto"/>
          <w:lang w:val="en-CA"/>
        </w:rPr>
        <w:t>”</w:t>
      </w:r>
      <w:r w:rsidR="009E3308" w:rsidRPr="00AA6144">
        <w:rPr>
          <w:rStyle w:val="FootnoteReference"/>
          <w:color w:val="auto"/>
          <w:lang w:val="en-CA"/>
        </w:rPr>
        <w:footnoteReference w:id="559"/>
      </w:r>
      <w:r w:rsidR="00D97AED" w:rsidRPr="00AA6144">
        <w:rPr>
          <w:color w:val="auto"/>
          <w:lang w:val="en-CA"/>
        </w:rPr>
        <w:t xml:space="preserve"> In</w:t>
      </w:r>
      <w:r w:rsidR="009E3308" w:rsidRPr="00AA6144">
        <w:rPr>
          <w:color w:val="auto"/>
          <w:lang w:val="en-CA"/>
        </w:rPr>
        <w:t xml:space="preserve"> </w:t>
      </w:r>
      <w:proofErr w:type="spellStart"/>
      <w:r w:rsidR="009E3308" w:rsidRPr="00AA6144">
        <w:rPr>
          <w:i/>
          <w:color w:val="auto"/>
          <w:lang w:val="en-CA"/>
        </w:rPr>
        <w:t>Ferras</w:t>
      </w:r>
      <w:proofErr w:type="spellEnd"/>
      <w:r w:rsidR="009E3308" w:rsidRPr="00AA6144">
        <w:rPr>
          <w:color w:val="auto"/>
          <w:lang w:val="en-CA"/>
        </w:rPr>
        <w:t>, the Supreme Court of Canada upheld a decision by the Minister of Justice that surrender to an extradition partner whose criminal justice system does not have all the procedural safeguards of the Canadian criminal system</w:t>
      </w:r>
      <w:r w:rsidRPr="00AA6144">
        <w:rPr>
          <w:color w:val="auto"/>
          <w:lang w:val="en-CA"/>
        </w:rPr>
        <w:t>.</w:t>
      </w:r>
      <w:r w:rsidR="00DD42A7" w:rsidRPr="00AA6144">
        <w:rPr>
          <w:rStyle w:val="FootnoteReference"/>
          <w:color w:val="auto"/>
          <w:lang w:val="en-CA"/>
        </w:rPr>
        <w:footnoteReference w:id="560"/>
      </w:r>
      <w:r w:rsidRPr="00AA6144">
        <w:rPr>
          <w:color w:val="auto"/>
          <w:lang w:val="en-CA"/>
        </w:rPr>
        <w:t xml:space="preserve"> This act</w:t>
      </w:r>
      <w:r w:rsidR="009E3308" w:rsidRPr="00AA6144">
        <w:rPr>
          <w:color w:val="auto"/>
          <w:lang w:val="en-CA"/>
        </w:rPr>
        <w:t xml:space="preserve"> would not, in itself, violate the principles of fundamental justice.</w:t>
      </w:r>
      <w:r w:rsidR="009E3308" w:rsidRPr="00AA6144">
        <w:rPr>
          <w:rStyle w:val="FootnoteReference"/>
          <w:color w:val="auto"/>
          <w:lang w:val="en-CA"/>
        </w:rPr>
        <w:footnoteReference w:id="561"/>
      </w:r>
      <w:r w:rsidR="009E3308" w:rsidRPr="00AA6144">
        <w:rPr>
          <w:color w:val="auto"/>
          <w:lang w:val="en-CA"/>
        </w:rPr>
        <w:t xml:space="preserve">  In </w:t>
      </w:r>
      <w:r w:rsidR="009E3308" w:rsidRPr="00AA6144">
        <w:rPr>
          <w:rStyle w:val="verdana"/>
          <w:color w:val="auto"/>
          <w:lang w:val="en-CA"/>
        </w:rPr>
        <w:t xml:space="preserve">subsequent jurisprudence, Canadian courts have refused to deny extradition for cases of conviction </w:t>
      </w:r>
      <w:r w:rsidR="009E3308" w:rsidRPr="00AA6144">
        <w:rPr>
          <w:rStyle w:val="verdana"/>
          <w:i/>
          <w:color w:val="auto"/>
          <w:lang w:val="en-CA"/>
        </w:rPr>
        <w:t xml:space="preserve">in absentia </w:t>
      </w:r>
      <w:r w:rsidR="009E3308" w:rsidRPr="00AA6144">
        <w:rPr>
          <w:rStyle w:val="verdana"/>
          <w:color w:val="auto"/>
          <w:lang w:val="en-CA"/>
        </w:rPr>
        <w:t xml:space="preserve">even </w:t>
      </w:r>
      <w:r w:rsidR="00622E2A" w:rsidRPr="00AA6144">
        <w:rPr>
          <w:rStyle w:val="verdana"/>
          <w:color w:val="auto"/>
          <w:lang w:val="en-CA"/>
        </w:rPr>
        <w:t xml:space="preserve">where </w:t>
      </w:r>
      <w:r w:rsidR="009E3308" w:rsidRPr="00AA6144">
        <w:rPr>
          <w:rStyle w:val="verdana"/>
          <w:color w:val="auto"/>
          <w:lang w:val="en-CA"/>
        </w:rPr>
        <w:t>statutory limits on appeal or review in that state were exhausted</w:t>
      </w:r>
      <w:r w:rsidR="00D97AED" w:rsidRPr="00AA6144">
        <w:rPr>
          <w:rStyle w:val="verdana"/>
          <w:color w:val="auto"/>
          <w:lang w:val="en-CA"/>
        </w:rPr>
        <w:t>,</w:t>
      </w:r>
      <w:r w:rsidR="009E3308" w:rsidRPr="00AA6144">
        <w:rPr>
          <w:rStyle w:val="FootnoteReference"/>
          <w:color w:val="auto"/>
          <w:lang w:val="en-CA"/>
        </w:rPr>
        <w:footnoteReference w:id="562"/>
      </w:r>
      <w:r w:rsidR="009E3308" w:rsidRPr="00AA6144">
        <w:rPr>
          <w:rStyle w:val="verdana"/>
          <w:color w:val="auto"/>
          <w:lang w:val="en-CA"/>
        </w:rPr>
        <w:t xml:space="preserve"> </w:t>
      </w:r>
      <w:r w:rsidR="00622E2A" w:rsidRPr="00AA6144">
        <w:rPr>
          <w:rStyle w:val="verdana"/>
          <w:color w:val="auto"/>
          <w:lang w:val="en-CA"/>
        </w:rPr>
        <w:t xml:space="preserve">where </w:t>
      </w:r>
      <w:r w:rsidR="009E3308" w:rsidRPr="00AA6144">
        <w:rPr>
          <w:rStyle w:val="verdana"/>
          <w:color w:val="auto"/>
          <w:lang w:val="en-CA"/>
        </w:rPr>
        <w:t>the Minister’s failure to consider the admissibility of the charges under the standards of the applicable foreign law,</w:t>
      </w:r>
      <w:r w:rsidR="009E3308" w:rsidRPr="00AA6144">
        <w:rPr>
          <w:rStyle w:val="FootnoteReference"/>
          <w:color w:val="auto"/>
          <w:lang w:val="en-CA"/>
        </w:rPr>
        <w:footnoteReference w:id="563"/>
      </w:r>
      <w:r w:rsidR="009E3308" w:rsidRPr="00AA6144">
        <w:rPr>
          <w:rStyle w:val="verdana"/>
          <w:color w:val="auto"/>
          <w:lang w:val="en-CA"/>
        </w:rPr>
        <w:t xml:space="preserve"> or </w:t>
      </w:r>
      <w:r w:rsidR="00622E2A" w:rsidRPr="00AA6144">
        <w:rPr>
          <w:rStyle w:val="verdana"/>
          <w:color w:val="auto"/>
          <w:lang w:val="en-CA"/>
        </w:rPr>
        <w:t>where there are concerns about</w:t>
      </w:r>
      <w:r w:rsidR="009E3308" w:rsidRPr="00AA6144">
        <w:rPr>
          <w:rStyle w:val="verdana"/>
          <w:color w:val="auto"/>
          <w:lang w:val="en-CA"/>
        </w:rPr>
        <w:t xml:space="preserve"> corruption or mistreatment of prisoners.</w:t>
      </w:r>
      <w:r w:rsidR="009E3308" w:rsidRPr="00AA6144">
        <w:rPr>
          <w:rStyle w:val="FootnoteReference"/>
          <w:color w:val="auto"/>
          <w:lang w:val="en-CA"/>
        </w:rPr>
        <w:footnoteReference w:id="564"/>
      </w:r>
      <w:r w:rsidR="009E3308" w:rsidRPr="00AA6144">
        <w:rPr>
          <w:rStyle w:val="verdana"/>
          <w:color w:val="auto"/>
          <w:lang w:val="en-CA"/>
        </w:rPr>
        <w:t xml:space="preserve">  </w:t>
      </w:r>
    </w:p>
    <w:p w14:paraId="45C2F76E" w14:textId="77777777" w:rsidR="00F23EDB" w:rsidRPr="00AA6144" w:rsidRDefault="00F23EDB" w:rsidP="009E3308">
      <w:pPr>
        <w:pStyle w:val="AIBodyText"/>
        <w:rPr>
          <w:rStyle w:val="verdana"/>
          <w:color w:val="auto"/>
          <w:lang w:val="en-CA"/>
        </w:rPr>
      </w:pPr>
    </w:p>
    <w:p w14:paraId="639B1FB5" w14:textId="77777777" w:rsidR="009E3308" w:rsidRPr="00AA6144" w:rsidRDefault="009E3308" w:rsidP="009E3308">
      <w:pPr>
        <w:pStyle w:val="AIBodyText"/>
        <w:rPr>
          <w:color w:val="auto"/>
          <w:lang w:val="en-CA"/>
        </w:rPr>
      </w:pPr>
      <w:r w:rsidRPr="00AA6144">
        <w:rPr>
          <w:rStyle w:val="verdana"/>
          <w:color w:val="auto"/>
          <w:lang w:val="en-CA"/>
        </w:rPr>
        <w:t>On the other hand, cases such as torture, mandatory life in prison for a crime committed by a juvenile</w:t>
      </w:r>
      <w:r w:rsidR="00F23EDB" w:rsidRPr="00AA6144">
        <w:rPr>
          <w:rStyle w:val="FootnoteReference"/>
          <w:color w:val="auto"/>
          <w:lang w:val="en-CA"/>
        </w:rPr>
        <w:footnoteReference w:id="565"/>
      </w:r>
      <w:r w:rsidRPr="00AA6144">
        <w:rPr>
          <w:rStyle w:val="verdana"/>
          <w:color w:val="auto"/>
          <w:lang w:val="en-CA"/>
        </w:rPr>
        <w:t xml:space="preserve">, or the death penalty would “shock the conscience” of Canadian society, thus triggering the protections of section 7 of the </w:t>
      </w:r>
      <w:r w:rsidRPr="00AA6144">
        <w:rPr>
          <w:rStyle w:val="verdana"/>
          <w:i/>
          <w:color w:val="auto"/>
          <w:lang w:val="en-CA"/>
        </w:rPr>
        <w:t>Charter</w:t>
      </w:r>
      <w:r w:rsidRPr="00AA6144">
        <w:rPr>
          <w:rStyle w:val="verdana"/>
          <w:color w:val="auto"/>
          <w:lang w:val="en-CA"/>
        </w:rPr>
        <w:t>.</w:t>
      </w:r>
      <w:r w:rsidR="00293BC3" w:rsidRPr="00AA6144">
        <w:rPr>
          <w:rStyle w:val="verdana"/>
          <w:color w:val="auto"/>
          <w:lang w:val="en-CA"/>
        </w:rPr>
        <w:t xml:space="preserve"> The Ontario Court of Appeal in </w:t>
      </w:r>
      <w:r w:rsidR="00293BC3" w:rsidRPr="00AA6144">
        <w:rPr>
          <w:rStyle w:val="verdana"/>
          <w:i/>
          <w:color w:val="auto"/>
          <w:lang w:val="en-CA"/>
        </w:rPr>
        <w:t xml:space="preserve">Philippines (Republic) v. </w:t>
      </w:r>
      <w:proofErr w:type="spellStart"/>
      <w:r w:rsidR="00293BC3" w:rsidRPr="00AA6144">
        <w:rPr>
          <w:rStyle w:val="verdana"/>
          <w:i/>
          <w:color w:val="auto"/>
          <w:lang w:val="en-CA"/>
        </w:rPr>
        <w:t>Pacificador</w:t>
      </w:r>
      <w:proofErr w:type="spellEnd"/>
      <w:r w:rsidR="00293BC3" w:rsidRPr="00AA6144">
        <w:rPr>
          <w:rStyle w:val="verdana"/>
          <w:color w:val="auto"/>
          <w:lang w:val="en-CA"/>
        </w:rPr>
        <w:t xml:space="preserve">, </w:t>
      </w:r>
      <w:r w:rsidR="00E76886" w:rsidRPr="00AA6144">
        <w:rPr>
          <w:rStyle w:val="verdana"/>
          <w:color w:val="auto"/>
          <w:lang w:val="en-CA"/>
        </w:rPr>
        <w:t xml:space="preserve">ruled that subjecting the person sought to </w:t>
      </w:r>
      <w:r w:rsidR="00156AF4" w:rsidRPr="00AA6144">
        <w:rPr>
          <w:rStyle w:val="verdana"/>
          <w:color w:val="auto"/>
          <w:lang w:val="en-CA"/>
        </w:rPr>
        <w:t xml:space="preserve">the potential </w:t>
      </w:r>
      <w:r w:rsidR="00F1068E" w:rsidRPr="00AA6144">
        <w:rPr>
          <w:rStyle w:val="verdana"/>
          <w:color w:val="auto"/>
          <w:lang w:val="en-CA"/>
        </w:rPr>
        <w:t xml:space="preserve">extensive </w:t>
      </w:r>
      <w:r w:rsidR="00156AF4" w:rsidRPr="00AA6144">
        <w:rPr>
          <w:rStyle w:val="verdana"/>
          <w:color w:val="auto"/>
          <w:lang w:val="en-CA"/>
        </w:rPr>
        <w:t xml:space="preserve">delay experienced by other co-accused </w:t>
      </w:r>
      <w:r w:rsidR="00F316BD" w:rsidRPr="00AA6144">
        <w:rPr>
          <w:rStyle w:val="verdana"/>
          <w:color w:val="auto"/>
          <w:lang w:val="en-CA"/>
        </w:rPr>
        <w:t xml:space="preserve">would make his surrender “simply </w:t>
      </w:r>
      <w:r w:rsidR="00347C98" w:rsidRPr="00AA6144">
        <w:rPr>
          <w:rStyle w:val="verdana"/>
          <w:color w:val="auto"/>
          <w:lang w:val="en-CA"/>
        </w:rPr>
        <w:t>unacceptable</w:t>
      </w:r>
      <w:r w:rsidR="001A2ABA" w:rsidRPr="00AA6144">
        <w:rPr>
          <w:rStyle w:val="verdana"/>
          <w:color w:val="auto"/>
          <w:lang w:val="en-CA"/>
        </w:rPr>
        <w:t>”</w:t>
      </w:r>
      <w:r w:rsidR="00347C98" w:rsidRPr="00AA6144">
        <w:rPr>
          <w:rStyle w:val="verdana"/>
          <w:color w:val="auto"/>
          <w:lang w:val="en-CA"/>
        </w:rPr>
        <w:t xml:space="preserve"> as the manner in which this prosecution has been conducted in the courts of the Philippines </w:t>
      </w:r>
      <w:r w:rsidR="001A2ABA" w:rsidRPr="00AA6144">
        <w:rPr>
          <w:rStyle w:val="verdana"/>
          <w:color w:val="auto"/>
          <w:lang w:val="en-CA"/>
        </w:rPr>
        <w:t>“</w:t>
      </w:r>
      <w:r w:rsidR="00347C98" w:rsidRPr="00AA6144">
        <w:rPr>
          <w:rStyle w:val="verdana"/>
          <w:color w:val="auto"/>
          <w:lang w:val="en-CA"/>
        </w:rPr>
        <w:t>shocks the conscience</w:t>
      </w:r>
      <w:r w:rsidR="00F1068E" w:rsidRPr="00AA6144">
        <w:rPr>
          <w:rStyle w:val="verdana"/>
          <w:color w:val="auto"/>
          <w:lang w:val="en-CA"/>
        </w:rPr>
        <w:t>”</w:t>
      </w:r>
      <w:r w:rsidR="00347C98" w:rsidRPr="00AA6144">
        <w:rPr>
          <w:rStyle w:val="verdana"/>
          <w:color w:val="auto"/>
          <w:lang w:val="en-CA"/>
        </w:rPr>
        <w:t xml:space="preserve"> and </w:t>
      </w:r>
      <w:r w:rsidR="00447107" w:rsidRPr="00AA6144">
        <w:rPr>
          <w:rStyle w:val="verdana"/>
          <w:color w:val="auto"/>
          <w:lang w:val="en-CA"/>
        </w:rPr>
        <w:t xml:space="preserve">would violate his </w:t>
      </w:r>
      <w:r w:rsidR="00447107" w:rsidRPr="00AA6144">
        <w:rPr>
          <w:rStyle w:val="verdana"/>
          <w:i/>
          <w:color w:val="auto"/>
          <w:lang w:val="en-CA"/>
        </w:rPr>
        <w:t xml:space="preserve">Charter </w:t>
      </w:r>
      <w:r w:rsidR="00447107" w:rsidRPr="00AA6144">
        <w:rPr>
          <w:rStyle w:val="verdana"/>
          <w:color w:val="auto"/>
          <w:lang w:val="en-CA"/>
        </w:rPr>
        <w:t>section 7</w:t>
      </w:r>
      <w:r w:rsidR="00347C98" w:rsidRPr="00AA6144">
        <w:rPr>
          <w:rStyle w:val="verdana"/>
          <w:color w:val="auto"/>
          <w:lang w:val="en-CA"/>
        </w:rPr>
        <w:t xml:space="preserve"> rights.</w:t>
      </w:r>
      <w:r w:rsidR="00F1068E" w:rsidRPr="00AA6144">
        <w:rPr>
          <w:rStyle w:val="FootnoteReference"/>
          <w:color w:val="auto"/>
          <w:lang w:val="en-CA"/>
        </w:rPr>
        <w:footnoteReference w:id="566"/>
      </w:r>
    </w:p>
    <w:p w14:paraId="511C6068" w14:textId="77777777" w:rsidR="00CD7926" w:rsidRPr="00AA6144" w:rsidRDefault="009E3308" w:rsidP="009E3308">
      <w:pPr>
        <w:pStyle w:val="Heading4"/>
        <w:rPr>
          <w:iCs/>
          <w:color w:val="auto"/>
          <w:lang w:val="en-CA"/>
        </w:rPr>
      </w:pPr>
      <w:bookmarkStart w:id="230" w:name="_Toc220954494"/>
      <w:bookmarkStart w:id="231" w:name="_Toc294914669"/>
      <w:bookmarkStart w:id="232" w:name="_Toc43382776"/>
      <w:r w:rsidRPr="00AA6144">
        <w:rPr>
          <w:color w:val="auto"/>
          <w:lang w:val="en-CA"/>
        </w:rPr>
        <w:t xml:space="preserve">7.1.2.2. Torture and other cruel, </w:t>
      </w:r>
      <w:proofErr w:type="gramStart"/>
      <w:r w:rsidRPr="00AA6144">
        <w:rPr>
          <w:color w:val="auto"/>
          <w:lang w:val="en-CA"/>
        </w:rPr>
        <w:t>inhuman</w:t>
      </w:r>
      <w:proofErr w:type="gramEnd"/>
      <w:r w:rsidRPr="00AA6144">
        <w:rPr>
          <w:color w:val="auto"/>
          <w:lang w:val="en-CA"/>
        </w:rPr>
        <w:t xml:space="preserve"> or degrading treatment or punishment</w:t>
      </w:r>
      <w:bookmarkStart w:id="233" w:name="_Toc294914670"/>
      <w:bookmarkEnd w:id="229"/>
      <w:bookmarkEnd w:id="230"/>
      <w:bookmarkEnd w:id="231"/>
      <w:bookmarkEnd w:id="232"/>
    </w:p>
    <w:p w14:paraId="48AB6713" w14:textId="38476C62" w:rsidR="00CE38CD" w:rsidRPr="00AA6144" w:rsidRDefault="00751E03" w:rsidP="00CD7926">
      <w:pPr>
        <w:rPr>
          <w:rStyle w:val="verdana"/>
          <w:color w:val="auto"/>
          <w:lang w:val="en-CA"/>
        </w:rPr>
      </w:pPr>
      <w:r>
        <w:rPr>
          <w:color w:val="auto"/>
          <w:lang w:val="en-CA"/>
        </w:rPr>
        <w:t xml:space="preserve">Despite what article 3 of </w:t>
      </w:r>
      <w:r w:rsidR="00F81F21">
        <w:rPr>
          <w:color w:val="auto"/>
          <w:lang w:val="en-CA"/>
        </w:rPr>
        <w:t>the Torture Convention provides, t</w:t>
      </w:r>
      <w:r w:rsidR="009E3308" w:rsidRPr="00AA6144">
        <w:rPr>
          <w:color w:val="auto"/>
          <w:lang w:val="en-CA"/>
        </w:rPr>
        <w:t xml:space="preserve">here is no express prohibition </w:t>
      </w:r>
      <w:r w:rsidR="00A65475" w:rsidRPr="00AA6144">
        <w:rPr>
          <w:color w:val="auto"/>
          <w:lang w:val="en-CA"/>
        </w:rPr>
        <w:t>against extraditing</w:t>
      </w:r>
      <w:r w:rsidR="009E3308" w:rsidRPr="00AA6144">
        <w:rPr>
          <w:color w:val="auto"/>
          <w:lang w:val="en-CA"/>
        </w:rPr>
        <w:t xml:space="preserve"> a </w:t>
      </w:r>
      <w:r w:rsidR="005A40E8" w:rsidRPr="00AA6144">
        <w:rPr>
          <w:color w:val="auto"/>
          <w:lang w:val="en-CA"/>
        </w:rPr>
        <w:t>person sough</w:t>
      </w:r>
      <w:r w:rsidR="00104ED0" w:rsidRPr="00AA6144">
        <w:rPr>
          <w:color w:val="auto"/>
          <w:lang w:val="en-CA"/>
        </w:rPr>
        <w:t>t</w:t>
      </w:r>
      <w:r w:rsidR="00A65475" w:rsidRPr="00AA6144">
        <w:rPr>
          <w:color w:val="auto"/>
          <w:lang w:val="en-CA"/>
        </w:rPr>
        <w:t xml:space="preserve"> from Canada</w:t>
      </w:r>
      <w:r w:rsidR="009E3308" w:rsidRPr="00AA6144">
        <w:rPr>
          <w:color w:val="auto"/>
          <w:lang w:val="en-CA"/>
        </w:rPr>
        <w:t xml:space="preserve"> on the ground</w:t>
      </w:r>
      <w:r w:rsidR="005A40E8" w:rsidRPr="00AA6144">
        <w:rPr>
          <w:color w:val="auto"/>
          <w:lang w:val="en-CA"/>
        </w:rPr>
        <w:t>s</w:t>
      </w:r>
      <w:r w:rsidR="009E3308" w:rsidRPr="00AA6144">
        <w:rPr>
          <w:color w:val="auto"/>
          <w:lang w:val="en-CA"/>
        </w:rPr>
        <w:t xml:space="preserve"> that he or she might face the risk of torture or other ill-treatment</w:t>
      </w:r>
      <w:r w:rsidR="00A65475" w:rsidRPr="00AA6144">
        <w:rPr>
          <w:color w:val="auto"/>
          <w:lang w:val="en-CA"/>
        </w:rPr>
        <w:t>. H</w:t>
      </w:r>
      <w:r w:rsidR="009E3308" w:rsidRPr="00AA6144">
        <w:rPr>
          <w:color w:val="auto"/>
          <w:lang w:val="en-CA"/>
        </w:rPr>
        <w:t>owever</w:t>
      </w:r>
      <w:r w:rsidR="00A65475" w:rsidRPr="00AA6144">
        <w:rPr>
          <w:color w:val="auto"/>
          <w:lang w:val="en-CA"/>
        </w:rPr>
        <w:t>,</w:t>
      </w:r>
      <w:r w:rsidR="009E3308" w:rsidRPr="00AA6144">
        <w:rPr>
          <w:color w:val="auto"/>
          <w:lang w:val="en-CA"/>
        </w:rPr>
        <w:t xml:space="preserve"> the </w:t>
      </w:r>
      <w:r w:rsidR="00A65475" w:rsidRPr="00AA6144">
        <w:rPr>
          <w:i/>
          <w:color w:val="auto"/>
          <w:lang w:val="en-CA"/>
        </w:rPr>
        <w:t xml:space="preserve">Canadian </w:t>
      </w:r>
      <w:r w:rsidR="009E3308" w:rsidRPr="00AA6144">
        <w:rPr>
          <w:i/>
          <w:color w:val="auto"/>
          <w:lang w:val="en-CA"/>
        </w:rPr>
        <w:t>Charter</w:t>
      </w:r>
      <w:r w:rsidR="00A65475" w:rsidRPr="00AA6144">
        <w:rPr>
          <w:i/>
          <w:color w:val="auto"/>
          <w:lang w:val="en-CA"/>
        </w:rPr>
        <w:t xml:space="preserve"> of Rights and Freedoms</w:t>
      </w:r>
      <w:r w:rsidR="009E3308" w:rsidRPr="00AA6144">
        <w:rPr>
          <w:i/>
          <w:color w:val="auto"/>
          <w:lang w:val="en-CA"/>
        </w:rPr>
        <w:t xml:space="preserve"> </w:t>
      </w:r>
      <w:r w:rsidR="009E3308" w:rsidRPr="00AA6144">
        <w:rPr>
          <w:color w:val="auto"/>
          <w:lang w:val="en-CA"/>
        </w:rPr>
        <w:t>appl</w:t>
      </w:r>
      <w:r w:rsidR="00A65475" w:rsidRPr="00AA6144">
        <w:rPr>
          <w:color w:val="auto"/>
          <w:lang w:val="en-CA"/>
        </w:rPr>
        <w:t>ies</w:t>
      </w:r>
      <w:r w:rsidR="009E3308" w:rsidRPr="00AA6144">
        <w:rPr>
          <w:color w:val="auto"/>
          <w:lang w:val="en-CA"/>
        </w:rPr>
        <w:t xml:space="preserve"> to the decision to extradite at all stages of the </w:t>
      </w:r>
      <w:r w:rsidR="00A65475" w:rsidRPr="00AA6144">
        <w:rPr>
          <w:color w:val="auto"/>
          <w:lang w:val="en-CA"/>
        </w:rPr>
        <w:t>process</w:t>
      </w:r>
      <w:r w:rsidR="009E3308" w:rsidRPr="00AA6144">
        <w:rPr>
          <w:color w:val="auto"/>
          <w:lang w:val="en-CA"/>
        </w:rPr>
        <w:t>.</w:t>
      </w:r>
      <w:r w:rsidR="009E3308" w:rsidRPr="00AA6144">
        <w:rPr>
          <w:rStyle w:val="FootnoteReference"/>
          <w:color w:val="auto"/>
          <w:lang w:val="en-CA"/>
        </w:rPr>
        <w:footnoteReference w:id="567"/>
      </w:r>
      <w:r w:rsidR="009E3308" w:rsidRPr="00AA6144">
        <w:rPr>
          <w:color w:val="auto"/>
          <w:lang w:val="en-CA"/>
        </w:rPr>
        <w:t xml:space="preserve">  These </w:t>
      </w:r>
      <w:r w:rsidR="009E3308" w:rsidRPr="00AA6144">
        <w:rPr>
          <w:i/>
          <w:color w:val="auto"/>
          <w:lang w:val="en-CA"/>
        </w:rPr>
        <w:t xml:space="preserve">Charter </w:t>
      </w:r>
      <w:r w:rsidR="009E3308" w:rsidRPr="00AA6144">
        <w:rPr>
          <w:color w:val="auto"/>
          <w:lang w:val="en-CA"/>
        </w:rPr>
        <w:t xml:space="preserve">guarantees include the right of all persons not to be deprived of life, liberty or security of the person except in accordance with the principles of fundamental justice (section 7) and the right of all persons not to be subject to any cruel and unusual treatment or punishment (section 12), both of which are implicated </w:t>
      </w:r>
      <w:r w:rsidR="00A65475" w:rsidRPr="00AA6144">
        <w:rPr>
          <w:color w:val="auto"/>
          <w:lang w:val="en-CA"/>
        </w:rPr>
        <w:t>where an</w:t>
      </w:r>
      <w:r w:rsidR="009E3308" w:rsidRPr="00AA6144">
        <w:rPr>
          <w:color w:val="auto"/>
          <w:lang w:val="en-CA"/>
        </w:rPr>
        <w:t xml:space="preserve"> individual faces a serious risk of torture as a result of extradition.  As noted above, the Supreme Court</w:t>
      </w:r>
      <w:r w:rsidR="00A65475" w:rsidRPr="00AA6144">
        <w:rPr>
          <w:color w:val="auto"/>
          <w:lang w:val="en-CA"/>
        </w:rPr>
        <w:t xml:space="preserve"> of Canada</w:t>
      </w:r>
      <w:r w:rsidR="009E3308" w:rsidRPr="00AA6144">
        <w:rPr>
          <w:color w:val="auto"/>
          <w:lang w:val="en-CA"/>
        </w:rPr>
        <w:t xml:space="preserve"> has ruled that section 7 will be violated </w:t>
      </w:r>
      <w:r w:rsidR="00A65475" w:rsidRPr="00AA6144">
        <w:rPr>
          <w:color w:val="auto"/>
          <w:lang w:val="en-CA"/>
        </w:rPr>
        <w:t>when a person is extradited or deported</w:t>
      </w:r>
      <w:r w:rsidR="00A21407" w:rsidRPr="00AA6144">
        <w:rPr>
          <w:color w:val="auto"/>
          <w:lang w:val="en-CA"/>
        </w:rPr>
        <w:t xml:space="preserve"> </w:t>
      </w:r>
      <w:r w:rsidR="00104ED0" w:rsidRPr="00AA6144">
        <w:rPr>
          <w:color w:val="auto"/>
          <w:lang w:val="en-CA"/>
        </w:rPr>
        <w:t xml:space="preserve">to </w:t>
      </w:r>
      <w:r w:rsidR="009E3308" w:rsidRPr="00AA6144">
        <w:rPr>
          <w:color w:val="auto"/>
          <w:lang w:val="en-CA"/>
        </w:rPr>
        <w:t>torture</w:t>
      </w:r>
      <w:r w:rsidR="00A65475" w:rsidRPr="00AA6144">
        <w:rPr>
          <w:color w:val="auto"/>
          <w:lang w:val="en-CA"/>
        </w:rPr>
        <w:t xml:space="preserve">, </w:t>
      </w:r>
      <w:r w:rsidR="009E3308" w:rsidRPr="00AA6144">
        <w:rPr>
          <w:color w:val="auto"/>
          <w:lang w:val="en-CA"/>
        </w:rPr>
        <w:t>unduly harsh sentences</w:t>
      </w:r>
      <w:r w:rsidR="00A65475" w:rsidRPr="00AA6144">
        <w:rPr>
          <w:color w:val="auto"/>
          <w:lang w:val="en-CA"/>
        </w:rPr>
        <w:t>,</w:t>
      </w:r>
      <w:r w:rsidR="009E3308" w:rsidRPr="00AA6144">
        <w:rPr>
          <w:color w:val="auto"/>
          <w:lang w:val="en-CA"/>
        </w:rPr>
        <w:t xml:space="preserve"> or</w:t>
      </w:r>
      <w:r w:rsidR="00A65475" w:rsidRPr="00AA6144">
        <w:rPr>
          <w:color w:val="auto"/>
          <w:lang w:val="en-CA"/>
        </w:rPr>
        <w:t xml:space="preserve"> other</w:t>
      </w:r>
      <w:r w:rsidR="009E3308" w:rsidRPr="00AA6144">
        <w:rPr>
          <w:color w:val="auto"/>
          <w:lang w:val="en-CA"/>
        </w:rPr>
        <w:t xml:space="preserve"> treatment that “shock the conscience” of Canadian society.  In </w:t>
      </w:r>
      <w:r w:rsidR="009E3308" w:rsidRPr="00AA6144">
        <w:rPr>
          <w:i/>
          <w:color w:val="auto"/>
          <w:lang w:val="en-CA"/>
        </w:rPr>
        <w:t>Suresh v. Canada (Minister of Citizenship and Immigration)</w:t>
      </w:r>
      <w:r w:rsidR="009E3308" w:rsidRPr="00AA6144">
        <w:rPr>
          <w:color w:val="auto"/>
          <w:lang w:val="en-CA"/>
        </w:rPr>
        <w:t>, the Supreme Court of Canada reviewed a decision to deport to Sri Lanka an individual suspected of membership and involvement in fundraising for the Liberation Tigers of Tamil Eelam (“LTTE”), despite the fact that members of the group had previously been subjected to torture by the Sri Lankan government.</w:t>
      </w:r>
      <w:r w:rsidR="009E3308" w:rsidRPr="00AA6144">
        <w:rPr>
          <w:rStyle w:val="FootnoteReference"/>
          <w:color w:val="auto"/>
          <w:lang w:val="en-CA"/>
        </w:rPr>
        <w:footnoteReference w:id="568"/>
      </w:r>
      <w:r w:rsidR="009E3308" w:rsidRPr="00AA6144">
        <w:rPr>
          <w:color w:val="auto"/>
          <w:lang w:val="en-CA"/>
        </w:rPr>
        <w:t xml:space="preserve">  Looking to its jurisprudence on extradition in the context of</w:t>
      </w:r>
      <w:r w:rsidR="00104ED0" w:rsidRPr="00AA6144">
        <w:rPr>
          <w:color w:val="auto"/>
          <w:lang w:val="en-CA"/>
        </w:rPr>
        <w:t xml:space="preserve"> the principle of </w:t>
      </w:r>
      <w:r w:rsidR="00104ED0" w:rsidRPr="00AA6144">
        <w:rPr>
          <w:i/>
          <w:color w:val="auto"/>
          <w:lang w:val="en-CA"/>
        </w:rPr>
        <w:t>non-</w:t>
      </w:r>
      <w:r w:rsidR="009E3308" w:rsidRPr="00AA6144">
        <w:rPr>
          <w:i/>
          <w:color w:val="auto"/>
          <w:lang w:val="en-CA"/>
        </w:rPr>
        <w:t>refoulement</w:t>
      </w:r>
      <w:r w:rsidR="009E3308" w:rsidRPr="00AA6144">
        <w:rPr>
          <w:color w:val="auto"/>
          <w:lang w:val="en-CA"/>
        </w:rPr>
        <w:t xml:space="preserve">, the Court ruled that the appropriate standard in determining whether any such deprivation of life, liberty and security of the person is in accordance with the principles of fundamental justice pursuant to the </w:t>
      </w:r>
      <w:r w:rsidR="009E3308" w:rsidRPr="00AA6144">
        <w:rPr>
          <w:i/>
          <w:color w:val="auto"/>
          <w:lang w:val="en-CA"/>
        </w:rPr>
        <w:t xml:space="preserve">Charter </w:t>
      </w:r>
      <w:r w:rsidR="009E3308" w:rsidRPr="00AA6144">
        <w:rPr>
          <w:color w:val="auto"/>
          <w:lang w:val="en-CA"/>
        </w:rPr>
        <w:t>is whether such treatment or punishment “shocks the conscience” of Canadian society.</w:t>
      </w:r>
      <w:r w:rsidR="009E3308" w:rsidRPr="00AA6144">
        <w:rPr>
          <w:rStyle w:val="FootnoteReference"/>
          <w:color w:val="auto"/>
          <w:lang w:val="en-CA"/>
        </w:rPr>
        <w:footnoteReference w:id="569"/>
      </w:r>
      <w:r w:rsidR="009E3308" w:rsidRPr="00AA6144">
        <w:rPr>
          <w:color w:val="auto"/>
          <w:lang w:val="en-CA"/>
        </w:rPr>
        <w:t xml:space="preserve">  The Court ruled that it would generally violate the </w:t>
      </w:r>
      <w:r w:rsidR="009E3308" w:rsidRPr="00AA6144">
        <w:rPr>
          <w:i/>
          <w:iCs/>
          <w:color w:val="auto"/>
          <w:lang w:val="en-CA"/>
        </w:rPr>
        <w:t xml:space="preserve">Charter </w:t>
      </w:r>
      <w:r w:rsidR="009E3308" w:rsidRPr="00AA6144">
        <w:rPr>
          <w:iCs/>
          <w:color w:val="auto"/>
          <w:lang w:val="en-CA"/>
        </w:rPr>
        <w:t xml:space="preserve">and shock the conscience </w:t>
      </w:r>
      <w:r w:rsidR="009E3308" w:rsidRPr="00AA6144">
        <w:rPr>
          <w:color w:val="auto"/>
          <w:lang w:val="en-CA"/>
        </w:rPr>
        <w:t xml:space="preserve">to deport a refugee to a nation where grounds exist to believe that such deportation would subject the refugee to a substantial risk of torture, absent procedural safeguards </w:t>
      </w:r>
      <w:r w:rsidR="009E3308" w:rsidRPr="00AA6144">
        <w:rPr>
          <w:iCs/>
          <w:color w:val="auto"/>
          <w:lang w:val="en-CA"/>
        </w:rPr>
        <w:t xml:space="preserve">required </w:t>
      </w:r>
      <w:r w:rsidR="009E3308" w:rsidRPr="00AA6144">
        <w:rPr>
          <w:color w:val="auto"/>
          <w:lang w:val="en-CA"/>
        </w:rPr>
        <w:t xml:space="preserve">to protect his right to life, liberty and security of the person. </w:t>
      </w:r>
      <w:r w:rsidR="00876F98" w:rsidRPr="00AA6144">
        <w:rPr>
          <w:rStyle w:val="verdana"/>
          <w:color w:val="auto"/>
          <w:lang w:val="en-CA"/>
        </w:rPr>
        <w:t>The</w:t>
      </w:r>
      <w:r w:rsidR="009E3308" w:rsidRPr="00AA6144">
        <w:rPr>
          <w:rStyle w:val="verdana"/>
          <w:color w:val="auto"/>
          <w:lang w:val="en-CA"/>
        </w:rPr>
        <w:t xml:space="preserve"> Court ruled explicitly that “</w:t>
      </w:r>
      <w:r w:rsidR="009E3308" w:rsidRPr="00AA6144">
        <w:rPr>
          <w:color w:val="auto"/>
          <w:lang w:val="en-CA"/>
        </w:rPr>
        <w:t xml:space="preserve">this showing [of the risk of torture] need not be proof of the risk of torture to that person, but the individual must make out a </w:t>
      </w:r>
      <w:r w:rsidR="009E3308" w:rsidRPr="00AA6144">
        <w:rPr>
          <w:i/>
          <w:iCs/>
          <w:color w:val="auto"/>
          <w:lang w:val="en-CA"/>
        </w:rPr>
        <w:t>prima facie</w:t>
      </w:r>
      <w:r w:rsidR="009E3308" w:rsidRPr="00AA6144">
        <w:rPr>
          <w:color w:val="auto"/>
          <w:lang w:val="en-CA"/>
        </w:rPr>
        <w:t xml:space="preserve"> case that there may be a risk of torture upon deportation</w:t>
      </w:r>
      <w:r w:rsidR="00876F98" w:rsidRPr="00AA6144">
        <w:rPr>
          <w:color w:val="auto"/>
          <w:lang w:val="en-CA"/>
        </w:rPr>
        <w:t>.”</w:t>
      </w:r>
      <w:r w:rsidR="00876F98" w:rsidRPr="00AA6144">
        <w:rPr>
          <w:rStyle w:val="FootnoteReference"/>
          <w:color w:val="auto"/>
          <w:lang w:val="en-CA"/>
        </w:rPr>
        <w:footnoteReference w:id="570"/>
      </w:r>
      <w:r w:rsidR="00876F98" w:rsidRPr="00AA6144">
        <w:rPr>
          <w:color w:val="auto"/>
          <w:lang w:val="en-CA"/>
        </w:rPr>
        <w:t xml:space="preserve"> </w:t>
      </w:r>
      <w:r w:rsidR="00A65475" w:rsidRPr="00AA6144">
        <w:rPr>
          <w:color w:val="auto"/>
          <w:lang w:val="en-CA"/>
        </w:rPr>
        <w:t>While this was a deportation case, a parallel analysis is applicable in the context of extradition.</w:t>
      </w:r>
    </w:p>
    <w:p w14:paraId="729E0FF4" w14:textId="77777777" w:rsidR="00264DA6" w:rsidRPr="00AA6144" w:rsidRDefault="009E3308" w:rsidP="00CD7926">
      <w:pPr>
        <w:rPr>
          <w:color w:val="auto"/>
          <w:lang w:val="en-CA"/>
        </w:rPr>
      </w:pPr>
      <w:r w:rsidRPr="00AA6144">
        <w:rPr>
          <w:rStyle w:val="verdana"/>
          <w:color w:val="auto"/>
          <w:lang w:val="en-CA"/>
        </w:rPr>
        <w:t xml:space="preserve">The </w:t>
      </w:r>
      <w:r w:rsidR="00264DA6" w:rsidRPr="00AA6144">
        <w:rPr>
          <w:rStyle w:val="verdana"/>
          <w:color w:val="auto"/>
          <w:lang w:val="en-CA"/>
        </w:rPr>
        <w:t>Supreme Cour</w:t>
      </w:r>
      <w:r w:rsidR="00A65475" w:rsidRPr="00AA6144">
        <w:rPr>
          <w:rStyle w:val="verdana"/>
          <w:color w:val="auto"/>
          <w:lang w:val="en-CA"/>
        </w:rPr>
        <w:t>t of Canada</w:t>
      </w:r>
      <w:r w:rsidR="00264DA6" w:rsidRPr="00AA6144">
        <w:rPr>
          <w:rStyle w:val="verdana"/>
          <w:color w:val="auto"/>
          <w:lang w:val="en-CA"/>
        </w:rPr>
        <w:t xml:space="preserve"> in</w:t>
      </w:r>
      <w:r w:rsidRPr="00AA6144">
        <w:rPr>
          <w:rStyle w:val="verdana"/>
          <w:color w:val="auto"/>
          <w:lang w:val="en-CA"/>
        </w:rPr>
        <w:t xml:space="preserve"> </w:t>
      </w:r>
      <w:proofErr w:type="spellStart"/>
      <w:r w:rsidR="00264DA6" w:rsidRPr="00AA6144">
        <w:rPr>
          <w:rStyle w:val="verdana"/>
          <w:i/>
          <w:color w:val="auto"/>
          <w:lang w:val="en-CA"/>
        </w:rPr>
        <w:t>Németh</w:t>
      </w:r>
      <w:proofErr w:type="spellEnd"/>
      <w:r w:rsidR="00264DA6" w:rsidRPr="00AA6144">
        <w:rPr>
          <w:rStyle w:val="verdana"/>
          <w:i/>
          <w:color w:val="auto"/>
          <w:lang w:val="en-CA"/>
        </w:rPr>
        <w:t xml:space="preserve"> v. Canada (Justice)</w:t>
      </w:r>
      <w:r w:rsidR="00264DA6" w:rsidRPr="00AA6144">
        <w:rPr>
          <w:rStyle w:val="verdana"/>
          <w:color w:val="auto"/>
          <w:lang w:val="en-CA"/>
        </w:rPr>
        <w:t xml:space="preserve"> </w:t>
      </w:r>
      <w:r w:rsidR="00A65475" w:rsidRPr="00AA6144">
        <w:rPr>
          <w:rStyle w:val="verdana"/>
          <w:color w:val="auto"/>
          <w:lang w:val="en-CA"/>
        </w:rPr>
        <w:t>noted</w:t>
      </w:r>
      <w:r w:rsidR="00264DA6" w:rsidRPr="00AA6144">
        <w:rPr>
          <w:rStyle w:val="verdana"/>
          <w:color w:val="auto"/>
          <w:lang w:val="en-CA"/>
        </w:rPr>
        <w:t xml:space="preserve"> that “it is critical to </w:t>
      </w:r>
      <w:r w:rsidR="00264DA6" w:rsidRPr="00AA6144">
        <w:rPr>
          <w:color w:val="auto"/>
          <w:lang w:val="en-CA"/>
        </w:rPr>
        <w:t>understand that s. 44(1)(</w:t>
      </w:r>
      <w:r w:rsidR="00264DA6" w:rsidRPr="00AA6144">
        <w:rPr>
          <w:i/>
          <w:iCs/>
          <w:color w:val="auto"/>
          <w:lang w:val="en-CA"/>
        </w:rPr>
        <w:t>b</w:t>
      </w:r>
      <w:r w:rsidR="00264DA6" w:rsidRPr="00AA6144">
        <w:rPr>
          <w:color w:val="auto"/>
          <w:lang w:val="en-CA"/>
        </w:rPr>
        <w:t xml:space="preserve">) [of the </w:t>
      </w:r>
      <w:r w:rsidR="00264DA6" w:rsidRPr="00AA6144">
        <w:rPr>
          <w:i/>
          <w:color w:val="auto"/>
          <w:lang w:val="en-CA"/>
        </w:rPr>
        <w:t>Extradition Act</w:t>
      </w:r>
      <w:r w:rsidR="00264DA6" w:rsidRPr="00AA6144">
        <w:rPr>
          <w:color w:val="auto"/>
          <w:lang w:val="en-CA"/>
        </w:rPr>
        <w:t xml:space="preserve">] is Canada's primary legislative vehicle to give effect to Canada's </w:t>
      </w:r>
      <w:r w:rsidR="00264DA6" w:rsidRPr="00AA6144">
        <w:rPr>
          <w:i/>
          <w:iCs/>
          <w:color w:val="auto"/>
          <w:lang w:val="en-CA"/>
        </w:rPr>
        <w:t>non-refoulement</w:t>
      </w:r>
      <w:r w:rsidR="00264DA6" w:rsidRPr="00AA6144">
        <w:rPr>
          <w:color w:val="auto"/>
          <w:lang w:val="en-CA"/>
        </w:rPr>
        <w:t xml:space="preserve"> obligations when a refugee is sought for extradition.”</w:t>
      </w:r>
      <w:r w:rsidR="00264DA6" w:rsidRPr="00AA6144">
        <w:rPr>
          <w:rStyle w:val="FootnoteReference"/>
          <w:color w:val="auto"/>
          <w:lang w:val="en-CA"/>
        </w:rPr>
        <w:footnoteReference w:id="571"/>
      </w:r>
      <w:r w:rsidR="00884D64" w:rsidRPr="00AA6144">
        <w:rPr>
          <w:color w:val="auto"/>
          <w:lang w:val="en-CA"/>
        </w:rPr>
        <w:t xml:space="preserve"> The Court held that</w:t>
      </w:r>
      <w:r w:rsidR="00CA7E1D" w:rsidRPr="00AA6144">
        <w:rPr>
          <w:color w:val="auto"/>
          <w:lang w:val="en-CA"/>
        </w:rPr>
        <w:t xml:space="preserve"> the </w:t>
      </w:r>
      <w:r w:rsidR="000A7305" w:rsidRPr="00AA6144">
        <w:rPr>
          <w:color w:val="auto"/>
          <w:lang w:val="en-CA"/>
        </w:rPr>
        <w:t>grounds of discrimination</w:t>
      </w:r>
      <w:r w:rsidR="00CA7E1D" w:rsidRPr="00AA6144">
        <w:rPr>
          <w:color w:val="auto"/>
          <w:lang w:val="en-CA"/>
        </w:rPr>
        <w:t xml:space="preserve"> </w:t>
      </w:r>
      <w:r w:rsidR="002C1EF6" w:rsidRPr="00AA6144">
        <w:rPr>
          <w:color w:val="auto"/>
          <w:lang w:val="en-CA"/>
        </w:rPr>
        <w:t xml:space="preserve">listed at the beginning of section 44(1)(b) </w:t>
      </w:r>
      <w:r w:rsidR="000A7305" w:rsidRPr="00AA6144">
        <w:rPr>
          <w:color w:val="auto"/>
          <w:lang w:val="en-CA"/>
        </w:rPr>
        <w:t>are</w:t>
      </w:r>
      <w:r w:rsidR="00CA7E1D" w:rsidRPr="00AA6144">
        <w:rPr>
          <w:color w:val="auto"/>
          <w:lang w:val="en-CA"/>
        </w:rPr>
        <w:t xml:space="preserve"> not limited to the position of the person with respect to the prosecution or punishment in the requesting state.</w:t>
      </w:r>
      <w:r w:rsidR="00ED3C2F" w:rsidRPr="00AA6144">
        <w:rPr>
          <w:rStyle w:val="FootnoteReference"/>
          <w:color w:val="auto"/>
          <w:lang w:val="en-CA"/>
        </w:rPr>
        <w:footnoteReference w:id="572"/>
      </w:r>
      <w:r w:rsidR="00876F98" w:rsidRPr="00AA6144">
        <w:rPr>
          <w:color w:val="auto"/>
          <w:lang w:val="en-CA"/>
        </w:rPr>
        <w:t xml:space="preserve"> </w:t>
      </w:r>
    </w:p>
    <w:p w14:paraId="34D6EB7E" w14:textId="77777777" w:rsidR="00B77F87" w:rsidRPr="00AA6144" w:rsidRDefault="00876F98" w:rsidP="00CD7926">
      <w:pPr>
        <w:rPr>
          <w:rStyle w:val="verdana"/>
          <w:color w:val="auto"/>
          <w:lang w:val="en-CA"/>
        </w:rPr>
      </w:pPr>
      <w:r w:rsidRPr="00AA6144">
        <w:rPr>
          <w:color w:val="auto"/>
          <w:lang w:val="en-CA"/>
        </w:rPr>
        <w:t xml:space="preserve">The ruling in </w:t>
      </w:r>
      <w:r w:rsidRPr="00AA6144">
        <w:rPr>
          <w:i/>
          <w:color w:val="auto"/>
          <w:lang w:val="en-CA"/>
        </w:rPr>
        <w:t>Suresh</w:t>
      </w:r>
      <w:r w:rsidRPr="00AA6144">
        <w:rPr>
          <w:color w:val="auto"/>
          <w:lang w:val="en-CA"/>
        </w:rPr>
        <w:t xml:space="preserve"> has been </w:t>
      </w:r>
      <w:r w:rsidR="00A65475" w:rsidRPr="00AA6144">
        <w:rPr>
          <w:color w:val="auto"/>
          <w:lang w:val="en-CA"/>
        </w:rPr>
        <w:t>interpreted narrowly by lower courts in</w:t>
      </w:r>
      <w:r w:rsidRPr="00AA6144">
        <w:rPr>
          <w:color w:val="auto"/>
          <w:lang w:val="en-CA"/>
        </w:rPr>
        <w:t xml:space="preserve"> subsequent extradition jurisprudence</w:t>
      </w:r>
      <w:r w:rsidRPr="00AA6144">
        <w:rPr>
          <w:rStyle w:val="verdana"/>
          <w:color w:val="auto"/>
          <w:lang w:val="en-CA"/>
        </w:rPr>
        <w:t>, requiring individuals to adduce specific evidence that they personally face</w:t>
      </w:r>
      <w:r w:rsidR="00381953" w:rsidRPr="00AA6144">
        <w:rPr>
          <w:rStyle w:val="verdana"/>
          <w:color w:val="auto"/>
          <w:lang w:val="en-CA"/>
        </w:rPr>
        <w:t xml:space="preserve"> a substantial risk of torture.</w:t>
      </w:r>
      <w:r w:rsidRPr="00AA6144">
        <w:rPr>
          <w:rStyle w:val="verdana"/>
          <w:color w:val="auto"/>
          <w:lang w:val="en-CA"/>
        </w:rPr>
        <w:t xml:space="preserve"> </w:t>
      </w:r>
      <w:r w:rsidR="00381953" w:rsidRPr="00AA6144">
        <w:rPr>
          <w:rStyle w:val="verdana"/>
          <w:color w:val="auto"/>
          <w:lang w:val="en-CA"/>
        </w:rPr>
        <w:t>For example, r</w:t>
      </w:r>
      <w:r w:rsidR="009E3308" w:rsidRPr="00AA6144">
        <w:rPr>
          <w:rStyle w:val="verdana"/>
          <w:color w:val="auto"/>
          <w:lang w:val="en-CA"/>
        </w:rPr>
        <w:t>eports of inadequate conditions of detention in the United States</w:t>
      </w:r>
      <w:r w:rsidR="009E3308" w:rsidRPr="00AA6144">
        <w:rPr>
          <w:rStyle w:val="FootnoteReference"/>
          <w:color w:val="auto"/>
          <w:lang w:val="en-CA"/>
        </w:rPr>
        <w:footnoteReference w:id="573"/>
      </w:r>
      <w:r w:rsidR="00A65475" w:rsidRPr="00AA6144">
        <w:rPr>
          <w:rStyle w:val="verdana"/>
          <w:color w:val="auto"/>
          <w:lang w:val="en-CA"/>
        </w:rPr>
        <w:t xml:space="preserve"> and</w:t>
      </w:r>
      <w:r w:rsidR="009E3308" w:rsidRPr="00AA6144">
        <w:rPr>
          <w:rStyle w:val="verdana"/>
          <w:color w:val="auto"/>
          <w:lang w:val="en-CA"/>
        </w:rPr>
        <w:t xml:space="preserve"> </w:t>
      </w:r>
      <w:r w:rsidR="00A65475" w:rsidRPr="00AA6144">
        <w:rPr>
          <w:rStyle w:val="verdana"/>
          <w:color w:val="auto"/>
          <w:lang w:val="en-CA"/>
        </w:rPr>
        <w:t xml:space="preserve">reports </w:t>
      </w:r>
      <w:r w:rsidR="009E3308" w:rsidRPr="00AA6144">
        <w:rPr>
          <w:rStyle w:val="verdana"/>
          <w:color w:val="auto"/>
          <w:lang w:val="en-CA"/>
        </w:rPr>
        <w:t>from credible international organizations describing cases of torture in Spain</w:t>
      </w:r>
      <w:r w:rsidR="009E3308" w:rsidRPr="00AA6144">
        <w:rPr>
          <w:rStyle w:val="FootnoteReference"/>
          <w:color w:val="auto"/>
          <w:lang w:val="en-CA"/>
        </w:rPr>
        <w:footnoteReference w:id="574"/>
      </w:r>
      <w:r w:rsidR="009E3308" w:rsidRPr="00AA6144">
        <w:rPr>
          <w:rStyle w:val="verdana"/>
          <w:color w:val="auto"/>
          <w:lang w:val="en-CA"/>
        </w:rPr>
        <w:t xml:space="preserve"> were not sufficient to challenge extradition.</w:t>
      </w:r>
    </w:p>
    <w:p w14:paraId="34151153" w14:textId="77777777" w:rsidR="009E3308" w:rsidRPr="00AA6144" w:rsidRDefault="009E3308" w:rsidP="008604B1">
      <w:pPr>
        <w:rPr>
          <w:rStyle w:val="verdana"/>
          <w:color w:val="auto"/>
          <w:lang w:val="en-CA"/>
        </w:rPr>
      </w:pPr>
      <w:r w:rsidRPr="00AA6144">
        <w:rPr>
          <w:rStyle w:val="verdana"/>
          <w:color w:val="auto"/>
          <w:lang w:val="en-CA"/>
        </w:rPr>
        <w:t>The factors for determining whether general concerns of a risk of torture can operate to deny extradition in a specific case are</w:t>
      </w:r>
      <w:r w:rsidR="002E175E" w:rsidRPr="00AA6144">
        <w:rPr>
          <w:rStyle w:val="verdana"/>
          <w:color w:val="auto"/>
          <w:lang w:val="en-CA"/>
        </w:rPr>
        <w:t>,</w:t>
      </w:r>
      <w:r w:rsidRPr="00AA6144">
        <w:rPr>
          <w:rStyle w:val="verdana"/>
          <w:color w:val="auto"/>
          <w:lang w:val="en-CA"/>
        </w:rPr>
        <w:t xml:space="preserve"> whether potential persecution is such that it “sufficiently shocks the conscience” and would be “fundamentally unacceptable to our society,” and whether the applicant has demonstrated that he</w:t>
      </w:r>
      <w:r w:rsidR="002E175E" w:rsidRPr="00AA6144">
        <w:rPr>
          <w:rStyle w:val="verdana"/>
          <w:color w:val="auto"/>
          <w:lang w:val="en-CA"/>
        </w:rPr>
        <w:t xml:space="preserve"> or she</w:t>
      </w:r>
      <w:r w:rsidRPr="00AA6144">
        <w:rPr>
          <w:rStyle w:val="verdana"/>
          <w:color w:val="auto"/>
          <w:lang w:val="en-CA"/>
        </w:rPr>
        <w:t xml:space="preserve"> will in fact face persecution if extradited.</w:t>
      </w:r>
      <w:r w:rsidR="00826A38" w:rsidRPr="00AA6144">
        <w:rPr>
          <w:rStyle w:val="FootnoteReference"/>
          <w:color w:val="auto"/>
          <w:lang w:val="en-CA"/>
        </w:rPr>
        <w:footnoteReference w:id="575"/>
      </w:r>
      <w:r w:rsidR="00E67B7E" w:rsidRPr="00AA6144">
        <w:rPr>
          <w:rStyle w:val="verdana"/>
          <w:color w:val="auto"/>
          <w:lang w:val="en-CA"/>
        </w:rPr>
        <w:t xml:space="preserve"> </w:t>
      </w:r>
      <w:r w:rsidR="006B4783" w:rsidRPr="00AA6144">
        <w:rPr>
          <w:rStyle w:val="verdana"/>
          <w:color w:val="auto"/>
          <w:lang w:val="en-CA"/>
        </w:rPr>
        <w:t xml:space="preserve">The recent ruling by the Ontario Court of Appeal in </w:t>
      </w:r>
      <w:r w:rsidR="006B4783" w:rsidRPr="00AA6144">
        <w:rPr>
          <w:rStyle w:val="verdana"/>
          <w:i/>
          <w:color w:val="auto"/>
          <w:lang w:val="en-CA"/>
        </w:rPr>
        <w:t>France (Republic) v. Diab</w:t>
      </w:r>
      <w:r w:rsidR="00744CA8" w:rsidRPr="00AA6144">
        <w:rPr>
          <w:rStyle w:val="FootnoteReference"/>
          <w:i/>
          <w:color w:val="auto"/>
          <w:lang w:val="en-CA"/>
        </w:rPr>
        <w:footnoteReference w:id="576"/>
      </w:r>
      <w:r w:rsidR="006B4783" w:rsidRPr="00AA6144">
        <w:rPr>
          <w:rStyle w:val="verdana"/>
          <w:color w:val="auto"/>
          <w:lang w:val="en-CA"/>
        </w:rPr>
        <w:t xml:space="preserve"> set</w:t>
      </w:r>
      <w:r w:rsidR="00C37E43" w:rsidRPr="00AA6144">
        <w:rPr>
          <w:rStyle w:val="verdana"/>
          <w:color w:val="auto"/>
          <w:lang w:val="en-CA"/>
        </w:rPr>
        <w:t>s</w:t>
      </w:r>
      <w:r w:rsidR="006B4783" w:rsidRPr="00AA6144">
        <w:rPr>
          <w:rStyle w:val="verdana"/>
          <w:color w:val="auto"/>
          <w:lang w:val="en-CA"/>
        </w:rPr>
        <w:t xml:space="preserve"> out a two-step test to be applied in cases involving </w:t>
      </w:r>
      <w:r w:rsidR="00AB268E" w:rsidRPr="00AA6144">
        <w:rPr>
          <w:rStyle w:val="verdana"/>
          <w:color w:val="auto"/>
          <w:lang w:val="en-CA"/>
        </w:rPr>
        <w:t>a decision by the Justice Minister</w:t>
      </w:r>
      <w:r w:rsidR="006B4783" w:rsidRPr="00AA6144">
        <w:rPr>
          <w:rStyle w:val="verdana"/>
          <w:color w:val="auto"/>
          <w:lang w:val="en-CA"/>
        </w:rPr>
        <w:t xml:space="preserve"> regarding the surrender of a person </w:t>
      </w:r>
      <w:r w:rsidR="00AB268E" w:rsidRPr="00AA6144">
        <w:rPr>
          <w:rStyle w:val="verdana"/>
          <w:color w:val="auto"/>
          <w:lang w:val="en-CA"/>
        </w:rPr>
        <w:t>who alleges</w:t>
      </w:r>
      <w:r w:rsidR="006B4783" w:rsidRPr="00AA6144">
        <w:rPr>
          <w:rStyle w:val="verdana"/>
          <w:color w:val="auto"/>
          <w:lang w:val="en-CA"/>
        </w:rPr>
        <w:t xml:space="preserve"> that he or she may face prosecution on the basis of intelligence-sourced evidence tainted by torture.</w:t>
      </w:r>
      <w:r w:rsidR="00C30AAA" w:rsidRPr="00AA6144">
        <w:rPr>
          <w:rStyle w:val="verdana"/>
          <w:color w:val="auto"/>
          <w:lang w:val="en-CA"/>
        </w:rPr>
        <w:t xml:space="preserve"> The test requires a “plausible connection” to be shown between the evidence being cha</w:t>
      </w:r>
      <w:r w:rsidR="00AB268E" w:rsidRPr="00AA6144">
        <w:rPr>
          <w:rStyle w:val="verdana"/>
          <w:color w:val="auto"/>
          <w:lang w:val="en-CA"/>
        </w:rPr>
        <w:t xml:space="preserve">llenged and the use of torture </w:t>
      </w:r>
      <w:r w:rsidR="00C30AAA" w:rsidRPr="00AA6144">
        <w:rPr>
          <w:rStyle w:val="verdana"/>
          <w:color w:val="auto"/>
          <w:lang w:val="en-CA"/>
        </w:rPr>
        <w:t xml:space="preserve">and </w:t>
      </w:r>
      <w:r w:rsidR="00AB268E" w:rsidRPr="00AA6144">
        <w:rPr>
          <w:rStyle w:val="verdana"/>
          <w:color w:val="auto"/>
          <w:lang w:val="en-CA"/>
        </w:rPr>
        <w:t>that the</w:t>
      </w:r>
      <w:r w:rsidR="00C30AAA" w:rsidRPr="00AA6144">
        <w:rPr>
          <w:rStyle w:val="verdana"/>
          <w:color w:val="auto"/>
          <w:lang w:val="en-CA"/>
        </w:rPr>
        <w:t xml:space="preserve"> Minister take steps to make further inquiries to satisfy himself or herself that there is no “real risk” that evidence obtained through torture will be used in the foreign proceeding.</w:t>
      </w:r>
    </w:p>
    <w:p w14:paraId="27465ABF" w14:textId="77777777" w:rsidR="009E3308" w:rsidRPr="00AA6144" w:rsidRDefault="009E3308" w:rsidP="00C97A36">
      <w:pPr>
        <w:pStyle w:val="Heading4"/>
        <w:rPr>
          <w:color w:val="auto"/>
          <w:lang w:val="en-CA"/>
        </w:rPr>
      </w:pPr>
      <w:bookmarkStart w:id="234" w:name="_Toc43382777"/>
      <w:r w:rsidRPr="00AA6144">
        <w:rPr>
          <w:color w:val="auto"/>
          <w:lang w:val="en-CA"/>
        </w:rPr>
        <w:t>7.1.2.3. Death penalty</w:t>
      </w:r>
      <w:bookmarkEnd w:id="233"/>
      <w:bookmarkEnd w:id="234"/>
    </w:p>
    <w:p w14:paraId="511410B3" w14:textId="77777777" w:rsidR="009E3308" w:rsidRPr="00AA6144" w:rsidRDefault="009E3308" w:rsidP="00CD7926">
      <w:pPr>
        <w:rPr>
          <w:rStyle w:val="italic"/>
          <w:color w:val="auto"/>
          <w:lang w:val="en-CA"/>
        </w:rPr>
      </w:pPr>
      <w:r w:rsidRPr="00AA6144">
        <w:rPr>
          <w:color w:val="auto"/>
          <w:lang w:val="en-CA"/>
        </w:rPr>
        <w:t xml:space="preserve">There </w:t>
      </w:r>
      <w:r w:rsidR="007D2CEB" w:rsidRPr="00AA6144">
        <w:rPr>
          <w:color w:val="auto"/>
          <w:lang w:val="en-CA"/>
        </w:rPr>
        <w:t xml:space="preserve">are </w:t>
      </w:r>
      <w:r w:rsidRPr="00AA6144">
        <w:rPr>
          <w:color w:val="auto"/>
          <w:lang w:val="en-CA"/>
        </w:rPr>
        <w:t xml:space="preserve">no </w:t>
      </w:r>
      <w:r w:rsidR="007D2CEB" w:rsidRPr="00AA6144">
        <w:rPr>
          <w:color w:val="auto"/>
          <w:lang w:val="en-CA"/>
        </w:rPr>
        <w:t xml:space="preserve">mandatory grounds for refusing to surrender a person sought to face the death penalty </w:t>
      </w:r>
      <w:r w:rsidRPr="00AA6144">
        <w:rPr>
          <w:color w:val="auto"/>
          <w:lang w:val="en-CA"/>
        </w:rPr>
        <w:t xml:space="preserve">in the </w:t>
      </w:r>
      <w:r w:rsidRPr="00AA6144">
        <w:rPr>
          <w:i/>
          <w:color w:val="auto"/>
          <w:lang w:val="en-CA"/>
        </w:rPr>
        <w:t>Extradition Act</w:t>
      </w:r>
      <w:r w:rsidR="007D2CEB" w:rsidRPr="00AA6144">
        <w:rPr>
          <w:color w:val="auto"/>
          <w:lang w:val="en-CA"/>
        </w:rPr>
        <w:t>.</w:t>
      </w:r>
      <w:r w:rsidRPr="00AA6144" w:rsidDel="00C00024">
        <w:rPr>
          <w:color w:val="auto"/>
          <w:lang w:val="en-CA"/>
        </w:rPr>
        <w:t xml:space="preserve"> </w:t>
      </w:r>
      <w:r w:rsidRPr="00AA6144">
        <w:rPr>
          <w:color w:val="auto"/>
          <w:lang w:val="en-CA"/>
        </w:rPr>
        <w:t>However, section 44(2) stipulates that “the Minister may refuse to make a surrender order if the Minister is satisfied that the conduct in respect of which the request for extradition is made is punishable</w:t>
      </w:r>
      <w:r w:rsidR="00D24316" w:rsidRPr="00AA6144">
        <w:rPr>
          <w:color w:val="auto"/>
          <w:lang w:val="en-CA"/>
        </w:rPr>
        <w:t xml:space="preserve"> </w:t>
      </w:r>
      <w:r w:rsidRPr="00AA6144">
        <w:rPr>
          <w:color w:val="auto"/>
          <w:lang w:val="en-CA"/>
        </w:rPr>
        <w:t>by death under the laws that apply to the extradition partner.</w:t>
      </w:r>
      <w:r w:rsidR="000F0C79" w:rsidRPr="00AA6144">
        <w:rPr>
          <w:color w:val="auto"/>
          <w:lang w:val="en-CA"/>
        </w:rPr>
        <w:t>”</w:t>
      </w:r>
      <w:r w:rsidRPr="00AA6144">
        <w:rPr>
          <w:rStyle w:val="FootnoteReference"/>
          <w:color w:val="auto"/>
          <w:lang w:val="en-CA"/>
        </w:rPr>
        <w:footnoteReference w:id="577"/>
      </w:r>
      <w:r w:rsidRPr="00AA6144">
        <w:rPr>
          <w:color w:val="auto"/>
          <w:lang w:val="en-CA"/>
        </w:rPr>
        <w:t xml:space="preserve"> While the terms of the act indicate that this is a discretionary decision, d</w:t>
      </w:r>
      <w:r w:rsidRPr="00AA6144">
        <w:rPr>
          <w:rStyle w:val="verdana"/>
          <w:color w:val="auto"/>
          <w:lang w:val="en-CA"/>
        </w:rPr>
        <w:t xml:space="preserve">ecisions of the Minister are open to scrutiny by the </w:t>
      </w:r>
      <w:r w:rsidR="00826A38" w:rsidRPr="00AA6144">
        <w:rPr>
          <w:rStyle w:val="verdana"/>
          <w:color w:val="auto"/>
          <w:lang w:val="en-CA"/>
        </w:rPr>
        <w:t>Human Rights Committee,</w:t>
      </w:r>
      <w:r w:rsidR="008604B1" w:rsidRPr="00AA6144">
        <w:rPr>
          <w:rStyle w:val="verdana"/>
          <w:color w:val="auto"/>
          <w:lang w:val="en-CA"/>
        </w:rPr>
        <w:t xml:space="preserve"> a UN treaty body</w:t>
      </w:r>
      <w:r w:rsidR="00826A38" w:rsidRPr="00AA6144">
        <w:rPr>
          <w:rStyle w:val="verdana"/>
          <w:color w:val="auto"/>
          <w:lang w:val="en-CA"/>
        </w:rPr>
        <w:t xml:space="preserve"> established</w:t>
      </w:r>
      <w:r w:rsidRPr="00AA6144">
        <w:rPr>
          <w:rStyle w:val="verdana"/>
          <w:color w:val="auto"/>
          <w:lang w:val="en-CA"/>
        </w:rPr>
        <w:t xml:space="preserve"> </w:t>
      </w:r>
      <w:r w:rsidR="008604B1" w:rsidRPr="00AA6144">
        <w:rPr>
          <w:rStyle w:val="verdana"/>
          <w:color w:val="auto"/>
          <w:lang w:val="en-CA"/>
        </w:rPr>
        <w:t>by</w:t>
      </w:r>
      <w:r w:rsidRPr="00AA6144">
        <w:rPr>
          <w:rStyle w:val="verdana"/>
          <w:color w:val="auto"/>
          <w:lang w:val="en-CA"/>
        </w:rPr>
        <w:t xml:space="preserve"> the </w:t>
      </w:r>
      <w:r w:rsidRPr="00AA6144">
        <w:rPr>
          <w:rStyle w:val="italic"/>
          <w:i/>
          <w:color w:val="auto"/>
          <w:lang w:val="en-CA"/>
        </w:rPr>
        <w:t xml:space="preserve">International Covenant on Civil and Political Rights </w:t>
      </w:r>
      <w:r w:rsidRPr="00AA6144">
        <w:rPr>
          <w:rStyle w:val="italic"/>
          <w:color w:val="auto"/>
          <w:lang w:val="en-CA"/>
        </w:rPr>
        <w:t xml:space="preserve">and its </w:t>
      </w:r>
      <w:r w:rsidR="0014429A" w:rsidRPr="00AA6144">
        <w:rPr>
          <w:rStyle w:val="italic"/>
          <w:color w:val="auto"/>
          <w:lang w:val="en-CA"/>
        </w:rPr>
        <w:t>Second</w:t>
      </w:r>
      <w:r w:rsidR="00826A38" w:rsidRPr="00AA6144">
        <w:rPr>
          <w:rStyle w:val="italic"/>
          <w:color w:val="auto"/>
          <w:lang w:val="en-CA"/>
        </w:rPr>
        <w:t xml:space="preserve"> </w:t>
      </w:r>
      <w:r w:rsidRPr="00AA6144">
        <w:rPr>
          <w:rStyle w:val="italic"/>
          <w:color w:val="auto"/>
          <w:lang w:val="en-CA"/>
        </w:rPr>
        <w:t xml:space="preserve">Optional </w:t>
      </w:r>
      <w:r w:rsidR="00873D3D" w:rsidRPr="00AA6144">
        <w:rPr>
          <w:rStyle w:val="italic"/>
          <w:color w:val="auto"/>
          <w:lang w:val="en-CA"/>
        </w:rPr>
        <w:t>Protocol</w:t>
      </w:r>
      <w:r w:rsidRPr="00AA6144">
        <w:rPr>
          <w:rStyle w:val="italic"/>
          <w:color w:val="auto"/>
          <w:lang w:val="en-CA"/>
        </w:rPr>
        <w:t>,</w:t>
      </w:r>
      <w:r w:rsidRPr="00AA6144">
        <w:rPr>
          <w:rStyle w:val="FootnoteReference"/>
          <w:color w:val="auto"/>
          <w:lang w:val="en-CA"/>
        </w:rPr>
        <w:footnoteReference w:id="578"/>
      </w:r>
      <w:r w:rsidRPr="00AA6144">
        <w:rPr>
          <w:rStyle w:val="italic"/>
          <w:color w:val="auto"/>
          <w:lang w:val="en-CA"/>
        </w:rPr>
        <w:t xml:space="preserve"> which has in the past found that Canada failed in its international obligation under these conventions in deporting an individual to face the death penalty.</w:t>
      </w:r>
      <w:r w:rsidRPr="00AA6144">
        <w:rPr>
          <w:rStyle w:val="FootnoteReference"/>
          <w:color w:val="auto"/>
          <w:lang w:val="en-CA"/>
        </w:rPr>
        <w:footnoteReference w:id="579"/>
      </w:r>
      <w:r w:rsidRPr="00AA6144">
        <w:rPr>
          <w:rStyle w:val="italic"/>
          <w:color w:val="auto"/>
          <w:lang w:val="en-CA"/>
        </w:rPr>
        <w:t xml:space="preserve">  </w:t>
      </w:r>
      <w:r w:rsidR="008B5B69" w:rsidRPr="00AA6144">
        <w:rPr>
          <w:rStyle w:val="italic"/>
          <w:color w:val="auto"/>
          <w:lang w:val="en-CA"/>
        </w:rPr>
        <w:t xml:space="preserve">In </w:t>
      </w:r>
      <w:r w:rsidR="008B5B69" w:rsidRPr="00AA6144">
        <w:rPr>
          <w:rStyle w:val="italic"/>
          <w:i/>
          <w:color w:val="auto"/>
          <w:lang w:val="en-CA"/>
        </w:rPr>
        <w:t>United States v. Burns</w:t>
      </w:r>
      <w:r w:rsidR="008B5B69" w:rsidRPr="00AA6144">
        <w:rPr>
          <w:rStyle w:val="italic"/>
          <w:color w:val="auto"/>
          <w:lang w:val="en-CA"/>
        </w:rPr>
        <w:t>,</w:t>
      </w:r>
      <w:r w:rsidR="008B5B69" w:rsidRPr="00AA6144">
        <w:rPr>
          <w:rStyle w:val="italic"/>
          <w:i/>
          <w:color w:val="auto"/>
          <w:lang w:val="en-CA"/>
        </w:rPr>
        <w:t xml:space="preserve"> </w:t>
      </w:r>
      <w:r w:rsidR="008B5B69" w:rsidRPr="00AA6144">
        <w:rPr>
          <w:rStyle w:val="italic"/>
          <w:color w:val="auto"/>
          <w:lang w:val="en-CA"/>
        </w:rPr>
        <w:t xml:space="preserve">the </w:t>
      </w:r>
      <w:r w:rsidRPr="00AA6144">
        <w:rPr>
          <w:rStyle w:val="italic"/>
          <w:color w:val="auto"/>
          <w:lang w:val="en-CA"/>
        </w:rPr>
        <w:t xml:space="preserve">Supreme Court of Canada </w:t>
      </w:r>
      <w:r w:rsidR="008B5B69" w:rsidRPr="00AA6144">
        <w:rPr>
          <w:rStyle w:val="italic"/>
          <w:color w:val="auto"/>
          <w:lang w:val="en-CA"/>
        </w:rPr>
        <w:t>held</w:t>
      </w:r>
      <w:r w:rsidRPr="00AA6144">
        <w:rPr>
          <w:rStyle w:val="italic"/>
          <w:color w:val="auto"/>
          <w:lang w:val="en-CA"/>
        </w:rPr>
        <w:t xml:space="preserve"> that</w:t>
      </w:r>
      <w:r w:rsidR="008B5B69" w:rsidRPr="00AA6144">
        <w:rPr>
          <w:rStyle w:val="italic"/>
          <w:color w:val="auto"/>
          <w:lang w:val="en-CA"/>
        </w:rPr>
        <w:t xml:space="preserve"> the</w:t>
      </w:r>
      <w:r w:rsidRPr="00AA6144">
        <w:rPr>
          <w:rStyle w:val="italic"/>
          <w:color w:val="auto"/>
          <w:lang w:val="en-CA"/>
        </w:rPr>
        <w:t xml:space="preserve"> failure to seek assurance that the death penalty would not be applied as a precondition to extradition was an unjustifiable </w:t>
      </w:r>
      <w:r w:rsidR="008B5B69" w:rsidRPr="00AA6144">
        <w:rPr>
          <w:rStyle w:val="italic"/>
          <w:color w:val="auto"/>
          <w:lang w:val="en-CA"/>
        </w:rPr>
        <w:t>infringement</w:t>
      </w:r>
      <w:r w:rsidRPr="00AA6144">
        <w:rPr>
          <w:rStyle w:val="italic"/>
          <w:color w:val="auto"/>
          <w:lang w:val="en-CA"/>
        </w:rPr>
        <w:t xml:space="preserve"> of the </w:t>
      </w:r>
      <w:r w:rsidR="0008632A" w:rsidRPr="00AA6144">
        <w:rPr>
          <w:rStyle w:val="italic"/>
          <w:color w:val="auto"/>
          <w:lang w:val="en-CA"/>
        </w:rPr>
        <w:t xml:space="preserve">section 7 </w:t>
      </w:r>
      <w:r w:rsidR="0008632A" w:rsidRPr="00AA6144">
        <w:rPr>
          <w:rStyle w:val="italic"/>
          <w:i/>
          <w:color w:val="auto"/>
          <w:lang w:val="en-CA"/>
        </w:rPr>
        <w:t xml:space="preserve">Charter </w:t>
      </w:r>
      <w:r w:rsidRPr="00AA6144">
        <w:rPr>
          <w:rStyle w:val="italic"/>
          <w:color w:val="auto"/>
          <w:lang w:val="en-CA"/>
        </w:rPr>
        <w:t xml:space="preserve">rights of the </w:t>
      </w:r>
      <w:r w:rsidR="0008632A" w:rsidRPr="00AA6144">
        <w:rPr>
          <w:rStyle w:val="italic"/>
          <w:color w:val="auto"/>
          <w:lang w:val="en-CA"/>
        </w:rPr>
        <w:t xml:space="preserve">person </w:t>
      </w:r>
      <w:r w:rsidR="008125F0" w:rsidRPr="00AA6144">
        <w:rPr>
          <w:rStyle w:val="italic"/>
          <w:color w:val="auto"/>
          <w:lang w:val="en-CA"/>
        </w:rPr>
        <w:t xml:space="preserve">sought </w:t>
      </w:r>
      <w:r w:rsidRPr="00AA6144">
        <w:rPr>
          <w:rStyle w:val="italic"/>
          <w:color w:val="auto"/>
          <w:lang w:val="en-CA"/>
        </w:rPr>
        <w:t>in all but exceptional cases</w:t>
      </w:r>
      <w:r w:rsidR="0008632A" w:rsidRPr="00AA6144">
        <w:rPr>
          <w:rStyle w:val="italic"/>
          <w:color w:val="auto"/>
          <w:lang w:val="en-CA"/>
        </w:rPr>
        <w:t>.</w:t>
      </w:r>
      <w:r w:rsidRPr="00AA6144">
        <w:rPr>
          <w:rStyle w:val="FootnoteReference"/>
          <w:color w:val="auto"/>
          <w:lang w:val="en-CA"/>
        </w:rPr>
        <w:footnoteReference w:id="580"/>
      </w:r>
      <w:r w:rsidRPr="00AA6144">
        <w:rPr>
          <w:rStyle w:val="italic"/>
          <w:color w:val="auto"/>
          <w:lang w:val="en-CA"/>
        </w:rPr>
        <w:t xml:space="preserve">  The Court ruled that any violation of a principle of fundamental justice will always shock the conscience, thereby triggering the protections of section 7 of the </w:t>
      </w:r>
      <w:r w:rsidRPr="00AA6144">
        <w:rPr>
          <w:rStyle w:val="italic"/>
          <w:i/>
          <w:color w:val="auto"/>
          <w:lang w:val="en-CA"/>
        </w:rPr>
        <w:t>Charter</w:t>
      </w:r>
      <w:r w:rsidR="00826A38" w:rsidRPr="00AA6144">
        <w:rPr>
          <w:rStyle w:val="italic"/>
          <w:color w:val="auto"/>
          <w:lang w:val="en-CA"/>
        </w:rPr>
        <w:t>.</w:t>
      </w:r>
      <w:r w:rsidR="00826A38" w:rsidRPr="00AA6144">
        <w:rPr>
          <w:rStyle w:val="FootnoteReference"/>
          <w:color w:val="auto"/>
          <w:lang w:val="en-CA"/>
        </w:rPr>
        <w:footnoteReference w:id="581"/>
      </w:r>
      <w:r w:rsidR="008125F0" w:rsidRPr="00AA6144">
        <w:rPr>
          <w:rStyle w:val="italic"/>
          <w:color w:val="auto"/>
          <w:lang w:val="en-CA"/>
        </w:rPr>
        <w:t xml:space="preserve"> </w:t>
      </w:r>
      <w:r w:rsidR="00826A38" w:rsidRPr="00AA6144">
        <w:rPr>
          <w:rStyle w:val="italic"/>
          <w:color w:val="auto"/>
          <w:lang w:val="en-CA"/>
        </w:rPr>
        <w:t xml:space="preserve"> </w:t>
      </w:r>
      <w:r w:rsidR="008125F0" w:rsidRPr="00AA6144">
        <w:rPr>
          <w:rStyle w:val="italic"/>
          <w:color w:val="auto"/>
          <w:lang w:val="en-CA"/>
        </w:rPr>
        <w:t xml:space="preserve">The Court further noted </w:t>
      </w:r>
      <w:r w:rsidRPr="00AA6144">
        <w:rPr>
          <w:rStyle w:val="italic"/>
          <w:color w:val="auto"/>
          <w:lang w:val="en-CA"/>
        </w:rPr>
        <w:t>that in assessing these principles</w:t>
      </w:r>
      <w:r w:rsidR="008125F0" w:rsidRPr="00AA6144">
        <w:rPr>
          <w:rStyle w:val="italic"/>
          <w:color w:val="auto"/>
          <w:lang w:val="en-CA"/>
        </w:rPr>
        <w:t xml:space="preserve"> </w:t>
      </w:r>
      <w:r w:rsidRPr="00AA6144">
        <w:rPr>
          <w:rStyle w:val="verdana"/>
          <w:color w:val="auto"/>
          <w:lang w:val="en-CA"/>
        </w:rPr>
        <w:t>in particular cases</w:t>
      </w:r>
      <w:r w:rsidR="008125F0" w:rsidRPr="00AA6144">
        <w:rPr>
          <w:rStyle w:val="verdana"/>
          <w:color w:val="auto"/>
          <w:lang w:val="en-CA"/>
        </w:rPr>
        <w:t>,</w:t>
      </w:r>
      <w:r w:rsidRPr="00AA6144">
        <w:rPr>
          <w:rStyle w:val="verdana"/>
          <w:color w:val="auto"/>
          <w:lang w:val="en-CA"/>
        </w:rPr>
        <w:t xml:space="preserve"> the Minister must take note of factual developments in Canada and in relevant foreign jurisdictions</w:t>
      </w:r>
      <w:r w:rsidR="00A106F8" w:rsidRPr="00AA6144">
        <w:rPr>
          <w:rStyle w:val="verdana"/>
          <w:color w:val="auto"/>
          <w:lang w:val="en-CA"/>
        </w:rPr>
        <w:t>,</w:t>
      </w:r>
      <w:r w:rsidRPr="00AA6144">
        <w:rPr>
          <w:rStyle w:val="verdana"/>
          <w:color w:val="auto"/>
          <w:lang w:val="en-CA"/>
        </w:rPr>
        <w:t xml:space="preserve"> including the international commitments that Canada has undertaken.</w:t>
      </w:r>
      <w:r w:rsidRPr="00AA6144">
        <w:rPr>
          <w:rStyle w:val="FootnoteReference"/>
          <w:color w:val="auto"/>
          <w:lang w:val="en-CA"/>
        </w:rPr>
        <w:footnoteReference w:id="582"/>
      </w:r>
    </w:p>
    <w:p w14:paraId="09D18F87" w14:textId="77777777" w:rsidR="009E3308" w:rsidRPr="00AA6144" w:rsidRDefault="009E3308" w:rsidP="009E3308">
      <w:pPr>
        <w:pStyle w:val="Heading4"/>
        <w:rPr>
          <w:color w:val="auto"/>
          <w:lang w:val="en-CA"/>
        </w:rPr>
      </w:pPr>
      <w:bookmarkStart w:id="235" w:name="_Toc294914671"/>
      <w:bookmarkStart w:id="236" w:name="_Toc43382778"/>
      <w:r w:rsidRPr="00AA6144">
        <w:rPr>
          <w:color w:val="auto"/>
          <w:lang w:val="en-CA"/>
        </w:rPr>
        <w:t>7.1.2.4. Other human rights safeguards</w:t>
      </w:r>
      <w:bookmarkEnd w:id="235"/>
      <w:bookmarkEnd w:id="236"/>
    </w:p>
    <w:p w14:paraId="477BE21E" w14:textId="77777777" w:rsidR="009E3308" w:rsidRPr="00AA6144" w:rsidRDefault="009E3308" w:rsidP="009E3308">
      <w:pPr>
        <w:pStyle w:val="AIBodyText"/>
        <w:rPr>
          <w:color w:val="auto"/>
          <w:lang w:val="en-CA"/>
        </w:rPr>
      </w:pPr>
      <w:r w:rsidRPr="00AA6144">
        <w:rPr>
          <w:color w:val="auto"/>
          <w:lang w:val="en-CA"/>
        </w:rPr>
        <w:t xml:space="preserve">There are no other human rights safeguards in Canadian law, apart from any other applicable human rights standards based on the </w:t>
      </w:r>
      <w:r w:rsidRPr="00AA6144">
        <w:rPr>
          <w:i/>
          <w:color w:val="auto"/>
          <w:lang w:val="en-CA"/>
        </w:rPr>
        <w:t>Charter</w:t>
      </w:r>
      <w:r w:rsidRPr="00AA6144">
        <w:rPr>
          <w:color w:val="auto"/>
          <w:lang w:val="en-CA"/>
        </w:rPr>
        <w:t>.</w:t>
      </w:r>
    </w:p>
    <w:p w14:paraId="769E7BF3" w14:textId="77777777" w:rsidR="009E3308" w:rsidRPr="00AA6144" w:rsidRDefault="009E3308" w:rsidP="009E3308">
      <w:pPr>
        <w:pStyle w:val="Heading4"/>
        <w:rPr>
          <w:color w:val="auto"/>
          <w:lang w:val="en-CA"/>
        </w:rPr>
      </w:pPr>
      <w:bookmarkStart w:id="237" w:name="_Toc193798695"/>
      <w:bookmarkStart w:id="238" w:name="_Toc220954495"/>
      <w:bookmarkStart w:id="239" w:name="_Toc294914672"/>
      <w:bookmarkStart w:id="240" w:name="_Toc43382779"/>
      <w:r w:rsidRPr="00AA6144">
        <w:rPr>
          <w:color w:val="auto"/>
          <w:lang w:val="en-CA"/>
        </w:rPr>
        <w:t>7.1.2.5. Humanitarian concerns</w:t>
      </w:r>
      <w:bookmarkEnd w:id="237"/>
      <w:bookmarkEnd w:id="238"/>
      <w:bookmarkEnd w:id="239"/>
      <w:bookmarkEnd w:id="240"/>
    </w:p>
    <w:p w14:paraId="39061E6D" w14:textId="77777777" w:rsidR="009E3308" w:rsidRPr="00AA6144" w:rsidRDefault="009E3308" w:rsidP="009E3308">
      <w:pPr>
        <w:pStyle w:val="AIBodyText"/>
        <w:rPr>
          <w:color w:val="auto"/>
          <w:lang w:val="en-CA"/>
        </w:rPr>
      </w:pPr>
      <w:r w:rsidRPr="00AA6144">
        <w:rPr>
          <w:color w:val="auto"/>
          <w:lang w:val="en-CA"/>
        </w:rPr>
        <w:t>There is no express provision in Canadian law barring extradition because of humanitarian concerns, whether that decision is made by a court or a political official. However, the Minister may refuse a request for extradition if he or she deems that “the surrender would be unjust or oppressive having regard to all the relevant circumstances.”</w:t>
      </w:r>
      <w:r w:rsidRPr="00AA6144">
        <w:rPr>
          <w:rStyle w:val="FootnoteReference"/>
          <w:color w:val="auto"/>
          <w:lang w:val="en-CA"/>
        </w:rPr>
        <w:footnoteReference w:id="583"/>
      </w:r>
      <w:r w:rsidRPr="00AA6144">
        <w:rPr>
          <w:color w:val="auto"/>
          <w:lang w:val="en-CA"/>
        </w:rPr>
        <w:t xml:space="preserve"> Such a safeguard, particularly if the decision is made by a political official instead of an independent and impartial court, could be abused, as it was in the </w:t>
      </w:r>
      <w:r w:rsidRPr="00AA6144">
        <w:rPr>
          <w:i/>
          <w:color w:val="auto"/>
          <w:lang w:val="en-CA"/>
        </w:rPr>
        <w:t>Pinochet</w:t>
      </w:r>
      <w:r w:rsidRPr="00AA6144">
        <w:rPr>
          <w:color w:val="auto"/>
          <w:lang w:val="en-CA"/>
        </w:rPr>
        <w:t xml:space="preserve"> case</w:t>
      </w:r>
      <w:r w:rsidR="00DD42A7" w:rsidRPr="00AA6144">
        <w:rPr>
          <w:color w:val="auto"/>
          <w:lang w:val="en-CA"/>
        </w:rPr>
        <w:t>.</w:t>
      </w:r>
    </w:p>
    <w:p w14:paraId="3ACA0CE5" w14:textId="77777777" w:rsidR="009E3308" w:rsidRPr="00AA6144" w:rsidRDefault="009E3308" w:rsidP="009E3308">
      <w:pPr>
        <w:pStyle w:val="Heading4"/>
        <w:rPr>
          <w:color w:val="auto"/>
          <w:lang w:val="en-CA"/>
        </w:rPr>
      </w:pPr>
      <w:bookmarkStart w:id="241" w:name="_Toc193798696"/>
      <w:bookmarkStart w:id="242" w:name="_Toc220954496"/>
      <w:bookmarkStart w:id="243" w:name="_Toc294914673"/>
      <w:bookmarkStart w:id="244" w:name="_Toc43382780"/>
      <w:r w:rsidRPr="00AA6144">
        <w:rPr>
          <w:color w:val="auto"/>
          <w:lang w:val="en-CA"/>
        </w:rPr>
        <w:t>7.1.2.6. Specialty</w:t>
      </w:r>
      <w:bookmarkEnd w:id="241"/>
      <w:bookmarkEnd w:id="242"/>
      <w:bookmarkEnd w:id="243"/>
      <w:bookmarkEnd w:id="244"/>
    </w:p>
    <w:p w14:paraId="745D8A1A" w14:textId="77777777" w:rsidR="009E3308" w:rsidRPr="00AA6144" w:rsidRDefault="009E3308" w:rsidP="009E3308">
      <w:pPr>
        <w:pStyle w:val="AIBodyText"/>
        <w:rPr>
          <w:color w:val="auto"/>
          <w:lang w:val="en-CA"/>
        </w:rPr>
      </w:pPr>
      <w:r w:rsidRPr="00AA6144">
        <w:rPr>
          <w:rStyle w:val="verdana"/>
          <w:color w:val="auto"/>
          <w:lang w:val="en-CA"/>
        </w:rPr>
        <w:t>“</w:t>
      </w:r>
      <w:bookmarkStart w:id="245" w:name="ORIGHIT_2"/>
      <w:bookmarkStart w:id="246" w:name="HIT_2"/>
      <w:bookmarkEnd w:id="245"/>
      <w:bookmarkEnd w:id="246"/>
      <w:r w:rsidRPr="00AA6144">
        <w:rPr>
          <w:rStyle w:val="hit"/>
          <w:color w:val="auto"/>
          <w:lang w:val="en-CA"/>
        </w:rPr>
        <w:t>Specialty</w:t>
      </w:r>
      <w:r w:rsidRPr="00AA6144">
        <w:rPr>
          <w:rStyle w:val="verdana"/>
          <w:color w:val="auto"/>
          <w:lang w:val="en-CA"/>
        </w:rPr>
        <w:t xml:space="preserve">” is </w:t>
      </w:r>
      <w:r w:rsidR="00C636CD" w:rsidRPr="00AA6144">
        <w:rPr>
          <w:rStyle w:val="verdana"/>
          <w:color w:val="auto"/>
          <w:lang w:val="en-CA"/>
        </w:rPr>
        <w:t xml:space="preserve">a </w:t>
      </w:r>
      <w:r w:rsidRPr="00AA6144">
        <w:rPr>
          <w:rStyle w:val="verdana"/>
          <w:color w:val="auto"/>
          <w:lang w:val="en-CA"/>
        </w:rPr>
        <w:t xml:space="preserve">principle of extradition law </w:t>
      </w:r>
      <w:r w:rsidR="00C636CD" w:rsidRPr="00AA6144">
        <w:rPr>
          <w:rStyle w:val="verdana"/>
          <w:color w:val="auto"/>
          <w:lang w:val="en-CA"/>
        </w:rPr>
        <w:t xml:space="preserve">where </w:t>
      </w:r>
      <w:r w:rsidRPr="00AA6144">
        <w:rPr>
          <w:rStyle w:val="verdana"/>
          <w:color w:val="auto"/>
          <w:lang w:val="en-CA"/>
        </w:rPr>
        <w:t>a person can only be tried on the offences for which he or she was extradited.</w:t>
      </w:r>
      <w:r w:rsidRPr="00AA6144">
        <w:rPr>
          <w:color w:val="auto"/>
          <w:lang w:val="en-CA"/>
        </w:rPr>
        <w:t xml:space="preserve">  In extradition</w:t>
      </w:r>
      <w:r w:rsidR="00627391" w:rsidRPr="00AA6144">
        <w:rPr>
          <w:color w:val="auto"/>
          <w:lang w:val="en-CA"/>
        </w:rPr>
        <w:t xml:space="preserve"> from Canada</w:t>
      </w:r>
      <w:r w:rsidRPr="00AA6144">
        <w:rPr>
          <w:color w:val="auto"/>
          <w:lang w:val="en-CA"/>
        </w:rPr>
        <w:t>, Canadian law does not limit the scope of the crimes for which the request</w:t>
      </w:r>
      <w:r w:rsidR="00627391" w:rsidRPr="00AA6144">
        <w:rPr>
          <w:color w:val="auto"/>
          <w:lang w:val="en-CA"/>
        </w:rPr>
        <w:t>ed</w:t>
      </w:r>
      <w:r w:rsidRPr="00AA6144">
        <w:rPr>
          <w:color w:val="auto"/>
          <w:lang w:val="en-CA"/>
        </w:rPr>
        <w:t xml:space="preserve"> state may exercise jurisdiction.  Because of the conduct-based approach </w:t>
      </w:r>
      <w:r w:rsidR="00627391" w:rsidRPr="00AA6144">
        <w:rPr>
          <w:color w:val="auto"/>
          <w:lang w:val="en-CA"/>
        </w:rPr>
        <w:t xml:space="preserve">of </w:t>
      </w:r>
      <w:r w:rsidRPr="00AA6144">
        <w:rPr>
          <w:color w:val="auto"/>
          <w:lang w:val="en-CA"/>
        </w:rPr>
        <w:t xml:space="preserve">the double criminality principle in Canada’s </w:t>
      </w:r>
      <w:r w:rsidRPr="00AA6144">
        <w:rPr>
          <w:i/>
          <w:color w:val="auto"/>
          <w:lang w:val="en-CA"/>
        </w:rPr>
        <w:t>Extradition Act</w:t>
      </w:r>
      <w:r w:rsidRPr="00AA6144">
        <w:rPr>
          <w:color w:val="auto"/>
          <w:lang w:val="en-CA"/>
        </w:rPr>
        <w:t>, the offen</w:t>
      </w:r>
      <w:r w:rsidR="00627391" w:rsidRPr="00AA6144">
        <w:rPr>
          <w:color w:val="auto"/>
          <w:lang w:val="en-CA"/>
        </w:rPr>
        <w:t>c</w:t>
      </w:r>
      <w:r w:rsidRPr="00AA6144">
        <w:rPr>
          <w:color w:val="auto"/>
          <w:lang w:val="en-CA"/>
        </w:rPr>
        <w:t xml:space="preserve">es specified before the extradition judge by the Minister of Justice in the </w:t>
      </w:r>
      <w:r w:rsidR="001B7079" w:rsidRPr="00AA6144">
        <w:rPr>
          <w:color w:val="auto"/>
          <w:lang w:val="en-CA"/>
        </w:rPr>
        <w:t>ATP</w:t>
      </w:r>
      <w:r w:rsidRPr="00AA6144">
        <w:rPr>
          <w:color w:val="auto"/>
          <w:lang w:val="en-CA"/>
        </w:rPr>
        <w:t xml:space="preserve"> do not need to match the offen</w:t>
      </w:r>
      <w:r w:rsidR="0083144E" w:rsidRPr="00AA6144">
        <w:rPr>
          <w:color w:val="auto"/>
          <w:lang w:val="en-CA"/>
        </w:rPr>
        <w:t>c</w:t>
      </w:r>
      <w:r w:rsidRPr="00AA6144">
        <w:rPr>
          <w:color w:val="auto"/>
          <w:lang w:val="en-CA"/>
        </w:rPr>
        <w:t xml:space="preserve">es listed in the extradition request at the judicial phase.  Similarly, committal orders from the judicial phase of the extradition process do not prevent the Minister of Justice from issuing surrender orders that allow prosecution of </w:t>
      </w:r>
      <w:r w:rsidR="0083144E" w:rsidRPr="00AA6144">
        <w:rPr>
          <w:color w:val="auto"/>
          <w:lang w:val="en-CA"/>
        </w:rPr>
        <w:t xml:space="preserve">offences </w:t>
      </w:r>
      <w:r w:rsidRPr="00AA6144">
        <w:rPr>
          <w:color w:val="auto"/>
          <w:lang w:val="en-CA"/>
        </w:rPr>
        <w:t xml:space="preserve">that were not included in the order of committal by the extradition judge. This broad discretion creates the need for the Minister of Justice to be </w:t>
      </w:r>
      <w:r w:rsidR="001D0F4D" w:rsidRPr="00AA6144">
        <w:rPr>
          <w:color w:val="auto"/>
          <w:lang w:val="en-CA"/>
        </w:rPr>
        <w:t>cautious to</w:t>
      </w:r>
      <w:r w:rsidRPr="00AA6144">
        <w:rPr>
          <w:color w:val="auto"/>
          <w:lang w:val="en-CA"/>
        </w:rPr>
        <w:t xml:space="preserve"> avoid the mischaracterization of </w:t>
      </w:r>
      <w:r w:rsidR="00475A37" w:rsidRPr="00AA6144">
        <w:rPr>
          <w:color w:val="auto"/>
          <w:lang w:val="en-CA"/>
        </w:rPr>
        <w:t>crimes under international law</w:t>
      </w:r>
      <w:r w:rsidRPr="00AA6144">
        <w:rPr>
          <w:color w:val="auto"/>
          <w:lang w:val="en-CA"/>
        </w:rPr>
        <w:t xml:space="preserve"> </w:t>
      </w:r>
      <w:r w:rsidR="001D0F4D" w:rsidRPr="00AA6144">
        <w:rPr>
          <w:color w:val="auto"/>
          <w:lang w:val="en-CA"/>
        </w:rPr>
        <w:t xml:space="preserve">when </w:t>
      </w:r>
      <w:r w:rsidRPr="00AA6144">
        <w:rPr>
          <w:color w:val="auto"/>
          <w:lang w:val="en-CA"/>
        </w:rPr>
        <w:t>defining the terms of the surrender order</w:t>
      </w:r>
      <w:r w:rsidR="00AB0B2E" w:rsidRPr="00AA6144">
        <w:rPr>
          <w:color w:val="auto"/>
          <w:lang w:val="en-CA"/>
        </w:rPr>
        <w:t xml:space="preserve"> </w:t>
      </w:r>
      <w:r w:rsidRPr="00AA6144">
        <w:rPr>
          <w:color w:val="auto"/>
          <w:lang w:val="en-CA"/>
        </w:rPr>
        <w:t xml:space="preserve">to which other nations may be bound by operation of the </w:t>
      </w:r>
      <w:r w:rsidR="00AB0B2E" w:rsidRPr="00AA6144">
        <w:rPr>
          <w:color w:val="auto"/>
          <w:lang w:val="en-CA"/>
        </w:rPr>
        <w:t>s</w:t>
      </w:r>
      <w:r w:rsidR="00417A99" w:rsidRPr="00AA6144">
        <w:rPr>
          <w:color w:val="auto"/>
          <w:lang w:val="en-CA"/>
        </w:rPr>
        <w:t>pecialty</w:t>
      </w:r>
      <w:r w:rsidRPr="00AA6144">
        <w:rPr>
          <w:color w:val="auto"/>
          <w:lang w:val="en-CA"/>
        </w:rPr>
        <w:t xml:space="preserve"> principle</w:t>
      </w:r>
      <w:r w:rsidR="00AB0B2E" w:rsidRPr="00AA6144">
        <w:rPr>
          <w:color w:val="auto"/>
          <w:lang w:val="en-CA"/>
        </w:rPr>
        <w:t>.</w:t>
      </w:r>
    </w:p>
    <w:p w14:paraId="4387EA47" w14:textId="77777777" w:rsidR="009E3308" w:rsidRPr="00AA6144" w:rsidRDefault="009E3308" w:rsidP="009E3308">
      <w:pPr>
        <w:rPr>
          <w:color w:val="auto"/>
          <w:szCs w:val="18"/>
          <w:lang w:val="en-CA"/>
        </w:rPr>
      </w:pPr>
      <w:r w:rsidRPr="00AA6144">
        <w:rPr>
          <w:color w:val="auto"/>
          <w:szCs w:val="18"/>
          <w:lang w:val="en-CA"/>
        </w:rPr>
        <w:t xml:space="preserve">The </w:t>
      </w:r>
      <w:r w:rsidR="00AB0B2E" w:rsidRPr="00AA6144">
        <w:rPr>
          <w:color w:val="auto"/>
          <w:szCs w:val="18"/>
          <w:lang w:val="en-CA"/>
        </w:rPr>
        <w:t>s</w:t>
      </w:r>
      <w:r w:rsidRPr="00AA6144">
        <w:rPr>
          <w:color w:val="auto"/>
          <w:szCs w:val="18"/>
          <w:lang w:val="en-CA"/>
        </w:rPr>
        <w:t>pecialty</w:t>
      </w:r>
      <w:r w:rsidR="00AB0B2E" w:rsidRPr="00AA6144">
        <w:rPr>
          <w:color w:val="auto"/>
          <w:szCs w:val="18"/>
          <w:lang w:val="en-CA"/>
        </w:rPr>
        <w:t xml:space="preserve"> </w:t>
      </w:r>
      <w:r w:rsidRPr="00AA6144">
        <w:rPr>
          <w:color w:val="auto"/>
          <w:szCs w:val="18"/>
          <w:lang w:val="en-CA"/>
        </w:rPr>
        <w:t>principle is incorporated in</w:t>
      </w:r>
      <w:r w:rsidR="00AB0B2E" w:rsidRPr="00AA6144">
        <w:rPr>
          <w:color w:val="auto"/>
          <w:szCs w:val="18"/>
          <w:lang w:val="en-CA"/>
        </w:rPr>
        <w:t xml:space="preserve"> Canadian law by the </w:t>
      </w:r>
      <w:r w:rsidR="00AB0B2E" w:rsidRPr="00AA6144">
        <w:rPr>
          <w:i/>
          <w:color w:val="auto"/>
          <w:szCs w:val="18"/>
          <w:lang w:val="en-CA"/>
        </w:rPr>
        <w:t xml:space="preserve">Extradition Act </w:t>
      </w:r>
      <w:r w:rsidR="00AB0B2E" w:rsidRPr="00AA6144">
        <w:rPr>
          <w:color w:val="auto"/>
          <w:szCs w:val="18"/>
          <w:lang w:val="en-CA"/>
        </w:rPr>
        <w:t xml:space="preserve">for extraditing to Canada. Section 80 of the </w:t>
      </w:r>
      <w:r w:rsidR="00AB0B2E" w:rsidRPr="00AA6144">
        <w:rPr>
          <w:i/>
          <w:color w:val="auto"/>
          <w:szCs w:val="18"/>
          <w:lang w:val="en-CA"/>
        </w:rPr>
        <w:t>Extradition Act</w:t>
      </w:r>
      <w:r w:rsidRPr="00AA6144">
        <w:rPr>
          <w:color w:val="auto"/>
          <w:szCs w:val="18"/>
          <w:lang w:val="en-CA"/>
        </w:rPr>
        <w:t xml:space="preserve"> stipulates that persons extradited to Canada cannot be detained, prosecuted, or sentenced with respect to any offen</w:t>
      </w:r>
      <w:r w:rsidR="00875A49" w:rsidRPr="00AA6144">
        <w:rPr>
          <w:color w:val="auto"/>
          <w:szCs w:val="18"/>
          <w:lang w:val="en-CA"/>
        </w:rPr>
        <w:t>c</w:t>
      </w:r>
      <w:r w:rsidRPr="00AA6144">
        <w:rPr>
          <w:color w:val="auto"/>
          <w:szCs w:val="18"/>
          <w:lang w:val="en-CA"/>
        </w:rPr>
        <w:t>es other than those enumerated in the surrender order from the requested state,</w:t>
      </w:r>
      <w:bookmarkStart w:id="247" w:name="_Ref265359345"/>
      <w:r w:rsidRPr="00AA6144">
        <w:rPr>
          <w:rStyle w:val="FootnoteReference"/>
          <w:color w:val="auto"/>
          <w:szCs w:val="18"/>
          <w:lang w:val="en-CA"/>
        </w:rPr>
        <w:footnoteReference w:id="584"/>
      </w:r>
      <w:bookmarkEnd w:id="247"/>
      <w:r w:rsidRPr="00AA6144">
        <w:rPr>
          <w:color w:val="auto"/>
          <w:szCs w:val="18"/>
          <w:lang w:val="en-CA"/>
        </w:rPr>
        <w:t xml:space="preserve"> unless consent to do so is obtained from the requested state</w:t>
      </w:r>
      <w:r w:rsidR="00875A49" w:rsidRPr="00AA6144">
        <w:rPr>
          <w:color w:val="auto"/>
          <w:szCs w:val="18"/>
          <w:lang w:val="en-CA"/>
        </w:rPr>
        <w:t>,</w:t>
      </w:r>
      <w:r w:rsidRPr="00AA6144">
        <w:rPr>
          <w:rStyle w:val="FootnoteReference"/>
          <w:color w:val="auto"/>
          <w:szCs w:val="18"/>
          <w:lang w:val="en-CA"/>
        </w:rPr>
        <w:footnoteReference w:id="585"/>
      </w:r>
      <w:r w:rsidRPr="00AA6144">
        <w:rPr>
          <w:color w:val="auto"/>
          <w:szCs w:val="18"/>
          <w:lang w:val="en-CA"/>
        </w:rPr>
        <w:t xml:space="preserve"> or from the individual being surrendered to Canada.</w:t>
      </w:r>
      <w:r w:rsidRPr="00AA6144">
        <w:rPr>
          <w:rStyle w:val="FootnoteReference"/>
          <w:color w:val="auto"/>
          <w:szCs w:val="18"/>
          <w:lang w:val="en-CA"/>
        </w:rPr>
        <w:footnoteReference w:id="586"/>
      </w:r>
      <w:r w:rsidRPr="00AA6144">
        <w:rPr>
          <w:color w:val="auto"/>
          <w:szCs w:val="18"/>
          <w:lang w:val="en-CA"/>
        </w:rPr>
        <w:t xml:space="preserve"> Canada </w:t>
      </w:r>
      <w:r w:rsidR="00875A49" w:rsidRPr="00AA6144">
        <w:rPr>
          <w:color w:val="auto"/>
          <w:szCs w:val="18"/>
          <w:lang w:val="en-CA"/>
        </w:rPr>
        <w:t xml:space="preserve">cannot </w:t>
      </w:r>
      <w:r w:rsidRPr="00AA6144">
        <w:rPr>
          <w:color w:val="auto"/>
          <w:szCs w:val="18"/>
          <w:lang w:val="en-CA"/>
        </w:rPr>
        <w:t>surrender an individual it has sought for the purposes of prosecution to a third state or entity for prosecution or the execution of a sentence</w:t>
      </w:r>
      <w:r w:rsidR="001B7079" w:rsidRPr="00AA6144">
        <w:rPr>
          <w:color w:val="auto"/>
          <w:szCs w:val="18"/>
          <w:lang w:val="en-CA"/>
        </w:rPr>
        <w:t>,</w:t>
      </w:r>
      <w:r w:rsidRPr="00AA6144">
        <w:rPr>
          <w:color w:val="auto"/>
          <w:szCs w:val="18"/>
          <w:lang w:val="en-CA"/>
        </w:rPr>
        <w:t xml:space="preserve"> unless the </w:t>
      </w:r>
      <w:r w:rsidR="00875A49" w:rsidRPr="00AA6144">
        <w:rPr>
          <w:color w:val="auto"/>
          <w:szCs w:val="18"/>
          <w:lang w:val="en-CA"/>
        </w:rPr>
        <w:t xml:space="preserve">original </w:t>
      </w:r>
      <w:r w:rsidRPr="00AA6144">
        <w:rPr>
          <w:color w:val="auto"/>
          <w:szCs w:val="18"/>
          <w:lang w:val="en-CA"/>
        </w:rPr>
        <w:t>requested state or entity consents.</w:t>
      </w:r>
      <w:r w:rsidRPr="00AA6144">
        <w:rPr>
          <w:rStyle w:val="FootnoteReference"/>
          <w:color w:val="auto"/>
          <w:szCs w:val="18"/>
          <w:lang w:val="en-CA"/>
        </w:rPr>
        <w:footnoteReference w:id="587"/>
      </w:r>
      <w:r w:rsidRPr="00AA6144">
        <w:rPr>
          <w:color w:val="auto"/>
          <w:szCs w:val="18"/>
          <w:lang w:val="en-CA"/>
        </w:rPr>
        <w:t xml:space="preserve">  However, if the individual has left Canada (or was given reasonable opportunity to leave) voluntarily after trial or completion of the sentence on the initial charges for which surrender was issued, then any other outstanding charges may be brought upon that individual</w:t>
      </w:r>
      <w:r w:rsidR="00A750F2" w:rsidRPr="00AA6144">
        <w:rPr>
          <w:color w:val="auto"/>
          <w:szCs w:val="18"/>
          <w:lang w:val="en-CA"/>
        </w:rPr>
        <w:t>’</w:t>
      </w:r>
      <w:r w:rsidRPr="00AA6144">
        <w:rPr>
          <w:color w:val="auto"/>
          <w:szCs w:val="18"/>
          <w:lang w:val="en-CA"/>
        </w:rPr>
        <w:t>s return to Canada.</w:t>
      </w:r>
      <w:r w:rsidRPr="00AA6144">
        <w:rPr>
          <w:rStyle w:val="FootnoteReference"/>
          <w:color w:val="auto"/>
          <w:szCs w:val="18"/>
          <w:lang w:val="en-CA"/>
        </w:rPr>
        <w:footnoteReference w:id="588"/>
      </w:r>
      <w:r w:rsidRPr="00AA6144">
        <w:rPr>
          <w:color w:val="auto"/>
          <w:szCs w:val="18"/>
          <w:lang w:val="en-CA"/>
        </w:rPr>
        <w:t xml:space="preserve">  </w:t>
      </w:r>
    </w:p>
    <w:p w14:paraId="50336FBF" w14:textId="77777777" w:rsidR="009E3308" w:rsidRPr="00AA6144" w:rsidRDefault="009E3308" w:rsidP="009E3308">
      <w:pPr>
        <w:rPr>
          <w:color w:val="auto"/>
          <w:szCs w:val="18"/>
          <w:lang w:val="en-CA"/>
        </w:rPr>
      </w:pPr>
    </w:p>
    <w:p w14:paraId="6052D6F0" w14:textId="77777777" w:rsidR="009E3308" w:rsidRPr="00AA6144" w:rsidRDefault="009E3308" w:rsidP="009E3308">
      <w:pPr>
        <w:pStyle w:val="Heading2"/>
        <w:rPr>
          <w:color w:val="auto"/>
          <w:lang w:val="en-CA"/>
        </w:rPr>
      </w:pPr>
      <w:bookmarkStart w:id="248" w:name="_Toc193798697"/>
      <w:bookmarkStart w:id="249" w:name="_Toc220954497"/>
      <w:bookmarkStart w:id="250" w:name="_Toc294914674"/>
      <w:bookmarkStart w:id="251" w:name="_Toc43382781"/>
      <w:r w:rsidRPr="00AA6144">
        <w:rPr>
          <w:color w:val="auto"/>
          <w:lang w:val="en-CA"/>
        </w:rPr>
        <w:t>7.2. Mutual legal assistance</w:t>
      </w:r>
      <w:bookmarkEnd w:id="248"/>
      <w:bookmarkEnd w:id="249"/>
      <w:bookmarkEnd w:id="250"/>
      <w:bookmarkEnd w:id="251"/>
    </w:p>
    <w:p w14:paraId="650CAC3F" w14:textId="77777777" w:rsidR="009E3308" w:rsidRPr="00AA6144" w:rsidRDefault="009E3308" w:rsidP="009E3308">
      <w:pPr>
        <w:pStyle w:val="AIBodyText"/>
        <w:spacing w:after="0"/>
        <w:rPr>
          <w:color w:val="auto"/>
          <w:lang w:val="en-CA"/>
        </w:rPr>
      </w:pPr>
    </w:p>
    <w:p w14:paraId="3238DEC7" w14:textId="77777777" w:rsidR="009E3308" w:rsidRPr="00AA6144" w:rsidRDefault="009E3308" w:rsidP="009E3308">
      <w:pPr>
        <w:pStyle w:val="AIBodyText"/>
        <w:rPr>
          <w:color w:val="auto"/>
          <w:lang w:val="en-CA"/>
        </w:rPr>
      </w:pPr>
      <w:r w:rsidRPr="00AA6144">
        <w:rPr>
          <w:color w:val="auto"/>
          <w:lang w:val="en-CA"/>
        </w:rPr>
        <w:t xml:space="preserve">As discussed below, there are a number of bilateral and multilateral extradition treaties with mutual legal assistance provisions, including </w:t>
      </w:r>
      <w:r w:rsidR="00A750F2" w:rsidRPr="00AA6144">
        <w:rPr>
          <w:color w:val="auto"/>
          <w:lang w:val="en-CA"/>
        </w:rPr>
        <w:t xml:space="preserve">Additional </w:t>
      </w:r>
      <w:r w:rsidRPr="00AA6144">
        <w:rPr>
          <w:color w:val="auto"/>
          <w:lang w:val="en-CA"/>
        </w:rPr>
        <w:t>Protocol I</w:t>
      </w:r>
      <w:r w:rsidRPr="00AA6144">
        <w:rPr>
          <w:rStyle w:val="FootnoteReference"/>
          <w:color w:val="auto"/>
          <w:lang w:val="en-CA"/>
        </w:rPr>
        <w:footnoteReference w:id="589"/>
      </w:r>
      <w:r w:rsidRPr="00AA6144">
        <w:rPr>
          <w:color w:val="auto"/>
          <w:lang w:val="en-CA"/>
        </w:rPr>
        <w:t xml:space="preserve"> and the Convention against Torture.</w:t>
      </w:r>
      <w:r w:rsidRPr="00AA6144">
        <w:rPr>
          <w:rStyle w:val="FootnoteReference"/>
          <w:color w:val="auto"/>
          <w:lang w:val="en-CA"/>
        </w:rPr>
        <w:footnoteReference w:id="590"/>
      </w:r>
      <w:r w:rsidRPr="00AA6144">
        <w:rPr>
          <w:color w:val="auto"/>
          <w:lang w:val="en-CA"/>
        </w:rPr>
        <w:t xml:space="preserve"> As of May 2011, Canada had entered into 36 bilateral Mutual Legal Assistance Treaties (MLATs) in addition to the multilateral conventions through which Canada can receive and provide assistance in gathering evidence in criminal cases.</w:t>
      </w:r>
      <w:r w:rsidRPr="00AA6144">
        <w:rPr>
          <w:rStyle w:val="FootnoteReference"/>
          <w:color w:val="auto"/>
          <w:lang w:val="en-CA"/>
        </w:rPr>
        <w:footnoteReference w:id="591"/>
      </w:r>
      <w:r w:rsidRPr="00AA6144">
        <w:rPr>
          <w:color w:val="auto"/>
          <w:lang w:val="en-CA"/>
        </w:rPr>
        <w:t xml:space="preserve"> Mutual legal assistance treaties usually require such assistance</w:t>
      </w:r>
      <w:r w:rsidR="0086568B" w:rsidRPr="00AA6144">
        <w:rPr>
          <w:color w:val="auto"/>
          <w:lang w:val="en-CA"/>
        </w:rPr>
        <w:t xml:space="preserve"> to</w:t>
      </w:r>
      <w:r w:rsidRPr="00AA6144">
        <w:rPr>
          <w:color w:val="auto"/>
          <w:lang w:val="en-CA"/>
        </w:rPr>
        <w:t xml:space="preserve"> be provided if the law of the requested state allows it, but </w:t>
      </w:r>
      <w:r w:rsidR="000903D7" w:rsidRPr="00AA6144">
        <w:rPr>
          <w:color w:val="auto"/>
          <w:lang w:val="en-CA"/>
        </w:rPr>
        <w:t>the treaties</w:t>
      </w:r>
      <w:r w:rsidR="0086568B" w:rsidRPr="00AA6144">
        <w:rPr>
          <w:color w:val="auto"/>
          <w:lang w:val="en-CA"/>
        </w:rPr>
        <w:t xml:space="preserve"> do not </w:t>
      </w:r>
      <w:r w:rsidRPr="00AA6144">
        <w:rPr>
          <w:color w:val="auto"/>
          <w:lang w:val="en-CA"/>
        </w:rPr>
        <w:t>expressly requir</w:t>
      </w:r>
      <w:r w:rsidR="000903D7" w:rsidRPr="00AA6144">
        <w:rPr>
          <w:color w:val="auto"/>
          <w:lang w:val="en-CA"/>
        </w:rPr>
        <w:t>e</w:t>
      </w:r>
      <w:r w:rsidRPr="00AA6144">
        <w:rPr>
          <w:color w:val="auto"/>
          <w:lang w:val="en-CA"/>
        </w:rPr>
        <w:t xml:space="preserve"> the requested state to enact such legislation if it does not exist.</w:t>
      </w:r>
      <w:r w:rsidR="00E96EB1" w:rsidRPr="00AA6144">
        <w:rPr>
          <w:color w:val="auto"/>
          <w:lang w:val="en-CA"/>
        </w:rPr>
        <w:t xml:space="preserve"> </w:t>
      </w:r>
      <w:r w:rsidRPr="00AA6144">
        <w:rPr>
          <w:color w:val="auto"/>
          <w:lang w:val="en-CA"/>
        </w:rPr>
        <w:t xml:space="preserve">The </w:t>
      </w:r>
      <w:r w:rsidR="00F526CB" w:rsidRPr="00AA6144">
        <w:rPr>
          <w:color w:val="auto"/>
          <w:lang w:val="en-CA"/>
        </w:rPr>
        <w:t>statute</w:t>
      </w:r>
      <w:r w:rsidRPr="00AA6144">
        <w:rPr>
          <w:color w:val="auto"/>
          <w:lang w:val="en-CA"/>
        </w:rPr>
        <w:t xml:space="preserve"> governing the implementation of mutual legal assistance in Canada is the </w:t>
      </w:r>
      <w:r w:rsidRPr="00AA6144">
        <w:rPr>
          <w:i/>
          <w:color w:val="auto"/>
          <w:lang w:val="en-CA"/>
        </w:rPr>
        <w:t>Mutual Legal Assistance in Criminal Matters Act</w:t>
      </w:r>
      <w:r w:rsidRPr="00AA6144">
        <w:rPr>
          <w:color w:val="auto"/>
          <w:lang w:val="en-CA"/>
        </w:rPr>
        <w:t>.</w:t>
      </w:r>
      <w:r w:rsidRPr="00AA6144">
        <w:rPr>
          <w:rStyle w:val="FootnoteReference"/>
          <w:color w:val="auto"/>
          <w:lang w:val="en-CA"/>
        </w:rPr>
        <w:footnoteReference w:id="592"/>
      </w:r>
    </w:p>
    <w:p w14:paraId="4AC755BA" w14:textId="77777777" w:rsidR="009E3308" w:rsidRPr="00AA6144" w:rsidRDefault="009E3308" w:rsidP="009E3308">
      <w:pPr>
        <w:pStyle w:val="Heading3"/>
        <w:rPr>
          <w:color w:val="auto"/>
          <w:lang w:val="en-CA"/>
        </w:rPr>
      </w:pPr>
      <w:bookmarkStart w:id="252" w:name="_Toc193798698"/>
      <w:bookmarkStart w:id="253" w:name="_Toc220954498"/>
      <w:bookmarkStart w:id="254" w:name="_Toc294914675"/>
      <w:bookmarkStart w:id="255" w:name="_Toc43382782"/>
      <w:r w:rsidRPr="00AA6144">
        <w:rPr>
          <w:color w:val="auto"/>
          <w:lang w:val="en-CA"/>
        </w:rPr>
        <w:t>7.2.1 Unavailable or inadequate procedures</w:t>
      </w:r>
      <w:bookmarkEnd w:id="252"/>
      <w:bookmarkEnd w:id="253"/>
      <w:bookmarkEnd w:id="254"/>
      <w:bookmarkEnd w:id="255"/>
    </w:p>
    <w:p w14:paraId="5C30ADD0" w14:textId="77777777" w:rsidR="00066291" w:rsidRPr="00AA6144" w:rsidRDefault="00066291" w:rsidP="00066291">
      <w:pPr>
        <w:spacing w:after="0"/>
        <w:rPr>
          <w:lang w:val="en-CA"/>
        </w:rPr>
      </w:pPr>
    </w:p>
    <w:p w14:paraId="5288FE52" w14:textId="77777777" w:rsidR="009E3308" w:rsidRPr="00AA6144" w:rsidRDefault="005A6CC3" w:rsidP="009E3308">
      <w:pPr>
        <w:pStyle w:val="AIBodyText"/>
        <w:rPr>
          <w:color w:val="auto"/>
          <w:lang w:val="en-CA"/>
        </w:rPr>
      </w:pPr>
      <w:r w:rsidRPr="00AA6144">
        <w:rPr>
          <w:color w:val="auto"/>
          <w:lang w:val="en-CA"/>
        </w:rPr>
        <w:t xml:space="preserve">The </w:t>
      </w:r>
      <w:r w:rsidR="009E3308" w:rsidRPr="00AA6144">
        <w:rPr>
          <w:color w:val="auto"/>
          <w:lang w:val="en-CA"/>
        </w:rPr>
        <w:t>mutual legal assi</w:t>
      </w:r>
      <w:r w:rsidR="00492FC7" w:rsidRPr="00AA6144">
        <w:rPr>
          <w:color w:val="auto"/>
          <w:lang w:val="en-CA"/>
        </w:rPr>
        <w:t>stance procedures in Canada</w:t>
      </w:r>
      <w:r w:rsidRPr="00AA6144">
        <w:rPr>
          <w:color w:val="auto"/>
          <w:lang w:val="en-CA"/>
        </w:rPr>
        <w:t xml:space="preserve"> are </w:t>
      </w:r>
      <w:proofErr w:type="gramStart"/>
      <w:r w:rsidRPr="00AA6144">
        <w:rPr>
          <w:color w:val="auto"/>
          <w:lang w:val="en-CA"/>
        </w:rPr>
        <w:t>fairly robust</w:t>
      </w:r>
      <w:proofErr w:type="gramEnd"/>
      <w:r w:rsidRPr="00AA6144">
        <w:rPr>
          <w:color w:val="auto"/>
          <w:lang w:val="en-CA"/>
        </w:rPr>
        <w:t xml:space="preserve"> and would not be considered unavailable or inadequate</w:t>
      </w:r>
      <w:r w:rsidR="009E3308" w:rsidRPr="00AA6144">
        <w:rPr>
          <w:color w:val="auto"/>
          <w:lang w:val="en-CA"/>
        </w:rPr>
        <w:t>, either with regard to requests by Canada for assistance or with regard to requests by foreign states to Can</w:t>
      </w:r>
      <w:r w:rsidR="00492FC7" w:rsidRPr="00AA6144">
        <w:rPr>
          <w:color w:val="auto"/>
          <w:lang w:val="en-CA"/>
        </w:rPr>
        <w:t>ada for assistance.</w:t>
      </w:r>
    </w:p>
    <w:p w14:paraId="6C916FFF" w14:textId="77777777" w:rsidR="009E3308" w:rsidRPr="00AA6144" w:rsidRDefault="009E3308" w:rsidP="009E3308">
      <w:pPr>
        <w:pStyle w:val="Heading4"/>
        <w:rPr>
          <w:color w:val="auto"/>
          <w:lang w:val="en-CA"/>
        </w:rPr>
      </w:pPr>
      <w:bookmarkStart w:id="256" w:name="_Toc294914676"/>
      <w:bookmarkStart w:id="257" w:name="_Toc43382783"/>
      <w:r w:rsidRPr="00AA6144">
        <w:rPr>
          <w:color w:val="auto"/>
          <w:lang w:val="en-CA"/>
        </w:rPr>
        <w:t>7.2.1.1. Conducting investigations</w:t>
      </w:r>
      <w:bookmarkEnd w:id="256"/>
      <w:bookmarkEnd w:id="257"/>
    </w:p>
    <w:p w14:paraId="22826C2B" w14:textId="77777777" w:rsidR="009E3308" w:rsidRPr="00AA6144" w:rsidRDefault="0014593C" w:rsidP="009E3308">
      <w:pPr>
        <w:pStyle w:val="AIBodyText"/>
        <w:rPr>
          <w:color w:val="auto"/>
          <w:lang w:val="en-CA"/>
        </w:rPr>
      </w:pPr>
      <w:r w:rsidRPr="00AA6144">
        <w:rPr>
          <w:color w:val="auto"/>
          <w:lang w:val="en-CA"/>
        </w:rPr>
        <w:t xml:space="preserve">Pursuant to the </w:t>
      </w:r>
      <w:r w:rsidRPr="00AA6144">
        <w:rPr>
          <w:i/>
          <w:color w:val="auto"/>
          <w:lang w:val="en-CA"/>
        </w:rPr>
        <w:t>Mutual Legal Assistance in Criminal Matters Act</w:t>
      </w:r>
      <w:r w:rsidRPr="00AA6144">
        <w:rPr>
          <w:color w:val="auto"/>
          <w:lang w:val="en-CA"/>
        </w:rPr>
        <w:t>,</w:t>
      </w:r>
      <w:r w:rsidRPr="00AA6144">
        <w:rPr>
          <w:i/>
          <w:color w:val="auto"/>
          <w:lang w:val="en-CA"/>
        </w:rPr>
        <w:t xml:space="preserve"> </w:t>
      </w:r>
      <w:r w:rsidR="00492FC7" w:rsidRPr="00AA6144">
        <w:rPr>
          <w:color w:val="auto"/>
          <w:lang w:val="en-CA"/>
        </w:rPr>
        <w:t xml:space="preserve">Canadian </w:t>
      </w:r>
      <w:r w:rsidRPr="00AA6144">
        <w:rPr>
          <w:color w:val="auto"/>
          <w:lang w:val="en-CA"/>
        </w:rPr>
        <w:t>police and investigative authorities assist in conducting investigations for foreign states.</w:t>
      </w:r>
      <w:r w:rsidRPr="00AA6144">
        <w:rPr>
          <w:rStyle w:val="FootnoteReference"/>
          <w:color w:val="auto"/>
          <w:lang w:val="en-CA"/>
        </w:rPr>
        <w:footnoteReference w:id="593"/>
      </w:r>
    </w:p>
    <w:p w14:paraId="007C8212" w14:textId="77777777" w:rsidR="009E3308" w:rsidRPr="00AA6144" w:rsidRDefault="009E3308" w:rsidP="009E3308">
      <w:pPr>
        <w:pStyle w:val="Heading4"/>
        <w:rPr>
          <w:color w:val="auto"/>
          <w:lang w:val="en-CA"/>
        </w:rPr>
      </w:pPr>
      <w:bookmarkStart w:id="258" w:name="_Toc294914677"/>
      <w:bookmarkStart w:id="259" w:name="_Toc43382784"/>
      <w:r w:rsidRPr="00AA6144">
        <w:rPr>
          <w:color w:val="auto"/>
          <w:lang w:val="en-CA"/>
        </w:rPr>
        <w:t xml:space="preserve">7.2.1.2. Tracing, freezing, </w:t>
      </w:r>
      <w:proofErr w:type="gramStart"/>
      <w:r w:rsidRPr="00AA6144">
        <w:rPr>
          <w:color w:val="auto"/>
          <w:lang w:val="en-CA"/>
        </w:rPr>
        <w:t>seizing</w:t>
      </w:r>
      <w:proofErr w:type="gramEnd"/>
      <w:r w:rsidRPr="00AA6144">
        <w:rPr>
          <w:color w:val="auto"/>
          <w:lang w:val="en-CA"/>
        </w:rPr>
        <w:t xml:space="preserve"> and forfeiting assets</w:t>
      </w:r>
      <w:bookmarkEnd w:id="258"/>
      <w:bookmarkEnd w:id="259"/>
    </w:p>
    <w:p w14:paraId="439694DA" w14:textId="11679AA5" w:rsidR="009E3308" w:rsidRPr="00AA6144" w:rsidRDefault="00492FC7" w:rsidP="009E3308">
      <w:pPr>
        <w:pStyle w:val="AIBodyText"/>
        <w:rPr>
          <w:color w:val="auto"/>
          <w:lang w:val="en-CA"/>
        </w:rPr>
      </w:pPr>
      <w:r w:rsidRPr="00AA6144">
        <w:rPr>
          <w:color w:val="auto"/>
          <w:lang w:val="en-CA"/>
        </w:rPr>
        <w:t>Canadian law</w:t>
      </w:r>
      <w:r w:rsidR="009E3308" w:rsidRPr="00AA6144">
        <w:rPr>
          <w:color w:val="auto"/>
          <w:lang w:val="en-CA"/>
        </w:rPr>
        <w:t xml:space="preserve"> permits foreign authorities to trace, freeze, seize or forfeit assets of a suspect or convicted person under certain conditions provided by the </w:t>
      </w:r>
      <w:r w:rsidR="009E3308" w:rsidRPr="00AA6144">
        <w:rPr>
          <w:i/>
          <w:color w:val="auto"/>
          <w:lang w:val="en-CA"/>
        </w:rPr>
        <w:t>Mutual Legal Assistance in Criminal Matters Act.</w:t>
      </w:r>
      <w:bookmarkStart w:id="260" w:name="_Ref267056927"/>
      <w:r w:rsidR="009E3308" w:rsidRPr="00AA6144">
        <w:rPr>
          <w:rStyle w:val="FootnoteReference"/>
          <w:color w:val="auto"/>
          <w:lang w:val="en-CA"/>
        </w:rPr>
        <w:footnoteReference w:id="594"/>
      </w:r>
      <w:bookmarkEnd w:id="260"/>
      <w:r w:rsidR="009E3308" w:rsidRPr="00AA6144">
        <w:rPr>
          <w:color w:val="auto"/>
          <w:lang w:val="en-CA"/>
        </w:rPr>
        <w:t xml:space="preserve"> Additionally, seizure of the proceeds of </w:t>
      </w:r>
      <w:r w:rsidR="004B4FBD" w:rsidRPr="00AA6144">
        <w:rPr>
          <w:color w:val="auto"/>
          <w:lang w:val="en-CA"/>
        </w:rPr>
        <w:t xml:space="preserve">crimes </w:t>
      </w:r>
      <w:r w:rsidR="009E3308" w:rsidRPr="00AA6144">
        <w:rPr>
          <w:color w:val="auto"/>
          <w:lang w:val="en-CA"/>
        </w:rPr>
        <w:t xml:space="preserve">falling within the jurisdiction of the </w:t>
      </w:r>
      <w:r w:rsidR="00F6169B">
        <w:rPr>
          <w:color w:val="auto"/>
          <w:lang w:val="en-CA"/>
        </w:rPr>
        <w:t>ICC</w:t>
      </w:r>
      <w:r w:rsidR="009E3308" w:rsidRPr="00AA6144">
        <w:rPr>
          <w:color w:val="auto"/>
          <w:lang w:val="en-CA"/>
        </w:rPr>
        <w:t xml:space="preserve"> </w:t>
      </w:r>
      <w:r w:rsidR="00F526CB" w:rsidRPr="00AA6144">
        <w:rPr>
          <w:color w:val="auto"/>
          <w:lang w:val="en-CA"/>
        </w:rPr>
        <w:t xml:space="preserve">and </w:t>
      </w:r>
      <w:r w:rsidR="009E3308" w:rsidRPr="00AA6144">
        <w:rPr>
          <w:color w:val="auto"/>
          <w:lang w:val="en-CA"/>
        </w:rPr>
        <w:t xml:space="preserve">is provided for </w:t>
      </w:r>
      <w:r w:rsidR="00923040" w:rsidRPr="00AA6144">
        <w:rPr>
          <w:color w:val="auto"/>
          <w:lang w:val="en-CA"/>
        </w:rPr>
        <w:t xml:space="preserve">in the </w:t>
      </w:r>
      <w:r w:rsidR="00F526CB" w:rsidRPr="00AA6144">
        <w:rPr>
          <w:i/>
          <w:color w:val="auto"/>
          <w:lang w:val="en-CA"/>
        </w:rPr>
        <w:t>Crimes Against Humanity and War Crimes Act</w:t>
      </w:r>
      <w:r w:rsidR="00F526CB" w:rsidRPr="00AA6144">
        <w:rPr>
          <w:color w:val="auto"/>
          <w:lang w:val="en-CA"/>
        </w:rPr>
        <w:t xml:space="preserve"> </w:t>
      </w:r>
      <w:r w:rsidR="009E3308" w:rsidRPr="00AA6144">
        <w:rPr>
          <w:color w:val="auto"/>
          <w:lang w:val="en-CA"/>
        </w:rPr>
        <w:t xml:space="preserve">(see discussion above in </w:t>
      </w:r>
      <w:r w:rsidR="00D10AF7" w:rsidRPr="00AA6144">
        <w:rPr>
          <w:color w:val="auto"/>
          <w:lang w:val="en-CA"/>
        </w:rPr>
        <w:t>S</w:t>
      </w:r>
      <w:r w:rsidR="009E3308" w:rsidRPr="00AA6144">
        <w:rPr>
          <w:color w:val="auto"/>
          <w:lang w:val="en-CA"/>
        </w:rPr>
        <w:t>ection 7.1.1.5 Recognition and enforcement of awards of reparations).</w:t>
      </w:r>
    </w:p>
    <w:p w14:paraId="02D93E66" w14:textId="77777777" w:rsidR="009E3308" w:rsidRPr="00AA6144" w:rsidRDefault="009E3308" w:rsidP="009E3308">
      <w:pPr>
        <w:pStyle w:val="Heading4"/>
        <w:rPr>
          <w:color w:val="auto"/>
          <w:lang w:val="en-CA"/>
        </w:rPr>
      </w:pPr>
      <w:bookmarkStart w:id="261" w:name="_Toc294914678"/>
      <w:bookmarkStart w:id="262" w:name="_Toc43382785"/>
      <w:r w:rsidRPr="00AA6144">
        <w:rPr>
          <w:color w:val="auto"/>
          <w:lang w:val="en-CA"/>
        </w:rPr>
        <w:t>7.2.1.3. Video-conferencing and other special measures to present evidence</w:t>
      </w:r>
      <w:bookmarkEnd w:id="261"/>
      <w:bookmarkEnd w:id="262"/>
    </w:p>
    <w:p w14:paraId="633B8DC5" w14:textId="77777777" w:rsidR="009E3308" w:rsidRPr="00AA6144" w:rsidRDefault="009E3308" w:rsidP="009E3308">
      <w:pPr>
        <w:rPr>
          <w:color w:val="auto"/>
          <w:lang w:val="en-CA"/>
        </w:rPr>
      </w:pPr>
      <w:r w:rsidRPr="00AA6144">
        <w:rPr>
          <w:color w:val="auto"/>
          <w:lang w:val="en-CA"/>
        </w:rPr>
        <w:t>Canada permits foreign authorities to use video-conferencing and other special measures to present evidence.</w:t>
      </w:r>
      <w:r w:rsidRPr="00AA6144">
        <w:rPr>
          <w:rStyle w:val="FootnoteReference"/>
          <w:color w:val="auto"/>
          <w:lang w:val="en-CA"/>
        </w:rPr>
        <w:footnoteReference w:id="595"/>
      </w:r>
    </w:p>
    <w:p w14:paraId="7EBA99AE" w14:textId="77777777" w:rsidR="009E3308" w:rsidRPr="00AA6144" w:rsidRDefault="009E3308" w:rsidP="00066291">
      <w:pPr>
        <w:pStyle w:val="Heading4"/>
        <w:rPr>
          <w:lang w:val="en-CA"/>
        </w:rPr>
      </w:pPr>
      <w:bookmarkStart w:id="263" w:name="_Toc43382786"/>
      <w:r w:rsidRPr="00AA6144">
        <w:rPr>
          <w:lang w:val="en-CA"/>
        </w:rPr>
        <w:t>7.2.1.4. Acceptance of foreign official documents</w:t>
      </w:r>
      <w:bookmarkEnd w:id="263"/>
    </w:p>
    <w:p w14:paraId="57A69442" w14:textId="77777777" w:rsidR="004E66C1" w:rsidRPr="00AA6144" w:rsidRDefault="009E3308" w:rsidP="008604B1">
      <w:pPr>
        <w:pStyle w:val="AIBodyText"/>
        <w:rPr>
          <w:color w:val="auto"/>
          <w:lang w:val="en-CA"/>
        </w:rPr>
      </w:pPr>
      <w:r w:rsidRPr="00AA6144">
        <w:rPr>
          <w:color w:val="auto"/>
          <w:lang w:val="en-CA"/>
        </w:rPr>
        <w:t xml:space="preserve">Canada does not have any special procedure for providing and requesting official copies of official documents. The exchange of official documents is therefore governed by any applicable treaty or the general terms of the </w:t>
      </w:r>
      <w:r w:rsidRPr="00AA6144">
        <w:rPr>
          <w:i/>
          <w:color w:val="auto"/>
          <w:lang w:val="en-CA"/>
        </w:rPr>
        <w:t>Mutual Legal Assistance in Criminal Matters Act</w:t>
      </w:r>
      <w:r w:rsidR="00B12B7B" w:rsidRPr="00AA6144">
        <w:rPr>
          <w:color w:val="auto"/>
          <w:lang w:val="en-CA"/>
        </w:rPr>
        <w:t>.</w:t>
      </w:r>
      <w:r w:rsidRPr="00AA6144">
        <w:rPr>
          <w:rStyle w:val="FootnoteReference"/>
          <w:color w:val="auto"/>
          <w:lang w:val="en-CA"/>
        </w:rPr>
        <w:footnoteReference w:id="596"/>
      </w:r>
      <w:r w:rsidRPr="00AA6144">
        <w:rPr>
          <w:color w:val="auto"/>
          <w:lang w:val="en-CA"/>
        </w:rPr>
        <w:t xml:space="preserve"> As discussed above, the </w:t>
      </w:r>
      <w:r w:rsidRPr="00AA6144">
        <w:rPr>
          <w:i/>
          <w:color w:val="auto"/>
          <w:lang w:val="en-CA"/>
        </w:rPr>
        <w:t xml:space="preserve">Extradition Act </w:t>
      </w:r>
      <w:r w:rsidRPr="00AA6144">
        <w:rPr>
          <w:color w:val="auto"/>
          <w:lang w:val="en-CA"/>
        </w:rPr>
        <w:t xml:space="preserve">allows for documents to be considered in the </w:t>
      </w:r>
      <w:r w:rsidR="009F0A74" w:rsidRPr="00AA6144">
        <w:rPr>
          <w:color w:val="auto"/>
          <w:lang w:val="en-CA"/>
        </w:rPr>
        <w:t>‘</w:t>
      </w:r>
      <w:r w:rsidRPr="00AA6144">
        <w:rPr>
          <w:color w:val="auto"/>
          <w:lang w:val="en-CA"/>
        </w:rPr>
        <w:t>record of the case</w:t>
      </w:r>
      <w:r w:rsidR="009F0A74" w:rsidRPr="00AA6144">
        <w:rPr>
          <w:color w:val="auto"/>
          <w:lang w:val="en-CA"/>
        </w:rPr>
        <w:t>’</w:t>
      </w:r>
      <w:r w:rsidRPr="00AA6144">
        <w:rPr>
          <w:color w:val="auto"/>
          <w:lang w:val="en-CA"/>
        </w:rPr>
        <w:t xml:space="preserve"> upon attestation by the foreign </w:t>
      </w:r>
      <w:r w:rsidR="00E27954" w:rsidRPr="00AA6144">
        <w:rPr>
          <w:color w:val="auto"/>
          <w:lang w:val="en-CA"/>
        </w:rPr>
        <w:t xml:space="preserve">judicial or prosecuting authority </w:t>
      </w:r>
      <w:r w:rsidRPr="00AA6144">
        <w:rPr>
          <w:color w:val="auto"/>
          <w:lang w:val="en-CA"/>
        </w:rPr>
        <w:t>submitting the request</w:t>
      </w:r>
      <w:r w:rsidR="005F7544" w:rsidRPr="00AA6144">
        <w:rPr>
          <w:color w:val="auto"/>
          <w:lang w:val="en-CA"/>
        </w:rPr>
        <w:t>, including what</w:t>
      </w:r>
      <w:r w:rsidRPr="00AA6144">
        <w:rPr>
          <w:color w:val="auto"/>
          <w:lang w:val="en-CA"/>
        </w:rPr>
        <w:t xml:space="preserve"> may be required in an extradition agreement</w:t>
      </w:r>
      <w:r w:rsidR="007C7629" w:rsidRPr="00AA6144">
        <w:rPr>
          <w:color w:val="auto"/>
          <w:lang w:val="en-CA"/>
        </w:rPr>
        <w:t>.</w:t>
      </w:r>
      <w:r w:rsidRPr="00AA6144">
        <w:rPr>
          <w:rStyle w:val="FootnoteReference"/>
          <w:color w:val="auto"/>
          <w:lang w:val="en-CA"/>
        </w:rPr>
        <w:footnoteReference w:id="597"/>
      </w:r>
      <w:r w:rsidRPr="00AA6144">
        <w:rPr>
          <w:color w:val="auto"/>
          <w:lang w:val="en-CA"/>
        </w:rPr>
        <w:t xml:space="preserve"> </w:t>
      </w:r>
      <w:r w:rsidR="00A16F0E" w:rsidRPr="00AA6144">
        <w:rPr>
          <w:color w:val="auto"/>
          <w:lang w:val="en-CA"/>
        </w:rPr>
        <w:t>A document need not be sworn under oath or affirmation</w:t>
      </w:r>
      <w:r w:rsidR="00D10AF7" w:rsidRPr="00AA6144">
        <w:rPr>
          <w:color w:val="auto"/>
          <w:lang w:val="en-CA"/>
        </w:rPr>
        <w:t>,</w:t>
      </w:r>
      <w:r w:rsidR="00A16F0E" w:rsidRPr="00AA6144">
        <w:rPr>
          <w:rStyle w:val="FootnoteReference"/>
          <w:color w:val="auto"/>
          <w:lang w:val="en-CA"/>
        </w:rPr>
        <w:footnoteReference w:id="598"/>
      </w:r>
      <w:r w:rsidR="00A16F0E" w:rsidRPr="00AA6144">
        <w:rPr>
          <w:color w:val="auto"/>
          <w:lang w:val="en-CA"/>
        </w:rPr>
        <w:t xml:space="preserve"> nor have proof of signature</w:t>
      </w:r>
      <w:r w:rsidR="004E66C1" w:rsidRPr="00AA6144">
        <w:rPr>
          <w:color w:val="auto"/>
          <w:lang w:val="en-CA"/>
        </w:rPr>
        <w:t xml:space="preserve"> to be admissible.</w:t>
      </w:r>
      <w:r w:rsidR="00A16F0E" w:rsidRPr="00AA6144">
        <w:rPr>
          <w:rStyle w:val="FootnoteReference"/>
          <w:color w:val="auto"/>
          <w:lang w:val="en-CA"/>
        </w:rPr>
        <w:footnoteReference w:id="599"/>
      </w:r>
      <w:r w:rsidR="004E66C1" w:rsidRPr="00AA6144">
        <w:rPr>
          <w:color w:val="auto"/>
          <w:lang w:val="en-CA"/>
        </w:rPr>
        <w:t xml:space="preserve"> </w:t>
      </w:r>
      <w:r w:rsidR="00A16F0E" w:rsidRPr="00AA6144">
        <w:rPr>
          <w:color w:val="auto"/>
          <w:lang w:val="en-CA"/>
        </w:rPr>
        <w:t xml:space="preserve"> </w:t>
      </w:r>
    </w:p>
    <w:p w14:paraId="2C927F1F" w14:textId="77777777" w:rsidR="009E3308" w:rsidRPr="00AA6144" w:rsidRDefault="009E3308" w:rsidP="008604B1">
      <w:pPr>
        <w:pStyle w:val="AIBodyText"/>
        <w:rPr>
          <w:color w:val="auto"/>
          <w:lang w:val="en-CA"/>
        </w:rPr>
      </w:pPr>
      <w:bookmarkStart w:id="264" w:name="_Toc294914679"/>
      <w:r w:rsidRPr="00AA6144">
        <w:rPr>
          <w:color w:val="auto"/>
          <w:lang w:val="en-CA"/>
        </w:rPr>
        <w:t>7.2.1.5 Recognition and enforcement of civil judgments and awards of reparations</w:t>
      </w:r>
      <w:bookmarkEnd w:id="264"/>
    </w:p>
    <w:p w14:paraId="0B238542" w14:textId="77777777" w:rsidR="009E3308" w:rsidRPr="00AA6144" w:rsidRDefault="009E3308" w:rsidP="009E3308">
      <w:pPr>
        <w:widowControl/>
        <w:suppressAutoHyphens w:val="0"/>
        <w:autoSpaceDE w:val="0"/>
        <w:autoSpaceDN w:val="0"/>
        <w:adjustRightInd w:val="0"/>
        <w:spacing w:after="240"/>
        <w:rPr>
          <w:color w:val="auto"/>
          <w:lang w:val="en-CA"/>
        </w:rPr>
      </w:pPr>
      <w:r w:rsidRPr="00AA6144">
        <w:rPr>
          <w:color w:val="auto"/>
          <w:lang w:val="en-CA"/>
        </w:rPr>
        <w:t xml:space="preserve">The </w:t>
      </w:r>
      <w:r w:rsidRPr="00AA6144">
        <w:rPr>
          <w:i/>
          <w:color w:val="auto"/>
          <w:lang w:val="en-CA"/>
        </w:rPr>
        <w:t xml:space="preserve">Crimes Against Humanity and War Crimes Act </w:t>
      </w:r>
      <w:r w:rsidRPr="00AA6144">
        <w:rPr>
          <w:color w:val="auto"/>
          <w:lang w:val="en-CA"/>
        </w:rPr>
        <w:t>establishes a fund for the award of reparations to victims of those prosecuted under its jurisdiction, or pursuant to a reparation order from the International Criminal Court.</w:t>
      </w:r>
      <w:r w:rsidR="00B92C44" w:rsidRPr="00AA6144">
        <w:rPr>
          <w:rStyle w:val="FootnoteReference"/>
          <w:color w:val="auto"/>
          <w:lang w:val="en-CA"/>
        </w:rPr>
        <w:footnoteReference w:id="600"/>
      </w:r>
      <w:r w:rsidRPr="00AA6144">
        <w:rPr>
          <w:color w:val="auto"/>
          <w:lang w:val="en-CA"/>
        </w:rPr>
        <w:t xml:space="preserve">  Recognition and enforcement of a foreign civil judgment or a judgment for reparations not emanating from the ICC are complicated by Canada’s federal system, in which public law (and particularly criminal law) falls within the competence of the federal government, whereas property and civil rights (including rights of enforcement on a judgment) remain within the competence of the provinces.  In common law provinces and territories, recognition and enforcement of foreign civil judgments are governed by provincial common law and applicable provincial legislation for the registration of foreign judgments.  In Quebec’s civil law system, foreign judgments are recognized and enforced pursuant to the relevant sections of the </w:t>
      </w:r>
      <w:r w:rsidRPr="00AA6144">
        <w:rPr>
          <w:i/>
          <w:color w:val="auto"/>
          <w:lang w:val="en-CA"/>
        </w:rPr>
        <w:t>Civil Code of Quebec</w:t>
      </w:r>
      <w:r w:rsidRPr="00AA6144">
        <w:rPr>
          <w:color w:val="auto"/>
          <w:lang w:val="en-CA"/>
        </w:rPr>
        <w:t>,</w:t>
      </w:r>
      <w:r w:rsidRPr="00AA6144">
        <w:rPr>
          <w:rStyle w:val="FootnoteReference"/>
          <w:color w:val="auto"/>
          <w:lang w:val="en-CA"/>
        </w:rPr>
        <w:footnoteReference w:id="601"/>
      </w:r>
      <w:r w:rsidRPr="00AA6144">
        <w:rPr>
          <w:color w:val="auto"/>
          <w:lang w:val="en-CA"/>
        </w:rPr>
        <w:t xml:space="preserve"> namely Title IV of Book Ten, which is based on the </w:t>
      </w:r>
      <w:r w:rsidRPr="00AA6144">
        <w:rPr>
          <w:rStyle w:val="verdana"/>
          <w:color w:val="auto"/>
          <w:lang w:val="en-CA"/>
        </w:rPr>
        <w:t>1971 Hague Convention on the Recognition and Enforcement of Foreign Judgments in Civil and Commercial Matters</w:t>
      </w:r>
      <w:r w:rsidRPr="00AA6144">
        <w:rPr>
          <w:rStyle w:val="FootnoteReference"/>
          <w:color w:val="auto"/>
          <w:lang w:val="en-CA"/>
        </w:rPr>
        <w:footnoteReference w:id="602"/>
      </w:r>
      <w:r w:rsidRPr="00AA6144">
        <w:rPr>
          <w:rStyle w:val="verdana"/>
          <w:color w:val="auto"/>
          <w:lang w:val="en-CA"/>
        </w:rPr>
        <w:t xml:space="preserve"> (t</w:t>
      </w:r>
      <w:r w:rsidRPr="00AA6144">
        <w:rPr>
          <w:color w:val="auto"/>
          <w:lang w:val="en-CA"/>
        </w:rPr>
        <w:t>he procedures for recognition and enforcement of a foreign judgment in Quebec also apply).</w:t>
      </w:r>
      <w:bookmarkStart w:id="265" w:name="_Ref267057522"/>
      <w:r w:rsidRPr="00AA6144">
        <w:rPr>
          <w:rStyle w:val="FootnoteReference"/>
          <w:color w:val="auto"/>
          <w:lang w:val="en-CA"/>
        </w:rPr>
        <w:footnoteReference w:id="603"/>
      </w:r>
      <w:bookmarkEnd w:id="265"/>
      <w:r w:rsidRPr="00AA6144">
        <w:rPr>
          <w:color w:val="auto"/>
          <w:lang w:val="en-CA"/>
        </w:rPr>
        <w:t xml:space="preserve">  Because reparation orders are public or quasi-public, reparation orders from other foreign jurisdictions would normally not be enforced in Canadian courts, however it is suggested that these restrictions do not apply to remedial orders for criminal acts of concern to the international community as a whole.  These are discussed in turn below.</w:t>
      </w:r>
    </w:p>
    <w:p w14:paraId="6CBBE2E8" w14:textId="77777777" w:rsidR="009E3308" w:rsidRPr="00AA6144" w:rsidRDefault="009E3308" w:rsidP="00066291">
      <w:pPr>
        <w:pStyle w:val="Heading5"/>
        <w:rPr>
          <w:lang w:val="en-CA"/>
        </w:rPr>
      </w:pPr>
      <w:r w:rsidRPr="00AA6144">
        <w:rPr>
          <w:lang w:val="en-CA"/>
        </w:rPr>
        <w:t>7.2.1.5.</w:t>
      </w:r>
      <w:r w:rsidR="0084426E" w:rsidRPr="00AA6144">
        <w:rPr>
          <w:lang w:val="en-CA"/>
        </w:rPr>
        <w:t>1 Recognition of Repar</w:t>
      </w:r>
      <w:r w:rsidRPr="00AA6144">
        <w:rPr>
          <w:lang w:val="en-CA"/>
        </w:rPr>
        <w:t>ation Awards from the International Criminal Court</w:t>
      </w:r>
    </w:p>
    <w:p w14:paraId="7EFCC561" w14:textId="77777777" w:rsidR="009E3308" w:rsidRPr="00AA6144" w:rsidRDefault="009E3308" w:rsidP="009E3308">
      <w:pPr>
        <w:pStyle w:val="AIBodyText"/>
        <w:rPr>
          <w:color w:val="auto"/>
          <w:lang w:val="en-CA"/>
        </w:rPr>
      </w:pPr>
      <w:r w:rsidRPr="00AA6144">
        <w:rPr>
          <w:color w:val="auto"/>
          <w:lang w:val="en-CA"/>
        </w:rPr>
        <w:t xml:space="preserve">In Canada, the </w:t>
      </w:r>
      <w:r w:rsidRPr="00AA6144">
        <w:rPr>
          <w:i/>
          <w:color w:val="auto"/>
          <w:lang w:val="en-CA"/>
        </w:rPr>
        <w:t xml:space="preserve">Crimes Against Humanity and War Crimes Act </w:t>
      </w:r>
      <w:r w:rsidRPr="00AA6144">
        <w:rPr>
          <w:color w:val="auto"/>
          <w:lang w:val="en-CA"/>
        </w:rPr>
        <w:t>establishes a Crimes Against Humanity Fund for offenses covered by the Act.</w:t>
      </w:r>
      <w:bookmarkStart w:id="266" w:name="_Ref267057078"/>
      <w:r w:rsidRPr="00AA6144">
        <w:rPr>
          <w:rStyle w:val="FootnoteReference"/>
          <w:color w:val="auto"/>
          <w:lang w:val="en-CA"/>
        </w:rPr>
        <w:footnoteReference w:id="604"/>
      </w:r>
      <w:bookmarkEnd w:id="266"/>
      <w:r w:rsidRPr="00AA6144">
        <w:rPr>
          <w:color w:val="auto"/>
          <w:lang w:val="en-CA"/>
        </w:rPr>
        <w:t xml:space="preserve">  The </w:t>
      </w:r>
      <w:r w:rsidR="00F1118A" w:rsidRPr="00AA6144">
        <w:rPr>
          <w:color w:val="auto"/>
          <w:lang w:val="en-CA"/>
        </w:rPr>
        <w:t>f</w:t>
      </w:r>
      <w:r w:rsidRPr="00AA6144">
        <w:rPr>
          <w:color w:val="auto"/>
          <w:lang w:val="en-CA"/>
        </w:rPr>
        <w:t>und is designated to receive any and all monies resulting from enforcement of orders from the International Criminal Court for reparation, forfeiture, or a fine;</w:t>
      </w:r>
      <w:r w:rsidRPr="00AA6144">
        <w:rPr>
          <w:rStyle w:val="FootnoteReference"/>
          <w:color w:val="auto"/>
          <w:lang w:val="en-CA"/>
        </w:rPr>
        <w:footnoteReference w:id="605"/>
      </w:r>
      <w:r w:rsidRPr="00AA6144">
        <w:rPr>
          <w:color w:val="auto"/>
          <w:lang w:val="en-CA"/>
        </w:rPr>
        <w:t xml:space="preserve"> funds recovered from the seizure of assets by the Minister of Public Works and Government Services for proceeds of crime; and any donations made to the </w:t>
      </w:r>
      <w:r w:rsidR="00F1118A" w:rsidRPr="00AA6144">
        <w:rPr>
          <w:color w:val="auto"/>
          <w:lang w:val="en-CA"/>
        </w:rPr>
        <w:t>f</w:t>
      </w:r>
      <w:r w:rsidRPr="00AA6144">
        <w:rPr>
          <w:color w:val="auto"/>
          <w:lang w:val="en-CA"/>
        </w:rPr>
        <w:t>und.</w:t>
      </w:r>
      <w:r w:rsidRPr="00AA6144">
        <w:rPr>
          <w:rStyle w:val="FootnoteReference"/>
          <w:color w:val="auto"/>
          <w:lang w:val="en-CA"/>
        </w:rPr>
        <w:footnoteReference w:id="606"/>
      </w:r>
      <w:r w:rsidRPr="00AA6144">
        <w:rPr>
          <w:color w:val="auto"/>
          <w:lang w:val="en-CA"/>
        </w:rPr>
        <w:t xml:space="preserve">  “Proceeds of crime” is defined with reference to section 462.3(1) of the </w:t>
      </w:r>
      <w:r w:rsidRPr="00AA6144">
        <w:rPr>
          <w:i/>
          <w:color w:val="auto"/>
          <w:lang w:val="en-CA"/>
        </w:rPr>
        <w:t>Criminal Code</w:t>
      </w:r>
      <w:r w:rsidRPr="00AA6144">
        <w:rPr>
          <w:color w:val="auto"/>
          <w:lang w:val="en-CA"/>
        </w:rPr>
        <w:t xml:space="preserve"> as “any property, benefit or advantage, within or outside Canada, obtained or derived directly or indirectly as a result of (a) the commission in Canada of a designated offence, or (b) an act or omission anywhere that, if it had occurred in Canada, would have constituted a designated offence.</w:t>
      </w:r>
      <w:r w:rsidR="00D10AF7" w:rsidRPr="00AA6144">
        <w:rPr>
          <w:color w:val="auto"/>
          <w:lang w:val="en-CA"/>
        </w:rPr>
        <w:t>”</w:t>
      </w:r>
      <w:r w:rsidRPr="00AA6144">
        <w:rPr>
          <w:rStyle w:val="FootnoteReference"/>
          <w:color w:val="auto"/>
          <w:lang w:val="en-CA"/>
        </w:rPr>
        <w:footnoteReference w:id="607"/>
      </w:r>
      <w:r w:rsidRPr="00AA6144">
        <w:rPr>
          <w:color w:val="auto"/>
          <w:lang w:val="en-CA"/>
        </w:rPr>
        <w:t xml:space="preserve"> The </w:t>
      </w:r>
      <w:r w:rsidR="00FC61EF" w:rsidRPr="00AA6144">
        <w:rPr>
          <w:color w:val="auto"/>
          <w:lang w:val="en-CA"/>
        </w:rPr>
        <w:t>f</w:t>
      </w:r>
      <w:r w:rsidRPr="00AA6144">
        <w:rPr>
          <w:color w:val="auto"/>
          <w:lang w:val="en-CA"/>
        </w:rPr>
        <w:t>und is paid out by the Attorney General of Canada to victims of offen</w:t>
      </w:r>
      <w:r w:rsidR="003A2CF8" w:rsidRPr="00AA6144">
        <w:rPr>
          <w:color w:val="auto"/>
          <w:lang w:val="en-CA"/>
        </w:rPr>
        <w:t>c</w:t>
      </w:r>
      <w:r w:rsidRPr="00AA6144">
        <w:rPr>
          <w:color w:val="auto"/>
          <w:lang w:val="en-CA"/>
        </w:rPr>
        <w:t xml:space="preserve">es under the </w:t>
      </w:r>
      <w:r w:rsidR="003A2CF8" w:rsidRPr="00AA6144">
        <w:rPr>
          <w:i/>
          <w:color w:val="auto"/>
          <w:lang w:val="en-CA"/>
        </w:rPr>
        <w:t>CAHWCA</w:t>
      </w:r>
      <w:r w:rsidR="003A2CF8" w:rsidRPr="00AA6144">
        <w:rPr>
          <w:color w:val="auto"/>
          <w:lang w:val="en-CA"/>
        </w:rPr>
        <w:t xml:space="preserve"> </w:t>
      </w:r>
      <w:r w:rsidRPr="00AA6144">
        <w:rPr>
          <w:color w:val="auto"/>
          <w:lang w:val="en-CA"/>
        </w:rPr>
        <w:t>or within the jurisdiction of the ICC</w:t>
      </w:r>
      <w:r w:rsidR="00E96EB1" w:rsidRPr="00AA6144">
        <w:rPr>
          <w:color w:val="auto"/>
          <w:lang w:val="en-CA"/>
        </w:rPr>
        <w:t xml:space="preserve"> and their families, or “otherw</w:t>
      </w:r>
      <w:r w:rsidRPr="00AA6144">
        <w:rPr>
          <w:color w:val="auto"/>
          <w:lang w:val="en-CA"/>
        </w:rPr>
        <w:t>ise as the Attorney General of Canada sees fit.”</w:t>
      </w:r>
      <w:r w:rsidRPr="00AA6144">
        <w:rPr>
          <w:rStyle w:val="FootnoteReference"/>
          <w:color w:val="auto"/>
          <w:lang w:val="en-CA"/>
        </w:rPr>
        <w:footnoteReference w:id="608"/>
      </w:r>
      <w:r w:rsidRPr="00AA6144">
        <w:rPr>
          <w:color w:val="auto"/>
          <w:lang w:val="en-CA"/>
        </w:rPr>
        <w:t xml:space="preserve"> Awards can also be ordered with or without deduction for costs to the International Criminal Court or the trust fund established by Article 79 of the </w:t>
      </w:r>
      <w:r w:rsidR="005C5FF0" w:rsidRPr="00AA6144">
        <w:rPr>
          <w:color w:val="auto"/>
          <w:lang w:val="en-CA"/>
        </w:rPr>
        <w:t>Rome Statute</w:t>
      </w:r>
      <w:r w:rsidRPr="00AA6144">
        <w:rPr>
          <w:color w:val="auto"/>
          <w:lang w:val="en-CA"/>
        </w:rPr>
        <w:t>.</w:t>
      </w:r>
      <w:r w:rsidRPr="00AA6144">
        <w:rPr>
          <w:rStyle w:val="FootnoteReference"/>
          <w:color w:val="auto"/>
          <w:lang w:val="en-CA"/>
        </w:rPr>
        <w:footnoteReference w:id="609"/>
      </w:r>
      <w:r w:rsidRPr="00AA6144">
        <w:rPr>
          <w:color w:val="auto"/>
          <w:lang w:val="en-CA"/>
        </w:rPr>
        <w:t xml:space="preserve">  This latter provision suggests that funds could be made available for reparations other than those mandated by a judgment of the ICC if the Attorney General of Canada finds it proper to do so.</w:t>
      </w:r>
    </w:p>
    <w:p w14:paraId="422D180B" w14:textId="77777777" w:rsidR="009E3308" w:rsidRPr="00AA6144" w:rsidRDefault="009E3308" w:rsidP="00066291">
      <w:pPr>
        <w:pStyle w:val="Heading5"/>
        <w:rPr>
          <w:lang w:val="en-CA"/>
        </w:rPr>
      </w:pPr>
      <w:r w:rsidRPr="00AA6144">
        <w:rPr>
          <w:lang w:val="en-CA"/>
        </w:rPr>
        <w:t>7.2.1.5.2 Recognition and Enforcement of Foreign Reparation Awards</w:t>
      </w:r>
    </w:p>
    <w:p w14:paraId="570036EF" w14:textId="77777777" w:rsidR="009E3308" w:rsidRPr="00AA6144" w:rsidRDefault="009E3308" w:rsidP="009E3308">
      <w:pPr>
        <w:widowControl/>
        <w:suppressAutoHyphens w:val="0"/>
        <w:autoSpaceDE w:val="0"/>
        <w:autoSpaceDN w:val="0"/>
        <w:adjustRightInd w:val="0"/>
        <w:spacing w:after="0"/>
        <w:rPr>
          <w:color w:val="auto"/>
          <w:lang w:val="en-CA"/>
        </w:rPr>
      </w:pPr>
      <w:r w:rsidRPr="00AA6144">
        <w:rPr>
          <w:color w:val="auto"/>
          <w:lang w:val="en-CA"/>
        </w:rPr>
        <w:t>Canada’s bilateral treaties for mutual legal assistance do not mention reparation awards,</w:t>
      </w:r>
      <w:r w:rsidRPr="00AA6144">
        <w:rPr>
          <w:rStyle w:val="FootnoteReference"/>
          <w:color w:val="auto"/>
          <w:lang w:val="en-CA"/>
        </w:rPr>
        <w:footnoteReference w:id="610"/>
      </w:r>
      <w:r w:rsidRPr="00AA6144">
        <w:rPr>
          <w:color w:val="auto"/>
          <w:lang w:val="en-CA"/>
        </w:rPr>
        <w:t xml:space="preserve"> despite the fact that </w:t>
      </w:r>
      <w:r w:rsidRPr="00AA6144">
        <w:rPr>
          <w:rStyle w:val="verdana"/>
          <w:color w:val="auto"/>
          <w:lang w:val="en-CA"/>
        </w:rPr>
        <w:t xml:space="preserve">the </w:t>
      </w:r>
      <w:r w:rsidRPr="00AA6144">
        <w:rPr>
          <w:rStyle w:val="verdana"/>
          <w:i/>
          <w:color w:val="auto"/>
          <w:lang w:val="en-CA"/>
        </w:rPr>
        <w:t>Criminal Code</w:t>
      </w:r>
      <w:r w:rsidR="00B04DE4" w:rsidRPr="00AA6144">
        <w:rPr>
          <w:rStyle w:val="verdana"/>
          <w:i/>
          <w:color w:val="auto"/>
          <w:lang w:val="en-CA"/>
        </w:rPr>
        <w:t xml:space="preserve"> of Canada</w:t>
      </w:r>
      <w:r w:rsidRPr="00AA6144">
        <w:rPr>
          <w:rStyle w:val="verdana"/>
          <w:color w:val="auto"/>
          <w:lang w:val="en-CA"/>
        </w:rPr>
        <w:t xml:space="preserve"> recognizes that “</w:t>
      </w:r>
      <w:r w:rsidRPr="00AA6144">
        <w:rPr>
          <w:color w:val="auto"/>
          <w:lang w:val="en-CA"/>
        </w:rPr>
        <w:t xml:space="preserve">reparations for harm done to victims or to the community” </w:t>
      </w:r>
      <w:r w:rsidRPr="00AA6144">
        <w:rPr>
          <w:rStyle w:val="verdana"/>
          <w:color w:val="auto"/>
          <w:lang w:val="en-CA"/>
        </w:rPr>
        <w:t>are a legitimate sanction that advances the purpose of prevention, respect for the law and “</w:t>
      </w:r>
      <w:r w:rsidRPr="00AA6144">
        <w:rPr>
          <w:color w:val="auto"/>
          <w:lang w:val="en-CA"/>
        </w:rPr>
        <w:t>the maintenance of a just, peaceful and safe society.”</w:t>
      </w:r>
      <w:r w:rsidRPr="00AA6144">
        <w:rPr>
          <w:rStyle w:val="FootnoteReference"/>
          <w:color w:val="auto"/>
          <w:lang w:val="en-CA"/>
        </w:rPr>
        <w:footnoteReference w:id="611"/>
      </w:r>
      <w:r w:rsidRPr="00AA6144">
        <w:rPr>
          <w:color w:val="auto"/>
          <w:lang w:val="en-CA"/>
        </w:rPr>
        <w:t xml:space="preserve">  Some treaties provide for enforcement of restitution orders for victims of crime and the collection of fines</w:t>
      </w:r>
      <w:r w:rsidR="00897B83" w:rsidRPr="00AA6144">
        <w:rPr>
          <w:color w:val="auto"/>
          <w:lang w:val="en-CA"/>
        </w:rPr>
        <w:t>.</w:t>
      </w:r>
      <w:r w:rsidRPr="00AA6144">
        <w:rPr>
          <w:rStyle w:val="FootnoteReference"/>
          <w:color w:val="auto"/>
          <w:lang w:val="en-CA"/>
        </w:rPr>
        <w:footnoteReference w:id="612"/>
      </w:r>
      <w:r w:rsidRPr="00AA6144">
        <w:rPr>
          <w:color w:val="auto"/>
          <w:lang w:val="en-CA"/>
        </w:rPr>
        <w:t xml:space="preserve"> </w:t>
      </w:r>
      <w:r w:rsidR="00897B83" w:rsidRPr="00AA6144">
        <w:rPr>
          <w:color w:val="auto"/>
          <w:lang w:val="en-CA"/>
        </w:rPr>
        <w:t>O</w:t>
      </w:r>
      <w:r w:rsidRPr="00AA6144">
        <w:rPr>
          <w:color w:val="auto"/>
          <w:lang w:val="en-CA"/>
        </w:rPr>
        <w:t>ther</w:t>
      </w:r>
      <w:r w:rsidR="00897B83" w:rsidRPr="00AA6144">
        <w:rPr>
          <w:color w:val="auto"/>
          <w:lang w:val="en-CA"/>
        </w:rPr>
        <w:t xml:space="preserve"> treaties</w:t>
      </w:r>
      <w:r w:rsidRPr="00AA6144">
        <w:rPr>
          <w:color w:val="auto"/>
          <w:lang w:val="en-CA"/>
        </w:rPr>
        <w:t xml:space="preserve"> only reference extending assistance to “proceedings related to restitution to the victims of crime</w:t>
      </w:r>
      <w:r w:rsidR="00897B83" w:rsidRPr="00AA6144">
        <w:rPr>
          <w:color w:val="auto"/>
          <w:lang w:val="en-CA"/>
        </w:rPr>
        <w:t>,</w:t>
      </w:r>
      <w:r w:rsidRPr="00AA6144">
        <w:rPr>
          <w:color w:val="auto"/>
          <w:lang w:val="en-CA"/>
        </w:rPr>
        <w:t>”</w:t>
      </w:r>
      <w:r w:rsidRPr="00AA6144">
        <w:rPr>
          <w:rStyle w:val="FootnoteReference"/>
          <w:color w:val="auto"/>
          <w:lang w:val="en-CA"/>
        </w:rPr>
        <w:footnoteReference w:id="613"/>
      </w:r>
      <w:r w:rsidRPr="00AA6144">
        <w:rPr>
          <w:color w:val="auto"/>
          <w:lang w:val="en-CA"/>
        </w:rPr>
        <w:t xml:space="preserve">  </w:t>
      </w:r>
      <w:r w:rsidR="00897B83" w:rsidRPr="00AA6144">
        <w:rPr>
          <w:color w:val="auto"/>
          <w:lang w:val="en-CA"/>
        </w:rPr>
        <w:t>which has been</w:t>
      </w:r>
      <w:r w:rsidRPr="00AA6144">
        <w:rPr>
          <w:color w:val="auto"/>
          <w:lang w:val="en-CA"/>
        </w:rPr>
        <w:t xml:space="preserve"> found to be broad enough to enforce cost orders </w:t>
      </w:r>
      <w:r w:rsidR="00F70FB8" w:rsidRPr="00AA6144">
        <w:rPr>
          <w:color w:val="auto"/>
          <w:lang w:val="en-CA"/>
        </w:rPr>
        <w:t>as</w:t>
      </w:r>
      <w:r w:rsidRPr="00AA6144">
        <w:rPr>
          <w:color w:val="auto"/>
          <w:lang w:val="en-CA"/>
        </w:rPr>
        <w:t xml:space="preserve"> awards for partial reparation of environmental damage </w:t>
      </w:r>
      <w:r w:rsidR="009D1587" w:rsidRPr="00AA6144">
        <w:rPr>
          <w:color w:val="auto"/>
          <w:lang w:val="en-CA"/>
        </w:rPr>
        <w:t xml:space="preserve">pursuant to the mutual legal assistance </w:t>
      </w:r>
      <w:r w:rsidRPr="00AA6144">
        <w:rPr>
          <w:color w:val="auto"/>
          <w:lang w:val="en-CA"/>
        </w:rPr>
        <w:t>treaty with the U</w:t>
      </w:r>
      <w:r w:rsidR="009D1587" w:rsidRPr="00AA6144">
        <w:rPr>
          <w:color w:val="auto"/>
          <w:lang w:val="en-CA"/>
        </w:rPr>
        <w:t xml:space="preserve">nited </w:t>
      </w:r>
      <w:r w:rsidRPr="00AA6144">
        <w:rPr>
          <w:color w:val="auto"/>
          <w:lang w:val="en-CA"/>
        </w:rPr>
        <w:t>S</w:t>
      </w:r>
      <w:r w:rsidR="009D1587" w:rsidRPr="00AA6144">
        <w:rPr>
          <w:color w:val="auto"/>
          <w:lang w:val="en-CA"/>
        </w:rPr>
        <w:t>tates.</w:t>
      </w:r>
      <w:r w:rsidR="009D1587" w:rsidRPr="00AA6144">
        <w:rPr>
          <w:rStyle w:val="FootnoteReference"/>
          <w:color w:val="auto"/>
          <w:lang w:val="en-CA"/>
        </w:rPr>
        <w:footnoteReference w:id="614"/>
      </w:r>
      <w:r w:rsidR="009D1587" w:rsidRPr="00AA6144">
        <w:rPr>
          <w:color w:val="auto"/>
          <w:lang w:val="en-CA"/>
        </w:rPr>
        <w:t xml:space="preserve"> </w:t>
      </w:r>
      <w:r w:rsidRPr="00AA6144">
        <w:rPr>
          <w:color w:val="auto"/>
          <w:lang w:val="en-CA"/>
        </w:rPr>
        <w:t xml:space="preserve">However it remains unclear whether language under the treaties or under the </w:t>
      </w:r>
      <w:r w:rsidR="00E379BA" w:rsidRPr="00AA6144">
        <w:rPr>
          <w:i/>
          <w:color w:val="auto"/>
          <w:lang w:val="en-CA"/>
        </w:rPr>
        <w:t>CAHWCA</w:t>
      </w:r>
      <w:r w:rsidR="00E379BA" w:rsidRPr="00AA6144">
        <w:rPr>
          <w:color w:val="auto"/>
          <w:lang w:val="en-CA"/>
        </w:rPr>
        <w:t xml:space="preserve"> </w:t>
      </w:r>
      <w:r w:rsidRPr="00AA6144">
        <w:rPr>
          <w:color w:val="auto"/>
          <w:lang w:val="en-CA"/>
        </w:rPr>
        <w:t xml:space="preserve">referencing restitution and collection of fines provides for reparation awards to victims that are not </w:t>
      </w:r>
      <w:proofErr w:type="spellStart"/>
      <w:r w:rsidRPr="00AA6144">
        <w:rPr>
          <w:color w:val="auto"/>
          <w:lang w:val="en-CA"/>
        </w:rPr>
        <w:t>restitutionary</w:t>
      </w:r>
      <w:proofErr w:type="spellEnd"/>
      <w:r w:rsidR="00F43F1A" w:rsidRPr="00AA6144">
        <w:rPr>
          <w:color w:val="auto"/>
          <w:lang w:val="en-CA"/>
        </w:rPr>
        <w:t xml:space="preserve"> in nature</w:t>
      </w:r>
      <w:r w:rsidRPr="00AA6144">
        <w:rPr>
          <w:color w:val="auto"/>
          <w:lang w:val="en-CA"/>
        </w:rPr>
        <w:t>.</w:t>
      </w:r>
      <w:r w:rsidRPr="00AA6144">
        <w:rPr>
          <w:rStyle w:val="FootnoteReference"/>
          <w:color w:val="auto"/>
          <w:lang w:val="en-CA"/>
        </w:rPr>
        <w:footnoteReference w:id="615"/>
      </w:r>
    </w:p>
    <w:p w14:paraId="3E485FF7" w14:textId="77777777" w:rsidR="009E3308" w:rsidRPr="00AA6144" w:rsidRDefault="009E3308" w:rsidP="009E3308">
      <w:pPr>
        <w:widowControl/>
        <w:suppressAutoHyphens w:val="0"/>
        <w:autoSpaceDE w:val="0"/>
        <w:autoSpaceDN w:val="0"/>
        <w:adjustRightInd w:val="0"/>
        <w:spacing w:after="0"/>
        <w:rPr>
          <w:color w:val="auto"/>
          <w:lang w:val="en-CA"/>
        </w:rPr>
      </w:pPr>
    </w:p>
    <w:p w14:paraId="79966B35" w14:textId="77777777" w:rsidR="009E3308" w:rsidRPr="00AA6144" w:rsidRDefault="009E3308" w:rsidP="009E3308">
      <w:pPr>
        <w:widowControl/>
        <w:suppressAutoHyphens w:val="0"/>
        <w:autoSpaceDE w:val="0"/>
        <w:autoSpaceDN w:val="0"/>
        <w:adjustRightInd w:val="0"/>
        <w:spacing w:after="0"/>
        <w:rPr>
          <w:color w:val="auto"/>
          <w:lang w:val="en-CA"/>
        </w:rPr>
      </w:pPr>
      <w:r w:rsidRPr="00AA6144">
        <w:rPr>
          <w:color w:val="auto"/>
          <w:lang w:val="en-CA"/>
        </w:rPr>
        <w:t xml:space="preserve">The </w:t>
      </w:r>
      <w:r w:rsidRPr="00AA6144">
        <w:rPr>
          <w:i/>
          <w:color w:val="auto"/>
          <w:lang w:val="en-CA"/>
        </w:rPr>
        <w:t>Mutual Legal Assistance in Criminal Matters Act</w:t>
      </w:r>
      <w:r w:rsidRPr="00AA6144">
        <w:rPr>
          <w:color w:val="auto"/>
          <w:lang w:val="en-CA"/>
        </w:rPr>
        <w:t xml:space="preserve"> does not reference reparation awards, but does provide for the enforcement of “a payment of a fine imposed in respect of an offence by a court of criminal jurisdiction of the state or entity.”</w:t>
      </w:r>
      <w:r w:rsidRPr="00AA6144">
        <w:rPr>
          <w:rStyle w:val="FootnoteReference"/>
          <w:color w:val="auto"/>
          <w:lang w:val="en-CA"/>
        </w:rPr>
        <w:footnoteReference w:id="616"/>
      </w:r>
      <w:r w:rsidRPr="00AA6144">
        <w:rPr>
          <w:color w:val="auto"/>
          <w:lang w:val="en-CA"/>
        </w:rPr>
        <w:t xml:space="preserve">  The definition of “fine” in the </w:t>
      </w:r>
      <w:r w:rsidR="001178E6" w:rsidRPr="00AA6144">
        <w:rPr>
          <w:i/>
          <w:color w:val="auto"/>
          <w:lang w:val="en-CA"/>
        </w:rPr>
        <w:t>Mutual Legal Assistance in Criminal Matters Act</w:t>
      </w:r>
      <w:r w:rsidR="001178E6" w:rsidRPr="00AA6144">
        <w:rPr>
          <w:color w:val="auto"/>
          <w:lang w:val="en-CA"/>
        </w:rPr>
        <w:t xml:space="preserve"> </w:t>
      </w:r>
      <w:r w:rsidRPr="00AA6144">
        <w:rPr>
          <w:color w:val="auto"/>
          <w:lang w:val="en-CA"/>
        </w:rPr>
        <w:t>includes “the value of any property, benefit or advantage, irrespective of its location, obtained or derived directly or indirectly as a result of the commission of an offence,” however enforcement of fines is at the discretion of the Minister of Justice.</w:t>
      </w:r>
      <w:r w:rsidRPr="00AA6144">
        <w:rPr>
          <w:rStyle w:val="FootnoteReference"/>
          <w:color w:val="auto"/>
          <w:lang w:val="en-CA"/>
        </w:rPr>
        <w:footnoteReference w:id="617"/>
      </w:r>
      <w:r w:rsidRPr="00AA6144">
        <w:rPr>
          <w:color w:val="auto"/>
          <w:lang w:val="en-CA"/>
        </w:rPr>
        <w:t xml:space="preserve">  </w:t>
      </w:r>
    </w:p>
    <w:p w14:paraId="1A9BC059" w14:textId="77777777" w:rsidR="009E3308" w:rsidRPr="00AA6144" w:rsidRDefault="009E3308" w:rsidP="009E3308">
      <w:pPr>
        <w:widowControl/>
        <w:suppressAutoHyphens w:val="0"/>
        <w:autoSpaceDE w:val="0"/>
        <w:autoSpaceDN w:val="0"/>
        <w:adjustRightInd w:val="0"/>
        <w:spacing w:after="0"/>
        <w:rPr>
          <w:color w:val="auto"/>
          <w:lang w:val="en-CA"/>
        </w:rPr>
      </w:pPr>
    </w:p>
    <w:p w14:paraId="642EE5FB" w14:textId="77777777" w:rsidR="009E3308" w:rsidRPr="00AA6144" w:rsidRDefault="009E3308" w:rsidP="009E3308">
      <w:pPr>
        <w:widowControl/>
        <w:suppressAutoHyphens w:val="0"/>
        <w:autoSpaceDE w:val="0"/>
        <w:autoSpaceDN w:val="0"/>
        <w:adjustRightInd w:val="0"/>
        <w:spacing w:after="0"/>
        <w:rPr>
          <w:color w:val="auto"/>
          <w:lang w:val="en-CA"/>
        </w:rPr>
      </w:pPr>
      <w:r w:rsidRPr="00AA6144">
        <w:rPr>
          <w:color w:val="auto"/>
          <w:lang w:val="en-CA"/>
        </w:rPr>
        <w:t>Under the public law exception to enforcement of foreign judgments, t</w:t>
      </w:r>
      <w:r w:rsidRPr="00AA6144">
        <w:rPr>
          <w:rStyle w:val="verdana"/>
          <w:color w:val="auto"/>
          <w:lang w:val="en-CA"/>
        </w:rPr>
        <w:t xml:space="preserve">he </w:t>
      </w:r>
      <w:r w:rsidRPr="00AA6144">
        <w:rPr>
          <w:rFonts w:cs="Sabon-Roman"/>
          <w:color w:val="auto"/>
          <w:szCs w:val="18"/>
          <w:lang w:val="en-CA" w:eastAsia="en-US"/>
        </w:rPr>
        <w:t xml:space="preserve">Supreme Court of Canada has held that Canadian courts will not </w:t>
      </w:r>
      <w:r w:rsidRPr="00AA6144">
        <w:rPr>
          <w:color w:val="auto"/>
          <w:lang w:val="en-CA"/>
        </w:rPr>
        <w:t xml:space="preserve">enforce foreign public law, including quasi-criminal awards such as contempt orders, because this would </w:t>
      </w:r>
      <w:r w:rsidR="001178E6" w:rsidRPr="00AA6144">
        <w:rPr>
          <w:color w:val="auto"/>
          <w:lang w:val="en-CA"/>
        </w:rPr>
        <w:t xml:space="preserve">constitute </w:t>
      </w:r>
      <w:r w:rsidRPr="00AA6144">
        <w:rPr>
          <w:color w:val="auto"/>
          <w:lang w:val="en-CA"/>
        </w:rPr>
        <w:t>an extraterritorial application of state sovereignty.</w:t>
      </w:r>
      <w:r w:rsidRPr="00AA6144">
        <w:rPr>
          <w:rStyle w:val="FootnoteReference"/>
          <w:rFonts w:cs="Sabon-Roman"/>
          <w:color w:val="auto"/>
          <w:szCs w:val="18"/>
          <w:lang w:val="en-CA" w:eastAsia="en-US"/>
        </w:rPr>
        <w:footnoteReference w:id="618"/>
      </w:r>
      <w:r w:rsidRPr="00AA6144">
        <w:rPr>
          <w:rFonts w:cs="Sabon-Roman"/>
          <w:color w:val="auto"/>
          <w:szCs w:val="18"/>
          <w:lang w:val="en-CA" w:eastAsia="en-US"/>
        </w:rPr>
        <w:t xml:space="preserve"> </w:t>
      </w:r>
      <w:r w:rsidRPr="00AA6144">
        <w:rPr>
          <w:color w:val="auto"/>
          <w:lang w:val="en-CA"/>
        </w:rPr>
        <w:t>J</w:t>
      </w:r>
      <w:r w:rsidRPr="00AA6144">
        <w:rPr>
          <w:rFonts w:cs="Sabon-Roman"/>
          <w:color w:val="auto"/>
          <w:szCs w:val="18"/>
          <w:lang w:val="en-CA" w:eastAsia="en-US"/>
        </w:rPr>
        <w:t xml:space="preserve">urisprudence in lower courts </w:t>
      </w:r>
      <w:r w:rsidRPr="00AA6144">
        <w:rPr>
          <w:color w:val="auto"/>
          <w:lang w:val="en-CA"/>
        </w:rPr>
        <w:t>has suggested that the principles of comity that inform the Supreme Court of Canada’s private international law decisions should also inform the recognition of foreign judgments, even those of a quasi-public nature.</w:t>
      </w:r>
      <w:r w:rsidRPr="00AA6144">
        <w:rPr>
          <w:rStyle w:val="FootnoteReference"/>
          <w:color w:val="auto"/>
          <w:lang w:val="en-CA"/>
        </w:rPr>
        <w:footnoteReference w:id="619"/>
      </w:r>
      <w:r w:rsidRPr="00AA6144">
        <w:rPr>
          <w:color w:val="auto"/>
          <w:lang w:val="en-CA"/>
        </w:rPr>
        <w:t xml:space="preserve">  In the event that a penal judgment is not enforceable, </w:t>
      </w:r>
      <w:r w:rsidRPr="00AA6144">
        <w:rPr>
          <w:rStyle w:val="verdana"/>
          <w:color w:val="auto"/>
          <w:lang w:val="en-CA"/>
        </w:rPr>
        <w:t xml:space="preserve">a judgment based both on civil and criminal liability is severable, and that part of </w:t>
      </w:r>
      <w:r w:rsidR="00DE1BD7" w:rsidRPr="00AA6144">
        <w:rPr>
          <w:rStyle w:val="verdana"/>
          <w:color w:val="auto"/>
          <w:lang w:val="en-CA"/>
        </w:rPr>
        <w:t xml:space="preserve">the judgment </w:t>
      </w:r>
      <w:r w:rsidRPr="00AA6144">
        <w:rPr>
          <w:rStyle w:val="verdana"/>
          <w:color w:val="auto"/>
          <w:lang w:val="en-CA"/>
        </w:rPr>
        <w:t>which awards damages is enforceable in Canada.</w:t>
      </w:r>
      <w:r w:rsidRPr="00AA6144">
        <w:rPr>
          <w:rStyle w:val="FootnoteReference"/>
          <w:color w:val="auto"/>
          <w:lang w:val="en-CA"/>
        </w:rPr>
        <w:footnoteReference w:id="620"/>
      </w:r>
      <w:r w:rsidRPr="00AA6144">
        <w:rPr>
          <w:color w:val="auto"/>
          <w:lang w:val="en-CA"/>
        </w:rPr>
        <w:t xml:space="preserve"> Because Canadian judgments in this area are sparse, the doctrine arises by way of reference to jurisprudence of England, Australia and New Zealand, but in Canada it has been said to rest on a “shaky foundation.”</w:t>
      </w:r>
      <w:bookmarkStart w:id="267" w:name="_Ref267057309"/>
      <w:r w:rsidRPr="00AA6144">
        <w:rPr>
          <w:rStyle w:val="FootnoteReference"/>
          <w:color w:val="auto"/>
          <w:lang w:val="en-CA"/>
        </w:rPr>
        <w:footnoteReference w:id="621"/>
      </w:r>
      <w:bookmarkEnd w:id="267"/>
      <w:r w:rsidRPr="00AA6144">
        <w:rPr>
          <w:color w:val="auto"/>
          <w:lang w:val="en-CA"/>
        </w:rPr>
        <w:t xml:space="preserve"> </w:t>
      </w:r>
    </w:p>
    <w:p w14:paraId="7639AB3E" w14:textId="77777777" w:rsidR="009E3308" w:rsidRPr="00AA6144" w:rsidRDefault="009E3308" w:rsidP="009E3308">
      <w:pPr>
        <w:widowControl/>
        <w:suppressAutoHyphens w:val="0"/>
        <w:autoSpaceDE w:val="0"/>
        <w:autoSpaceDN w:val="0"/>
        <w:adjustRightInd w:val="0"/>
        <w:spacing w:after="0" w:line="240" w:lineRule="auto"/>
        <w:rPr>
          <w:rFonts w:ascii="Sabon-Roman" w:hAnsi="Sabon-Roman" w:cs="Sabon-Roman"/>
          <w:color w:val="auto"/>
          <w:szCs w:val="18"/>
          <w:lang w:val="en-CA" w:eastAsia="en-US"/>
        </w:rPr>
      </w:pPr>
    </w:p>
    <w:p w14:paraId="1D6B5A4B" w14:textId="77777777" w:rsidR="009E3308" w:rsidRPr="00AA6144" w:rsidRDefault="009E3308" w:rsidP="00066291">
      <w:pPr>
        <w:pStyle w:val="Heading5"/>
        <w:rPr>
          <w:lang w:val="en-CA"/>
        </w:rPr>
      </w:pPr>
      <w:r w:rsidRPr="00AA6144">
        <w:rPr>
          <w:lang w:val="en-CA"/>
        </w:rPr>
        <w:t>7.2.1.5.3 Recognition of civil judgments in the common law jurisdictions of Canada</w:t>
      </w:r>
    </w:p>
    <w:p w14:paraId="3A73B0F5" w14:textId="77777777" w:rsidR="009E3308" w:rsidRPr="00AA6144" w:rsidRDefault="009E3308" w:rsidP="009E3308">
      <w:pPr>
        <w:pStyle w:val="AIBodyText"/>
        <w:rPr>
          <w:color w:val="auto"/>
          <w:lang w:val="en-CA"/>
        </w:rPr>
      </w:pPr>
      <w:r w:rsidRPr="00AA6144">
        <w:rPr>
          <w:rFonts w:cs="Sabon-Roman"/>
          <w:color w:val="auto"/>
          <w:szCs w:val="18"/>
          <w:lang w:val="en-CA" w:eastAsia="en-US"/>
        </w:rPr>
        <w:t xml:space="preserve">Recognition and </w:t>
      </w:r>
      <w:r w:rsidRPr="00AA6144">
        <w:rPr>
          <w:color w:val="auto"/>
          <w:lang w:val="en-CA"/>
        </w:rPr>
        <w:t>enforcement of a foreign judgment falls within the competence of the provinces for civil and property rights</w:t>
      </w:r>
      <w:r w:rsidRPr="00AA6144">
        <w:rPr>
          <w:rStyle w:val="FootnoteReference"/>
          <w:color w:val="auto"/>
          <w:lang w:val="en-CA"/>
        </w:rPr>
        <w:footnoteReference w:id="622"/>
      </w:r>
      <w:r w:rsidRPr="00AA6144">
        <w:rPr>
          <w:color w:val="auto"/>
          <w:lang w:val="en-CA"/>
        </w:rPr>
        <w:t xml:space="preserve"> because a judgment award is regarded as a debt between the parties to it and may only be executed against local assets.</w:t>
      </w:r>
      <w:r w:rsidRPr="00AA6144">
        <w:rPr>
          <w:rStyle w:val="FootnoteReference"/>
          <w:color w:val="auto"/>
          <w:lang w:val="en-CA"/>
        </w:rPr>
        <w:footnoteReference w:id="623"/>
      </w:r>
      <w:r w:rsidR="00492FC7" w:rsidRPr="00AA6144">
        <w:rPr>
          <w:color w:val="auto"/>
          <w:lang w:val="en-CA"/>
        </w:rPr>
        <w:t xml:space="preserve"> </w:t>
      </w:r>
      <w:r w:rsidR="005E460A" w:rsidRPr="00AA6144">
        <w:rPr>
          <w:color w:val="auto"/>
          <w:lang w:val="en-CA"/>
        </w:rPr>
        <w:t xml:space="preserve">A “foreign” judgment includes not only judgments from </w:t>
      </w:r>
      <w:r w:rsidR="00AB5C9F" w:rsidRPr="00AA6144">
        <w:rPr>
          <w:color w:val="auto"/>
          <w:lang w:val="en-CA"/>
        </w:rPr>
        <w:t>other states</w:t>
      </w:r>
      <w:r w:rsidR="005E460A" w:rsidRPr="00AA6144">
        <w:rPr>
          <w:color w:val="auto"/>
          <w:lang w:val="en-CA"/>
        </w:rPr>
        <w:t>, but also those judgments from other provinces or territories within Canada.</w:t>
      </w:r>
      <w:r w:rsidR="00492FC7" w:rsidRPr="00AA6144">
        <w:rPr>
          <w:color w:val="auto"/>
          <w:lang w:val="en-CA"/>
        </w:rPr>
        <w:t xml:space="preserve"> As such, </w:t>
      </w:r>
      <w:proofErr w:type="gramStart"/>
      <w:r w:rsidR="00492FC7" w:rsidRPr="00AA6144">
        <w:rPr>
          <w:rFonts w:cs="Sabon-Roman"/>
          <w:color w:val="auto"/>
          <w:szCs w:val="18"/>
          <w:lang w:val="en-CA" w:eastAsia="en-US"/>
        </w:rPr>
        <w:t>recognition</w:t>
      </w:r>
      <w:proofErr w:type="gramEnd"/>
      <w:r w:rsidRPr="00AA6144">
        <w:rPr>
          <w:rFonts w:cs="Sabon-Roman"/>
          <w:color w:val="auto"/>
          <w:szCs w:val="18"/>
          <w:lang w:val="en-CA" w:eastAsia="en-US"/>
        </w:rPr>
        <w:t xml:space="preserve"> and enforcement of foreign judgments in common law Canada (i.e. outside Quebec) are determined principally by common law principles established by jurisprudence from provincial courts and the Supreme Court of Canada. </w:t>
      </w:r>
      <w:r w:rsidRPr="00AA6144">
        <w:rPr>
          <w:color w:val="auto"/>
          <w:lang w:val="en-CA"/>
        </w:rPr>
        <w:t>A judgment must be recognized before it can be enforced, which can be accomplished via the common law, or via a legislative system of registration based on the Uniform Law Conference of Canada’s Model Act on the enforcement of foreign judgments.</w:t>
      </w:r>
      <w:r w:rsidRPr="00AA6144">
        <w:rPr>
          <w:rStyle w:val="FootnoteReference"/>
          <w:color w:val="auto"/>
          <w:lang w:val="en-CA"/>
        </w:rPr>
        <w:footnoteReference w:id="624"/>
      </w:r>
      <w:r w:rsidRPr="00AA6144">
        <w:rPr>
          <w:color w:val="auto"/>
          <w:lang w:val="en-CA"/>
        </w:rPr>
        <w:t xml:space="preserve">  A treaty-based system of registration also exists for the recognition of judgments from the United Kingdom.</w:t>
      </w:r>
      <w:r w:rsidRPr="00AA6144">
        <w:rPr>
          <w:rStyle w:val="FootnoteReference"/>
          <w:color w:val="auto"/>
          <w:lang w:val="en-CA"/>
        </w:rPr>
        <w:footnoteReference w:id="625"/>
      </w:r>
      <w:r w:rsidRPr="00AA6144">
        <w:rPr>
          <w:color w:val="auto"/>
          <w:lang w:val="en-CA"/>
        </w:rPr>
        <w:t xml:space="preserve">  </w:t>
      </w:r>
    </w:p>
    <w:p w14:paraId="03588C50" w14:textId="77777777" w:rsidR="009E3308" w:rsidRPr="00AA6144" w:rsidRDefault="009E3308" w:rsidP="009E3308">
      <w:pPr>
        <w:pStyle w:val="AIBodyText"/>
        <w:rPr>
          <w:color w:val="auto"/>
          <w:lang w:val="en-CA"/>
        </w:rPr>
      </w:pPr>
      <w:r w:rsidRPr="00AA6144">
        <w:rPr>
          <w:rStyle w:val="verdana"/>
          <w:color w:val="auto"/>
          <w:lang w:val="en-CA"/>
        </w:rPr>
        <w:t>T</w:t>
      </w:r>
      <w:r w:rsidRPr="00AA6144">
        <w:rPr>
          <w:color w:val="auto"/>
          <w:lang w:val="en-CA"/>
        </w:rPr>
        <w:t>he two methods</w:t>
      </w:r>
      <w:r w:rsidR="00AB5C9F" w:rsidRPr="00AA6144">
        <w:rPr>
          <w:color w:val="auto"/>
          <w:lang w:val="en-CA"/>
        </w:rPr>
        <w:t xml:space="preserve"> of recognition of foreign judgments,</w:t>
      </w:r>
      <w:r w:rsidR="00AB5C9F" w:rsidRPr="00AA6144" w:rsidDel="00AB5C9F">
        <w:rPr>
          <w:color w:val="auto"/>
          <w:lang w:val="en-CA"/>
        </w:rPr>
        <w:t xml:space="preserve"> </w:t>
      </w:r>
      <w:r w:rsidRPr="00AA6144">
        <w:rPr>
          <w:color w:val="auto"/>
          <w:lang w:val="en-CA"/>
        </w:rPr>
        <w:t>registration under statute and recognition at common law</w:t>
      </w:r>
      <w:r w:rsidR="003948E7" w:rsidRPr="00AA6144">
        <w:rPr>
          <w:color w:val="auto"/>
          <w:lang w:val="en-CA"/>
        </w:rPr>
        <w:t>,</w:t>
      </w:r>
      <w:r w:rsidR="00AB5C9F" w:rsidRPr="00AA6144">
        <w:rPr>
          <w:color w:val="auto"/>
          <w:lang w:val="en-CA"/>
        </w:rPr>
        <w:t xml:space="preserve"> </w:t>
      </w:r>
      <w:r w:rsidRPr="00AA6144">
        <w:rPr>
          <w:color w:val="auto"/>
          <w:lang w:val="en-CA"/>
        </w:rPr>
        <w:t>are not mutually exclusive. The sy</w:t>
      </w:r>
      <w:r w:rsidR="00492FC7" w:rsidRPr="00AA6144">
        <w:rPr>
          <w:color w:val="auto"/>
          <w:lang w:val="en-CA"/>
        </w:rPr>
        <w:t>s</w:t>
      </w:r>
      <w:r w:rsidRPr="00AA6144">
        <w:rPr>
          <w:color w:val="auto"/>
          <w:lang w:val="en-CA"/>
        </w:rPr>
        <w:t xml:space="preserve">tem of registration of a foreign judgment generally preserves the right of individuals at common law to </w:t>
      </w:r>
      <w:r w:rsidRPr="00AA6144">
        <w:rPr>
          <w:rStyle w:val="verdana"/>
          <w:color w:val="auto"/>
          <w:lang w:val="en-CA"/>
        </w:rPr>
        <w:t xml:space="preserve">bring an action on the original cause of action or an action for enforcement of the foreign judgment </w:t>
      </w:r>
      <w:r w:rsidRPr="00AA6144">
        <w:rPr>
          <w:color w:val="auto"/>
          <w:lang w:val="en-CA"/>
        </w:rPr>
        <w:t>without altering the substantive legal standards of enforcement,</w:t>
      </w:r>
      <w:r w:rsidRPr="00AA6144">
        <w:rPr>
          <w:rStyle w:val="verdana"/>
          <w:color w:val="auto"/>
          <w:lang w:val="en-CA"/>
        </w:rPr>
        <w:t xml:space="preserve"> even if proceedings have been </w:t>
      </w:r>
      <w:r w:rsidR="002A5CBA" w:rsidRPr="00AA6144">
        <w:rPr>
          <w:rStyle w:val="verdana"/>
          <w:color w:val="auto"/>
          <w:lang w:val="en-CA"/>
        </w:rPr>
        <w:t xml:space="preserve">initiated </w:t>
      </w:r>
      <w:r w:rsidRPr="00AA6144">
        <w:rPr>
          <w:rStyle w:val="verdana"/>
          <w:color w:val="auto"/>
          <w:lang w:val="en-CA"/>
        </w:rPr>
        <w:t>under the legislation (provided it is a final judgment and not in violation of the principles of natural justice).</w:t>
      </w:r>
      <w:bookmarkStart w:id="268" w:name="_Ref267057137"/>
      <w:r w:rsidRPr="00AA6144">
        <w:rPr>
          <w:rStyle w:val="FootnoteReference"/>
          <w:color w:val="auto"/>
          <w:lang w:val="en-CA"/>
        </w:rPr>
        <w:footnoteReference w:id="626"/>
      </w:r>
      <w:bookmarkEnd w:id="268"/>
      <w:r w:rsidRPr="00AA6144">
        <w:rPr>
          <w:rStyle w:val="verdana"/>
          <w:color w:val="auto"/>
          <w:lang w:val="en-CA"/>
        </w:rPr>
        <w:t xml:space="preserve"> </w:t>
      </w:r>
      <w:r w:rsidRPr="00AA6144">
        <w:rPr>
          <w:color w:val="auto"/>
          <w:lang w:val="en-CA"/>
        </w:rPr>
        <w:t xml:space="preserve">The </w:t>
      </w:r>
      <w:r w:rsidRPr="00AA6144">
        <w:rPr>
          <w:rStyle w:val="verdana"/>
          <w:color w:val="auto"/>
          <w:lang w:val="en-CA"/>
        </w:rPr>
        <w:t xml:space="preserve">statutory system of recognition is often more efficient than the common law method of enforcement, which can be cumbersome and expensive.  </w:t>
      </w:r>
      <w:r w:rsidRPr="00AA6144">
        <w:rPr>
          <w:color w:val="auto"/>
          <w:lang w:val="en-CA"/>
        </w:rPr>
        <w:t>However the limitation periods for each method are different (with registration usually having a longer limitation period) and the provincial system of registration (with the exception of New Brunswick and Saskatchewan) only applies to jurisdictions with reciprocal recognition of provincial judgments, so their recognition of foreign civil judgments is limited</w:t>
      </w:r>
      <w:r w:rsidRPr="00AA6144">
        <w:rPr>
          <w:rStyle w:val="verdana"/>
          <w:color w:val="auto"/>
          <w:lang w:val="en-CA"/>
        </w:rPr>
        <w:t>.</w:t>
      </w:r>
    </w:p>
    <w:p w14:paraId="770B7C5A" w14:textId="77777777" w:rsidR="009E3308" w:rsidRPr="00AA6144" w:rsidRDefault="009E3308" w:rsidP="00066291">
      <w:pPr>
        <w:pStyle w:val="Heading6"/>
        <w:rPr>
          <w:rFonts w:ascii="Sabon-Roman" w:hAnsi="Sabon-Roman" w:cs="Sabon-Roman"/>
          <w:szCs w:val="18"/>
          <w:lang w:val="en-CA" w:eastAsia="en-US"/>
        </w:rPr>
      </w:pPr>
      <w:r w:rsidRPr="00AA6144">
        <w:rPr>
          <w:lang w:val="en-CA"/>
        </w:rPr>
        <w:t>7.2.1.5.3.1 Recognition of foreign civil judgments via registration in common law jurisdictions of Canada</w:t>
      </w:r>
    </w:p>
    <w:p w14:paraId="0EAE77BE" w14:textId="77777777" w:rsidR="009E3308" w:rsidRPr="00AA6144" w:rsidRDefault="009E3308" w:rsidP="009E3308">
      <w:pPr>
        <w:pStyle w:val="AIBodyText"/>
        <w:rPr>
          <w:rFonts w:cs="Sabon-Roman"/>
          <w:color w:val="auto"/>
          <w:szCs w:val="18"/>
          <w:lang w:val="en-CA" w:eastAsia="en-US"/>
        </w:rPr>
      </w:pPr>
      <w:r w:rsidRPr="00AA6144">
        <w:rPr>
          <w:rStyle w:val="verdana"/>
          <w:color w:val="auto"/>
          <w:lang w:val="en-CA"/>
        </w:rPr>
        <w:t xml:space="preserve">The provincial statutes providing for the registration and enforcement of a foreign judgment generally have three requirements: proper exercise of jurisdiction, </w:t>
      </w:r>
      <w:r w:rsidRPr="00AA6144">
        <w:rPr>
          <w:rStyle w:val="verdana"/>
          <w:i/>
          <w:color w:val="auto"/>
          <w:lang w:val="en-CA"/>
        </w:rPr>
        <w:t>res judicata</w:t>
      </w:r>
      <w:r w:rsidRPr="00AA6144">
        <w:rPr>
          <w:rStyle w:val="verdana"/>
          <w:color w:val="auto"/>
          <w:lang w:val="en-CA"/>
        </w:rPr>
        <w:t xml:space="preserve">, and reciprocity, </w:t>
      </w:r>
      <w:r w:rsidRPr="00AA6144">
        <w:rPr>
          <w:rFonts w:cs="Sabon-Roman"/>
          <w:color w:val="auto"/>
          <w:szCs w:val="18"/>
          <w:lang w:val="en-CA" w:eastAsia="en-US"/>
        </w:rPr>
        <w:t>and will prohibit registration on the basis of one of the available defen</w:t>
      </w:r>
      <w:r w:rsidR="00A65EAE" w:rsidRPr="00AA6144">
        <w:rPr>
          <w:rFonts w:cs="Sabon-Roman"/>
          <w:color w:val="auto"/>
          <w:szCs w:val="18"/>
          <w:lang w:val="en-CA" w:eastAsia="en-US"/>
        </w:rPr>
        <w:t>c</w:t>
      </w:r>
      <w:r w:rsidRPr="00AA6144">
        <w:rPr>
          <w:rFonts w:cs="Sabon-Roman"/>
          <w:color w:val="auto"/>
          <w:szCs w:val="18"/>
          <w:lang w:val="en-CA" w:eastAsia="en-US"/>
        </w:rPr>
        <w:t>es.</w:t>
      </w:r>
      <w:bookmarkStart w:id="269" w:name="_Ref267057244"/>
      <w:r w:rsidRPr="00AA6144">
        <w:rPr>
          <w:rStyle w:val="FootnoteReference"/>
          <w:rFonts w:cs="Sabon-Roman"/>
          <w:color w:val="auto"/>
          <w:szCs w:val="18"/>
          <w:lang w:val="en-CA" w:eastAsia="en-US"/>
        </w:rPr>
        <w:footnoteReference w:id="627"/>
      </w:r>
      <w:bookmarkEnd w:id="269"/>
      <w:r w:rsidRPr="00AA6144">
        <w:rPr>
          <w:rStyle w:val="verdana"/>
          <w:color w:val="auto"/>
          <w:lang w:val="en-CA"/>
        </w:rPr>
        <w:t xml:space="preserve">  The limitation period for registration is generally six years from the date of the original judgment,</w:t>
      </w:r>
      <w:r w:rsidRPr="00AA6144">
        <w:rPr>
          <w:rStyle w:val="FootnoteReference"/>
          <w:color w:val="auto"/>
          <w:lang w:val="en-CA"/>
        </w:rPr>
        <w:footnoteReference w:id="628"/>
      </w:r>
      <w:r w:rsidRPr="00AA6144">
        <w:rPr>
          <w:rStyle w:val="verdana"/>
          <w:color w:val="auto"/>
          <w:lang w:val="en-CA"/>
        </w:rPr>
        <w:t xml:space="preserve"> and the judgment must be final (i.e. enforceable in the same manner as in the jurisdictions where they originated), for which it is usually sufficient that the individual seeking collection on the judgment provide an </w:t>
      </w:r>
      <w:r w:rsidR="00492FC7" w:rsidRPr="00AA6144">
        <w:rPr>
          <w:rStyle w:val="verdana"/>
          <w:color w:val="auto"/>
          <w:lang w:val="en-CA"/>
        </w:rPr>
        <w:t>affidavit</w:t>
      </w:r>
      <w:r w:rsidRPr="00AA6144">
        <w:rPr>
          <w:rStyle w:val="verdana"/>
          <w:color w:val="auto"/>
          <w:lang w:val="en-CA"/>
        </w:rPr>
        <w:t xml:space="preserve"> stipulating that this is the case.</w:t>
      </w:r>
      <w:r w:rsidRPr="00AA6144">
        <w:rPr>
          <w:rStyle w:val="FootnoteReference"/>
          <w:color w:val="auto"/>
          <w:lang w:val="en-CA"/>
        </w:rPr>
        <w:footnoteReference w:id="629"/>
      </w:r>
      <w:r w:rsidRPr="00AA6144">
        <w:rPr>
          <w:rStyle w:val="verdana"/>
          <w:color w:val="auto"/>
          <w:lang w:val="en-CA"/>
        </w:rPr>
        <w:t xml:space="preserve">  Because of the reciprocity requirement, registration is generally only provided for judgements from other provinces. </w:t>
      </w:r>
      <w:r w:rsidRPr="00AA6144">
        <w:rPr>
          <w:color w:val="auto"/>
          <w:lang w:val="en-CA"/>
        </w:rPr>
        <w:t>Only New Brunswick and Saskatchewan have legislation that explicitly allows registration of foreign judgments as well as judgments from other jurisdictions in Canada.</w:t>
      </w:r>
      <w:r w:rsidRPr="00AA6144">
        <w:rPr>
          <w:rStyle w:val="FootnoteReference"/>
          <w:color w:val="auto"/>
          <w:lang w:val="en-CA"/>
        </w:rPr>
        <w:footnoteReference w:id="630"/>
      </w:r>
      <w:r w:rsidRPr="00AA6144">
        <w:rPr>
          <w:color w:val="auto"/>
          <w:lang w:val="en-CA"/>
        </w:rPr>
        <w:t xml:space="preserve">  </w:t>
      </w:r>
      <w:r w:rsidRPr="00AA6144">
        <w:rPr>
          <w:rFonts w:cs="Sabon-Roman"/>
          <w:color w:val="auto"/>
          <w:szCs w:val="18"/>
          <w:lang w:val="en-CA" w:eastAsia="en-US"/>
        </w:rPr>
        <w:t>The legislative regimes in Alberta,</w:t>
      </w:r>
      <w:r w:rsidRPr="00AA6144">
        <w:rPr>
          <w:rStyle w:val="FootnoteReference"/>
          <w:rFonts w:cs="Sabon-Roman"/>
          <w:color w:val="auto"/>
          <w:szCs w:val="18"/>
          <w:lang w:val="en-CA" w:eastAsia="en-US"/>
        </w:rPr>
        <w:footnoteReference w:id="631"/>
      </w:r>
      <w:r w:rsidRPr="00AA6144">
        <w:rPr>
          <w:rFonts w:cs="Sabon-Roman"/>
          <w:color w:val="auto"/>
          <w:szCs w:val="18"/>
          <w:lang w:val="en-CA" w:eastAsia="en-US"/>
        </w:rPr>
        <w:t xml:space="preserve"> Manitoba,</w:t>
      </w:r>
      <w:r w:rsidRPr="00AA6144">
        <w:rPr>
          <w:rStyle w:val="FootnoteReference"/>
          <w:rFonts w:cs="Sabon-Roman"/>
          <w:color w:val="auto"/>
          <w:szCs w:val="18"/>
          <w:lang w:val="en-CA" w:eastAsia="en-US"/>
        </w:rPr>
        <w:footnoteReference w:id="632"/>
      </w:r>
      <w:r w:rsidRPr="00AA6144">
        <w:rPr>
          <w:rFonts w:cs="Sabon-Roman"/>
          <w:color w:val="auto"/>
          <w:szCs w:val="18"/>
          <w:lang w:val="en-CA" w:eastAsia="en-US"/>
        </w:rPr>
        <w:t xml:space="preserve"> and Newfoundland and Labrador</w:t>
      </w:r>
      <w:r w:rsidRPr="00AA6144">
        <w:rPr>
          <w:rStyle w:val="FootnoteReference"/>
          <w:rFonts w:cs="Sabon-Roman"/>
          <w:color w:val="auto"/>
          <w:szCs w:val="18"/>
          <w:lang w:val="en-CA" w:eastAsia="en-US"/>
        </w:rPr>
        <w:footnoteReference w:id="633"/>
      </w:r>
      <w:r w:rsidRPr="00AA6144">
        <w:rPr>
          <w:rFonts w:cs="Sabon-Roman"/>
          <w:color w:val="auto"/>
          <w:szCs w:val="18"/>
          <w:lang w:val="en-CA" w:eastAsia="en-US"/>
        </w:rPr>
        <w:t xml:space="preserve"> also apply to judgments from specified states of the United States and territories of the Commonwealth of Australia, on the basis of reciprocal recognition of provincial judgments in these respective states and territories. </w:t>
      </w:r>
    </w:p>
    <w:p w14:paraId="56346EFE" w14:textId="77777777" w:rsidR="009E3308" w:rsidRPr="00AA6144" w:rsidRDefault="009E3308" w:rsidP="009E3308">
      <w:pPr>
        <w:widowControl/>
        <w:suppressAutoHyphens w:val="0"/>
        <w:autoSpaceDE w:val="0"/>
        <w:autoSpaceDN w:val="0"/>
        <w:adjustRightInd w:val="0"/>
        <w:spacing w:after="0"/>
        <w:rPr>
          <w:rFonts w:cs="Sabon-Roman"/>
          <w:color w:val="auto"/>
          <w:szCs w:val="18"/>
          <w:lang w:val="en-CA" w:eastAsia="en-US"/>
        </w:rPr>
      </w:pPr>
      <w:r w:rsidRPr="00AA6144">
        <w:rPr>
          <w:rFonts w:cs="Sabon-Roman"/>
          <w:color w:val="auto"/>
          <w:szCs w:val="18"/>
          <w:lang w:val="en-CA" w:eastAsia="en-US"/>
        </w:rPr>
        <w:t xml:space="preserve">Enforcement in Canada of civil judgments from the United Kingdom is provided for by the </w:t>
      </w:r>
      <w:r w:rsidRPr="00AA6144">
        <w:rPr>
          <w:rFonts w:cs="Sabon-Roman"/>
          <w:i/>
          <w:color w:val="auto"/>
          <w:szCs w:val="18"/>
          <w:lang w:val="en-CA" w:eastAsia="en-US"/>
        </w:rPr>
        <w:t>Convention between Canada and the United Kingdom of Great Britain and Northern Ireland providing for the Reciprocal Recognition and Enforcement of Judgments in Civil and Commercial Matters</w:t>
      </w:r>
      <w:r w:rsidRPr="00AA6144">
        <w:rPr>
          <w:rFonts w:cs="Sabon-Roman"/>
          <w:color w:val="auto"/>
          <w:szCs w:val="18"/>
          <w:lang w:val="en-CA" w:eastAsia="en-US"/>
        </w:rPr>
        <w:t>.</w:t>
      </w:r>
      <w:r w:rsidRPr="00AA6144">
        <w:rPr>
          <w:rStyle w:val="FootnoteReference"/>
          <w:rFonts w:cs="Sabon-Roman"/>
          <w:color w:val="auto"/>
          <w:szCs w:val="18"/>
          <w:lang w:val="en-CA" w:eastAsia="en-US"/>
        </w:rPr>
        <w:footnoteReference w:id="634"/>
      </w:r>
      <w:r w:rsidRPr="00AA6144">
        <w:rPr>
          <w:rFonts w:cs="Sabon-Roman"/>
          <w:color w:val="auto"/>
          <w:szCs w:val="18"/>
          <w:lang w:val="en-CA" w:eastAsia="en-US"/>
        </w:rPr>
        <w:t xml:space="preserve"> Federal and provincial legislation have implemented this convention in the nine common law provinces (i.e. excluding Quebec).</w:t>
      </w:r>
      <w:r w:rsidRPr="00AA6144">
        <w:rPr>
          <w:rStyle w:val="FootnoteReference"/>
          <w:rFonts w:cs="Sabon-Roman"/>
          <w:color w:val="auto"/>
          <w:szCs w:val="18"/>
          <w:lang w:val="en-CA" w:eastAsia="en-US"/>
        </w:rPr>
        <w:footnoteReference w:id="635"/>
      </w:r>
      <w:r w:rsidRPr="00AA6144">
        <w:rPr>
          <w:rFonts w:cs="Sabon-Roman"/>
          <w:color w:val="auto"/>
          <w:szCs w:val="18"/>
          <w:lang w:val="en-CA" w:eastAsia="en-US"/>
        </w:rPr>
        <w:t xml:space="preserve">  The legislation is similar to those described above, and generally provides for recognition via application to the local court, through streamlined procedures, for an order for registration of a civil judgment obtained in Great Britain or Northern Ireland.  Such an application must be brought within six years after the date of the original judgment or that of its final appeal.</w:t>
      </w:r>
      <w:r w:rsidRPr="00AA6144">
        <w:rPr>
          <w:rStyle w:val="FootnoteReference"/>
          <w:rFonts w:cs="Sabon-Roman"/>
          <w:color w:val="auto"/>
          <w:szCs w:val="18"/>
          <w:lang w:val="en-CA" w:eastAsia="en-US"/>
        </w:rPr>
        <w:footnoteReference w:id="636"/>
      </w:r>
      <w:r w:rsidRPr="00AA6144">
        <w:rPr>
          <w:rFonts w:cs="Sabon-Roman"/>
          <w:color w:val="auto"/>
          <w:szCs w:val="18"/>
          <w:lang w:val="en-CA" w:eastAsia="en-US"/>
        </w:rPr>
        <w:t xml:space="preserve">  The Convention applies only to a judgment for the payment of money</w:t>
      </w:r>
      <w:r w:rsidRPr="00AA6144">
        <w:rPr>
          <w:rStyle w:val="FootnoteReference"/>
          <w:rFonts w:cs="Sabon-Roman"/>
          <w:color w:val="auto"/>
          <w:szCs w:val="18"/>
          <w:lang w:val="en-CA" w:eastAsia="en-US"/>
        </w:rPr>
        <w:footnoteReference w:id="637"/>
      </w:r>
      <w:r w:rsidRPr="00AA6144">
        <w:rPr>
          <w:rFonts w:cs="Sabon-Roman"/>
          <w:color w:val="auto"/>
          <w:szCs w:val="18"/>
          <w:lang w:val="en-CA" w:eastAsia="en-US"/>
        </w:rPr>
        <w:t xml:space="preserve"> and is expressly without prejudice to any other remedy available to a judgment creditor for recognition and enforcement of a judgment of another contracting state.</w:t>
      </w:r>
      <w:r w:rsidRPr="00AA6144">
        <w:rPr>
          <w:rStyle w:val="FootnoteReference"/>
          <w:rFonts w:cs="Sabon-Roman"/>
          <w:color w:val="auto"/>
          <w:szCs w:val="18"/>
          <w:lang w:val="en-CA" w:eastAsia="en-US"/>
        </w:rPr>
        <w:footnoteReference w:id="638"/>
      </w:r>
    </w:p>
    <w:p w14:paraId="3492DE3E" w14:textId="77777777" w:rsidR="009E3308" w:rsidRPr="00AA6144" w:rsidRDefault="009E3308" w:rsidP="009E3308">
      <w:pPr>
        <w:widowControl/>
        <w:suppressAutoHyphens w:val="0"/>
        <w:autoSpaceDE w:val="0"/>
        <w:autoSpaceDN w:val="0"/>
        <w:adjustRightInd w:val="0"/>
        <w:spacing w:after="0"/>
        <w:rPr>
          <w:rFonts w:cs="Sabon-Roman"/>
          <w:color w:val="auto"/>
          <w:szCs w:val="18"/>
          <w:lang w:val="en-CA" w:eastAsia="en-US"/>
        </w:rPr>
      </w:pPr>
    </w:p>
    <w:p w14:paraId="0164AD72" w14:textId="77777777" w:rsidR="009E3308" w:rsidRPr="00AA6144" w:rsidRDefault="009E3308" w:rsidP="009E3308">
      <w:pPr>
        <w:pStyle w:val="AIBodyText"/>
        <w:rPr>
          <w:rFonts w:ascii="Sabon-Roman" w:hAnsi="Sabon-Roman" w:cs="Sabon-Roman"/>
          <w:color w:val="auto"/>
          <w:szCs w:val="18"/>
          <w:lang w:val="en-CA" w:eastAsia="en-US"/>
        </w:rPr>
      </w:pPr>
      <w:r w:rsidRPr="00AA6144">
        <w:rPr>
          <w:rFonts w:cs="Sabon-Roman"/>
          <w:color w:val="auto"/>
          <w:szCs w:val="18"/>
          <w:lang w:val="en-CA" w:eastAsia="en-US"/>
        </w:rPr>
        <w:t>Universal jurisdiction is not provided for as a valid basis for the exercise of jurisdiction of a foreign court with respect to a civil judgment, and it is not clear whether a court exercising jurisdiction on that basis would be seen to have done so properly for the purpose of registering the judgment in Canada.  The New Brunswick statute will only recogni</w:t>
      </w:r>
      <w:r w:rsidR="00496F0E" w:rsidRPr="00AA6144">
        <w:rPr>
          <w:rFonts w:cs="Sabon-Roman"/>
          <w:color w:val="auto"/>
          <w:szCs w:val="18"/>
          <w:lang w:val="en-CA" w:eastAsia="en-US"/>
        </w:rPr>
        <w:t>z</w:t>
      </w:r>
      <w:r w:rsidRPr="00AA6144">
        <w:rPr>
          <w:rFonts w:cs="Sabon-Roman"/>
          <w:color w:val="auto"/>
          <w:szCs w:val="18"/>
          <w:lang w:val="en-CA" w:eastAsia="en-US"/>
        </w:rPr>
        <w:t>e the jurisdiction of the court of a foreign country if the defendant was ordinarily resident in that country at the time of commencement of the action or otherwise submitted to the jurisdiction of that court.</w:t>
      </w:r>
      <w:r w:rsidRPr="00AA6144">
        <w:rPr>
          <w:rStyle w:val="FootnoteReference"/>
          <w:rFonts w:cs="Sabon-Roman"/>
          <w:color w:val="auto"/>
          <w:szCs w:val="18"/>
          <w:lang w:val="en-CA" w:eastAsia="en-US"/>
        </w:rPr>
        <w:footnoteReference w:id="639"/>
      </w:r>
      <w:r w:rsidRPr="00AA6144">
        <w:rPr>
          <w:rFonts w:cs="Sabon-Roman"/>
          <w:color w:val="auto"/>
          <w:szCs w:val="18"/>
          <w:lang w:val="en-CA" w:eastAsia="en-US"/>
        </w:rPr>
        <w:t xml:space="preserve">  Under the Saskatchewan statute, a court in the state of origin has jurisdiction in a civil proceeding brought against a person if, among other things, there was a real and substantial connection between the state of origin and the facts on which the proceeding was based.</w:t>
      </w:r>
      <w:r w:rsidRPr="00AA6144">
        <w:rPr>
          <w:rStyle w:val="FootnoteReference"/>
          <w:rFonts w:cs="Sabon-Roman"/>
          <w:color w:val="auto"/>
          <w:szCs w:val="18"/>
          <w:lang w:val="en-CA" w:eastAsia="en-US"/>
        </w:rPr>
        <w:footnoteReference w:id="640"/>
      </w:r>
      <w:r w:rsidRPr="00AA6144">
        <w:rPr>
          <w:rFonts w:cs="Sabon-Roman"/>
          <w:color w:val="auto"/>
          <w:szCs w:val="18"/>
          <w:lang w:val="en-CA" w:eastAsia="en-US"/>
        </w:rPr>
        <w:t xml:space="preserve">  This is a codification of the “real and substantial” test established by the Supreme Court to determine whether jurisdiction by a foreign court was properly exercised over the individual defending the action (see discussion in </w:t>
      </w:r>
      <w:r w:rsidR="00D10AF7" w:rsidRPr="00AA6144">
        <w:rPr>
          <w:rFonts w:cs="Sabon-Roman"/>
          <w:color w:val="auto"/>
          <w:szCs w:val="18"/>
          <w:lang w:val="en-CA" w:eastAsia="en-US"/>
        </w:rPr>
        <w:t>S</w:t>
      </w:r>
      <w:r w:rsidRPr="00AA6144">
        <w:rPr>
          <w:rFonts w:cs="Sabon-Roman"/>
          <w:color w:val="auto"/>
          <w:szCs w:val="18"/>
          <w:lang w:val="en-CA" w:eastAsia="en-US"/>
        </w:rPr>
        <w:t>ection 7.2.1.5.3.2 Recognition of civil judgments via the common law in common law jurisdictions of Canada below).</w:t>
      </w:r>
      <w:r w:rsidRPr="00AA6144">
        <w:rPr>
          <w:rFonts w:ascii="Sabon-Roman" w:hAnsi="Sabon-Roman" w:cs="Sabon-Roman"/>
          <w:color w:val="auto"/>
          <w:szCs w:val="18"/>
          <w:lang w:val="en-CA" w:eastAsia="en-US"/>
        </w:rPr>
        <w:t xml:space="preserve"> </w:t>
      </w:r>
    </w:p>
    <w:p w14:paraId="0E5E9561" w14:textId="77777777" w:rsidR="009E3308" w:rsidRPr="00AA6144" w:rsidRDefault="009E3308" w:rsidP="00066291">
      <w:pPr>
        <w:pStyle w:val="Heading6"/>
        <w:rPr>
          <w:rFonts w:ascii="Sabon-Roman" w:hAnsi="Sabon-Roman" w:cs="Sabon-Roman"/>
          <w:szCs w:val="18"/>
          <w:lang w:val="en-CA" w:eastAsia="en-US"/>
        </w:rPr>
      </w:pPr>
      <w:r w:rsidRPr="00AA6144">
        <w:rPr>
          <w:lang w:val="en-CA"/>
        </w:rPr>
        <w:t>7.2.1.5.3.2 Recognition and enforcement of civil judgments via the common law in Canada</w:t>
      </w:r>
    </w:p>
    <w:p w14:paraId="5D956F19" w14:textId="77777777" w:rsidR="009E3308" w:rsidRPr="00AA6144" w:rsidRDefault="009E3308" w:rsidP="009E3308">
      <w:pPr>
        <w:pStyle w:val="AIBodyText"/>
        <w:rPr>
          <w:color w:val="auto"/>
          <w:lang w:val="en-CA"/>
        </w:rPr>
      </w:pPr>
      <w:r w:rsidRPr="00AA6144">
        <w:rPr>
          <w:color w:val="auto"/>
          <w:lang w:val="en-CA"/>
        </w:rPr>
        <w:t xml:space="preserve">At common law, a foreign court must have properly exercised its jurisdiction </w:t>
      </w:r>
      <w:proofErr w:type="gramStart"/>
      <w:r w:rsidRPr="00AA6144">
        <w:rPr>
          <w:color w:val="auto"/>
          <w:lang w:val="en-CA"/>
        </w:rPr>
        <w:t>in order for</w:t>
      </w:r>
      <w:proofErr w:type="gramEnd"/>
      <w:r w:rsidRPr="00AA6144">
        <w:rPr>
          <w:color w:val="auto"/>
          <w:lang w:val="en-CA"/>
        </w:rPr>
        <w:t xml:space="preserve"> a Canadian court to recognize and enforce the foreign judgment.  J</w:t>
      </w:r>
      <w:r w:rsidRPr="00AA6144">
        <w:rPr>
          <w:rStyle w:val="verdana"/>
          <w:color w:val="auto"/>
          <w:lang w:val="en-CA"/>
        </w:rPr>
        <w:t>urisdiction may be based on traditional grounds, such as the defendant's presence in the jurisdiction or consent to submit to the court's jurisdiction, if established.</w:t>
      </w:r>
      <w:bookmarkStart w:id="270" w:name="_Ref267057360"/>
      <w:r w:rsidRPr="00AA6144">
        <w:rPr>
          <w:rStyle w:val="FootnoteReference"/>
          <w:color w:val="auto"/>
          <w:lang w:val="en-CA"/>
        </w:rPr>
        <w:footnoteReference w:id="641"/>
      </w:r>
      <w:bookmarkEnd w:id="270"/>
      <w:r w:rsidRPr="00AA6144">
        <w:rPr>
          <w:rStyle w:val="verdana"/>
          <w:color w:val="auto"/>
          <w:lang w:val="en-CA"/>
        </w:rPr>
        <w:t xml:space="preserve"> Otherwise, the “real and substantial connection” test is a constitutional requirement with respect to judgments of jurisdictions within Canada.  For parties who neither reside in Canada nor submitted to the jurisdiction in the foreign court, it remains the basic governing principle for establishing whether jurisdiction was properly assumed by a foreign court for the purposes of recognition.</w:t>
      </w:r>
      <w:r w:rsidRPr="00AA6144">
        <w:rPr>
          <w:color w:val="auto"/>
          <w:lang w:val="en-CA"/>
        </w:rPr>
        <w:t xml:space="preserve">  While this is a constitutional requirement with respect to judgments from other provinces, in the case of </w:t>
      </w:r>
      <w:proofErr w:type="spellStart"/>
      <w:r w:rsidRPr="00AA6144">
        <w:rPr>
          <w:i/>
          <w:color w:val="auto"/>
          <w:lang w:val="en-CA"/>
        </w:rPr>
        <w:t>Beals</w:t>
      </w:r>
      <w:proofErr w:type="spellEnd"/>
      <w:r w:rsidRPr="00AA6144">
        <w:rPr>
          <w:i/>
          <w:color w:val="auto"/>
          <w:lang w:val="en-CA"/>
        </w:rPr>
        <w:t xml:space="preserve"> v</w:t>
      </w:r>
      <w:r w:rsidR="00761741" w:rsidRPr="00AA6144">
        <w:rPr>
          <w:i/>
          <w:color w:val="auto"/>
          <w:lang w:val="en-CA"/>
        </w:rPr>
        <w:t>.</w:t>
      </w:r>
      <w:r w:rsidRPr="00AA6144">
        <w:rPr>
          <w:i/>
          <w:color w:val="auto"/>
          <w:lang w:val="en-CA"/>
        </w:rPr>
        <w:t xml:space="preserve"> Saldanha</w:t>
      </w:r>
      <w:r w:rsidRPr="00AA6144">
        <w:rPr>
          <w:color w:val="auto"/>
          <w:lang w:val="en-CA"/>
        </w:rPr>
        <w:t xml:space="preserve"> the Supreme Court of Canada specified that Canadian conflict of laws rules apply for the purpose of recognition and enforcement of a foreign civil judgment as well.</w:t>
      </w:r>
      <w:r w:rsidRPr="00AA6144">
        <w:rPr>
          <w:rStyle w:val="FootnoteReference"/>
          <w:color w:val="auto"/>
          <w:lang w:val="en-CA"/>
        </w:rPr>
        <w:footnoteReference w:id="642"/>
      </w:r>
      <w:r w:rsidRPr="00AA6144">
        <w:rPr>
          <w:color w:val="auto"/>
          <w:lang w:val="en-CA"/>
        </w:rPr>
        <w:t xml:space="preserve">  </w:t>
      </w:r>
      <w:r w:rsidRPr="00AA6144">
        <w:rPr>
          <w:rFonts w:cs="Sabon-Roman"/>
          <w:color w:val="auto"/>
          <w:szCs w:val="18"/>
          <w:lang w:val="en-CA" w:eastAsia="en-US"/>
        </w:rPr>
        <w:t>F</w:t>
      </w:r>
      <w:r w:rsidRPr="00AA6144">
        <w:rPr>
          <w:rStyle w:val="verdana"/>
          <w:color w:val="auto"/>
          <w:lang w:val="en-CA"/>
        </w:rPr>
        <w:t>raud, denial of due process or natural justice, or public policy (if the law upon which the judgment is based offends basic concepts of Canadian morality) are the bas</w:t>
      </w:r>
      <w:r w:rsidR="007A7F14" w:rsidRPr="00AA6144">
        <w:rPr>
          <w:rStyle w:val="verdana"/>
          <w:color w:val="auto"/>
          <w:lang w:val="en-CA"/>
        </w:rPr>
        <w:t>e</w:t>
      </w:r>
      <w:r w:rsidRPr="00AA6144">
        <w:rPr>
          <w:rStyle w:val="verdana"/>
          <w:color w:val="auto"/>
          <w:lang w:val="en-CA"/>
        </w:rPr>
        <w:t xml:space="preserve">s for </w:t>
      </w:r>
      <w:r w:rsidR="00492FC7" w:rsidRPr="00AA6144">
        <w:rPr>
          <w:rStyle w:val="verdana"/>
          <w:color w:val="auto"/>
          <w:lang w:val="en-CA"/>
        </w:rPr>
        <w:t>defendants</w:t>
      </w:r>
      <w:r w:rsidRPr="00AA6144">
        <w:rPr>
          <w:rStyle w:val="verdana"/>
          <w:color w:val="auto"/>
          <w:lang w:val="en-CA"/>
        </w:rPr>
        <w:t xml:space="preserve"> to oppose recognition of a foreign civil judgment.</w:t>
      </w:r>
      <w:bookmarkStart w:id="271" w:name="_Ref267057323"/>
      <w:r w:rsidRPr="00AA6144">
        <w:rPr>
          <w:rStyle w:val="FootnoteReference"/>
          <w:color w:val="auto"/>
          <w:lang w:val="en-CA"/>
        </w:rPr>
        <w:footnoteReference w:id="643"/>
      </w:r>
      <w:bookmarkEnd w:id="271"/>
    </w:p>
    <w:p w14:paraId="48D3F4A6" w14:textId="77777777" w:rsidR="007A7F14" w:rsidRPr="00AA6144" w:rsidRDefault="009E3308" w:rsidP="007A7F14">
      <w:pPr>
        <w:pStyle w:val="AIBodyText"/>
        <w:rPr>
          <w:rStyle w:val="verdana"/>
          <w:color w:val="auto"/>
          <w:lang w:val="en-CA"/>
        </w:rPr>
      </w:pPr>
      <w:r w:rsidRPr="00AA6144">
        <w:rPr>
          <w:color w:val="auto"/>
          <w:lang w:val="en-CA"/>
        </w:rPr>
        <w:t xml:space="preserve">Any Canadian forum that assumes jurisdiction must have a "real and substantial connection" to the parties or the subject matter of the action.  </w:t>
      </w:r>
      <w:r w:rsidR="007A7F14" w:rsidRPr="00AA6144">
        <w:rPr>
          <w:rStyle w:val="verdana"/>
          <w:color w:val="auto"/>
          <w:lang w:val="en-CA"/>
        </w:rPr>
        <w:t xml:space="preserve">The Supreme Court </w:t>
      </w:r>
      <w:r w:rsidR="001178E6" w:rsidRPr="00AA6144">
        <w:rPr>
          <w:rStyle w:val="verdana"/>
          <w:color w:val="auto"/>
          <w:lang w:val="en-CA"/>
        </w:rPr>
        <w:t>of Canada</w:t>
      </w:r>
      <w:r w:rsidR="003573EC" w:rsidRPr="00AA6144">
        <w:rPr>
          <w:rStyle w:val="verdana"/>
          <w:color w:val="auto"/>
          <w:lang w:val="en-CA"/>
        </w:rPr>
        <w:t xml:space="preserve"> </w:t>
      </w:r>
      <w:r w:rsidR="007A7F14" w:rsidRPr="00AA6144">
        <w:rPr>
          <w:rStyle w:val="verdana"/>
          <w:color w:val="auto"/>
          <w:lang w:val="en-CA"/>
        </w:rPr>
        <w:t xml:space="preserve">in </w:t>
      </w:r>
      <w:r w:rsidR="007A7F14" w:rsidRPr="00AA6144">
        <w:rPr>
          <w:rStyle w:val="verdana"/>
          <w:i/>
          <w:color w:val="auto"/>
          <w:lang w:val="en-CA"/>
        </w:rPr>
        <w:t>Club Resorts Ltd. v. Van Breda</w:t>
      </w:r>
      <w:r w:rsidR="007A7F14" w:rsidRPr="00AA6144">
        <w:rPr>
          <w:rStyle w:val="verdana"/>
          <w:color w:val="auto"/>
          <w:lang w:val="en-CA"/>
        </w:rPr>
        <w:t xml:space="preserve"> elaborated on the real and substantial connection test, and held that the test is used both for a constitutional division of powers analysis and a separate and distinct conflict of laws analysis.</w:t>
      </w:r>
      <w:r w:rsidR="007A7F14" w:rsidRPr="00AA6144">
        <w:rPr>
          <w:rStyle w:val="FootnoteReference"/>
          <w:color w:val="auto"/>
          <w:lang w:val="en-CA"/>
        </w:rPr>
        <w:footnoteReference w:id="644"/>
      </w:r>
      <w:r w:rsidR="007A7F14" w:rsidRPr="00AA6144">
        <w:rPr>
          <w:rStyle w:val="verdana"/>
          <w:color w:val="auto"/>
          <w:lang w:val="en-CA"/>
        </w:rPr>
        <w:t xml:space="preserve"> The Court enumerated a non-exhaustive list of presumptive connecting factors between the legal situation or subject matter of the litigation, and the forum in which civil action is sought.</w:t>
      </w:r>
      <w:r w:rsidR="007A7F14" w:rsidRPr="00AA6144">
        <w:rPr>
          <w:rStyle w:val="FootnoteReference"/>
          <w:color w:val="auto"/>
          <w:lang w:val="en-CA"/>
        </w:rPr>
        <w:footnoteReference w:id="645"/>
      </w:r>
      <w:r w:rsidR="007A7F14" w:rsidRPr="00AA6144">
        <w:rPr>
          <w:rStyle w:val="verdana"/>
          <w:color w:val="auto"/>
          <w:lang w:val="en-CA"/>
        </w:rPr>
        <w:t xml:space="preserve"> These presumptive connecting factors </w:t>
      </w:r>
      <w:r w:rsidR="007A7F14" w:rsidRPr="00AA6144">
        <w:rPr>
          <w:rStyle w:val="verdana"/>
          <w:i/>
          <w:color w:val="auto"/>
          <w:lang w:val="en-CA"/>
        </w:rPr>
        <w:t>prima facie</w:t>
      </w:r>
      <w:r w:rsidR="007A7F14" w:rsidRPr="00AA6144">
        <w:rPr>
          <w:rStyle w:val="verdana"/>
          <w:color w:val="auto"/>
          <w:lang w:val="en-CA"/>
        </w:rPr>
        <w:t>, entitle a court to assume jurisdiction over a dispute:</w:t>
      </w:r>
    </w:p>
    <w:p w14:paraId="065D6F4E" w14:textId="77777777" w:rsidR="007A7F14" w:rsidRPr="00AA6144" w:rsidRDefault="007A7F14" w:rsidP="007A7F14">
      <w:pPr>
        <w:pStyle w:val="AIBodyText"/>
        <w:rPr>
          <w:rStyle w:val="verdana"/>
          <w:color w:val="auto"/>
          <w:lang w:val="en-CA"/>
        </w:rPr>
      </w:pPr>
      <w:r w:rsidRPr="00AA6144">
        <w:rPr>
          <w:rStyle w:val="verdana"/>
          <w:color w:val="auto"/>
          <w:lang w:val="en-CA"/>
        </w:rPr>
        <w:tab/>
        <w:t>(a) the defendant is domiciled or resident in the province;</w:t>
      </w:r>
      <w:r w:rsidRPr="00AA6144">
        <w:rPr>
          <w:rStyle w:val="verdana"/>
          <w:color w:val="auto"/>
          <w:lang w:val="en-CA"/>
        </w:rPr>
        <w:br/>
      </w:r>
      <w:r w:rsidRPr="00AA6144">
        <w:rPr>
          <w:rStyle w:val="verdana"/>
          <w:color w:val="auto"/>
          <w:lang w:val="en-CA"/>
        </w:rPr>
        <w:tab/>
        <w:t>(b) the defendant carries on business in the province;</w:t>
      </w:r>
      <w:r w:rsidRPr="00AA6144">
        <w:rPr>
          <w:rStyle w:val="verdana"/>
          <w:color w:val="auto"/>
          <w:lang w:val="en-CA"/>
        </w:rPr>
        <w:br/>
      </w:r>
      <w:r w:rsidRPr="00AA6144">
        <w:rPr>
          <w:rStyle w:val="verdana"/>
          <w:color w:val="auto"/>
          <w:lang w:val="en-CA"/>
        </w:rPr>
        <w:tab/>
        <w:t>(c) the tort was committed in the province; and</w:t>
      </w:r>
      <w:r w:rsidRPr="00AA6144">
        <w:rPr>
          <w:rStyle w:val="verdana"/>
          <w:color w:val="auto"/>
          <w:lang w:val="en-CA"/>
        </w:rPr>
        <w:br/>
      </w:r>
      <w:r w:rsidRPr="00AA6144">
        <w:rPr>
          <w:rStyle w:val="verdana"/>
          <w:color w:val="auto"/>
          <w:lang w:val="en-CA"/>
        </w:rPr>
        <w:tab/>
        <w:t>(d) a contract connected with the dispute was made in the province.</w:t>
      </w:r>
      <w:r w:rsidRPr="00AA6144">
        <w:rPr>
          <w:rStyle w:val="FootnoteReference"/>
          <w:color w:val="auto"/>
          <w:lang w:val="en-CA"/>
        </w:rPr>
        <w:footnoteReference w:id="646"/>
      </w:r>
    </w:p>
    <w:p w14:paraId="4983C57F" w14:textId="77777777" w:rsidR="009E3308" w:rsidRPr="00AA6144" w:rsidRDefault="009E3308" w:rsidP="009E3308">
      <w:pPr>
        <w:pStyle w:val="AIBodyText"/>
        <w:rPr>
          <w:rStyle w:val="verdana"/>
          <w:color w:val="auto"/>
          <w:lang w:val="en-CA"/>
        </w:rPr>
      </w:pPr>
      <w:r w:rsidRPr="00AA6144">
        <w:rPr>
          <w:color w:val="auto"/>
          <w:lang w:val="en-CA"/>
        </w:rPr>
        <w:t xml:space="preserve">This nexus between the cause of action, the interest of the parties and the forum is a finding of fact that is nonetheless guided by the principles of order, fairness, and comity.  </w:t>
      </w:r>
      <w:r w:rsidRPr="00AA6144">
        <w:rPr>
          <w:rStyle w:val="verdana"/>
          <w:color w:val="auto"/>
          <w:lang w:val="en-CA"/>
        </w:rPr>
        <w:t>The Court has stated that with respect to torts, certain “presumptive connecting factors” are sufficient to meet the common law “real and substantial connection” test, but that the Court may refer to the principles of order, fairness and comity in recognizing other factors as presumptively establishing a “real and substantial” connection.</w:t>
      </w:r>
      <w:r w:rsidRPr="00AA6144">
        <w:rPr>
          <w:rStyle w:val="FootnoteReference"/>
          <w:color w:val="auto"/>
          <w:lang w:val="en-CA"/>
        </w:rPr>
        <w:footnoteReference w:id="647"/>
      </w:r>
      <w:r w:rsidRPr="00AA6144">
        <w:rPr>
          <w:rStyle w:val="verdana"/>
          <w:color w:val="auto"/>
          <w:lang w:val="en-CA"/>
        </w:rPr>
        <w:t xml:space="preserve">  </w:t>
      </w:r>
    </w:p>
    <w:p w14:paraId="5F3C81E3" w14:textId="77777777" w:rsidR="009E3308" w:rsidRPr="00AA6144" w:rsidRDefault="009E3308" w:rsidP="009E3308">
      <w:pPr>
        <w:pStyle w:val="AIBodyText"/>
        <w:rPr>
          <w:color w:val="auto"/>
          <w:lang w:val="en-CA"/>
        </w:rPr>
      </w:pPr>
      <w:r w:rsidRPr="00AA6144">
        <w:rPr>
          <w:color w:val="auto"/>
          <w:lang w:val="en-CA"/>
        </w:rPr>
        <w:t xml:space="preserve">Neither the Supreme Court of Canada nor any Canadian appellate courts have decided the issue of whether universal jurisdiction conforms to the requirement of a “real and substantial” connection </w:t>
      </w:r>
      <w:r w:rsidRPr="00AA6144">
        <w:rPr>
          <w:rStyle w:val="verdana"/>
          <w:color w:val="auto"/>
          <w:lang w:val="en-CA"/>
        </w:rPr>
        <w:t xml:space="preserve">for the recognition or enforcement of a foreign judgment civil judgment </w:t>
      </w:r>
      <w:r w:rsidRPr="00AA6144">
        <w:rPr>
          <w:color w:val="auto"/>
          <w:lang w:val="en-CA"/>
        </w:rPr>
        <w:t>for wrongs committed during genocide, war crimes or crimes against humanity.</w:t>
      </w:r>
      <w:r w:rsidRPr="00AA6144">
        <w:rPr>
          <w:rStyle w:val="verdana"/>
          <w:color w:val="auto"/>
          <w:lang w:val="en-CA"/>
        </w:rPr>
        <w:t xml:space="preserve">  </w:t>
      </w:r>
      <w:r w:rsidRPr="00AA6144">
        <w:rPr>
          <w:color w:val="auto"/>
          <w:lang w:val="en-CA"/>
        </w:rPr>
        <w:t xml:space="preserve">The “forum of necessity” doctrine, however, </w:t>
      </w:r>
      <w:r w:rsidRPr="00AA6144">
        <w:rPr>
          <w:rStyle w:val="verdana"/>
          <w:color w:val="auto"/>
          <w:lang w:val="en-CA"/>
        </w:rPr>
        <w:t>recognizes that access to justice justifies the assumption of jurisdiction</w:t>
      </w:r>
      <w:r w:rsidRPr="00AA6144">
        <w:rPr>
          <w:color w:val="auto"/>
          <w:lang w:val="en-CA"/>
        </w:rPr>
        <w:t xml:space="preserve"> </w:t>
      </w:r>
      <w:r w:rsidRPr="00AA6144">
        <w:rPr>
          <w:rStyle w:val="verdana"/>
          <w:color w:val="auto"/>
          <w:lang w:val="en-CA"/>
        </w:rPr>
        <w:t>even absent a “real and substantial” connection</w:t>
      </w:r>
      <w:r w:rsidRPr="00AA6144">
        <w:rPr>
          <w:color w:val="auto"/>
          <w:lang w:val="en-CA"/>
        </w:rPr>
        <w:t>.</w:t>
      </w:r>
      <w:r w:rsidRPr="00AA6144">
        <w:rPr>
          <w:rStyle w:val="FootnoteReference"/>
          <w:color w:val="auto"/>
          <w:lang w:val="en-CA"/>
        </w:rPr>
        <w:footnoteReference w:id="648"/>
      </w:r>
      <w:r w:rsidRPr="00AA6144">
        <w:rPr>
          <w:rStyle w:val="verdana"/>
          <w:color w:val="auto"/>
          <w:lang w:val="en-CA"/>
        </w:rPr>
        <w:t xml:space="preserve">  Under this doctrine (</w:t>
      </w:r>
      <w:r w:rsidRPr="00AA6144">
        <w:rPr>
          <w:color w:val="auto"/>
          <w:lang w:val="en-CA"/>
        </w:rPr>
        <w:t>recognized at the appellate level, most notably by the Ontario Court of Appeal)</w:t>
      </w:r>
      <w:r w:rsidRPr="00AA6144">
        <w:rPr>
          <w:rStyle w:val="verdana"/>
          <w:color w:val="auto"/>
          <w:lang w:val="en-CA"/>
        </w:rPr>
        <w:t xml:space="preserve"> a residual discretion to assume jurisdiction operates as an exception to the real and substantial connection test in cases where there is no other forum in which the plaintiff can reasonably seek relief or where plaintiffs cannot reasonably be expected to pursue relief elsewhere.</w:t>
      </w:r>
      <w:r w:rsidRPr="00AA6144">
        <w:rPr>
          <w:rStyle w:val="FootnoteReference"/>
          <w:color w:val="auto"/>
          <w:lang w:val="en-CA"/>
        </w:rPr>
        <w:footnoteReference w:id="649"/>
      </w:r>
      <w:r w:rsidRPr="00AA6144">
        <w:rPr>
          <w:rStyle w:val="verdana"/>
          <w:color w:val="auto"/>
          <w:lang w:val="en-CA"/>
        </w:rPr>
        <w:t xml:space="preserve">  This doctrine parallels the justification for the exercise of universal jurisdiction in criminal matters and should be </w:t>
      </w:r>
      <w:r w:rsidR="007A7F14" w:rsidRPr="00AA6144">
        <w:rPr>
          <w:rStyle w:val="verdana"/>
          <w:color w:val="auto"/>
          <w:lang w:val="en-CA"/>
        </w:rPr>
        <w:t xml:space="preserve">a </w:t>
      </w:r>
      <w:r w:rsidRPr="00AA6144">
        <w:rPr>
          <w:rStyle w:val="verdana"/>
          <w:color w:val="auto"/>
          <w:lang w:val="en-CA"/>
        </w:rPr>
        <w:t>sufficient basis to justify the recognition and enforcement of a foreign civil judgment connected to such crimes.  It is also suggested that this doctrine should be given effect in the registration of foreign judgments whose statutes codify the “real and substantial” test for proper establishment of the jurisdiction of a foreign civil judgment for the purposes of recognition and enforcement.</w:t>
      </w:r>
    </w:p>
    <w:p w14:paraId="2F4FB8C2" w14:textId="77777777" w:rsidR="009E3308" w:rsidRPr="00AA6144" w:rsidRDefault="009E3308" w:rsidP="009E3308">
      <w:pPr>
        <w:widowControl/>
        <w:suppressAutoHyphens w:val="0"/>
        <w:autoSpaceDE w:val="0"/>
        <w:autoSpaceDN w:val="0"/>
        <w:adjustRightInd w:val="0"/>
        <w:spacing w:after="0" w:line="240" w:lineRule="auto"/>
        <w:rPr>
          <w:rFonts w:ascii="Sabon-Roman" w:hAnsi="Sabon-Roman" w:cs="Sabon-Roman"/>
          <w:color w:val="auto"/>
          <w:szCs w:val="18"/>
          <w:lang w:val="en-CA" w:eastAsia="en-US"/>
        </w:rPr>
      </w:pPr>
    </w:p>
    <w:p w14:paraId="206FB568" w14:textId="77777777" w:rsidR="009E3308" w:rsidRPr="00AA6144" w:rsidRDefault="009E3308" w:rsidP="00066291">
      <w:pPr>
        <w:pStyle w:val="Heading5"/>
        <w:rPr>
          <w:lang w:val="en-CA"/>
        </w:rPr>
      </w:pPr>
      <w:r w:rsidRPr="00AA6144">
        <w:rPr>
          <w:lang w:val="en-CA"/>
        </w:rPr>
        <w:t>7.2.1.5.4 Recognition and enforcement of foreign civil judgments in Quebec</w:t>
      </w:r>
    </w:p>
    <w:p w14:paraId="788F22D5" w14:textId="77777777" w:rsidR="009E3308" w:rsidRPr="00AA6144" w:rsidRDefault="009E3308" w:rsidP="009E3308">
      <w:pPr>
        <w:pStyle w:val="AIBodyText"/>
        <w:spacing w:after="0"/>
        <w:rPr>
          <w:color w:val="auto"/>
          <w:lang w:val="en-CA"/>
        </w:rPr>
      </w:pPr>
      <w:r w:rsidRPr="00AA6144">
        <w:rPr>
          <w:color w:val="auto"/>
          <w:lang w:val="en-CA"/>
        </w:rPr>
        <w:t>In Quebec, foreign judgments are presumed valid and a judicial authority will recognize and declare enforceable any decision made outside Quebec upon application,</w:t>
      </w:r>
      <w:r w:rsidRPr="00AA6144">
        <w:rPr>
          <w:rStyle w:val="FootnoteReference"/>
          <w:color w:val="auto"/>
          <w:lang w:val="en-CA"/>
        </w:rPr>
        <w:footnoteReference w:id="650"/>
      </w:r>
      <w:r w:rsidRPr="00AA6144">
        <w:rPr>
          <w:color w:val="auto"/>
          <w:lang w:val="en-CA"/>
        </w:rPr>
        <w:t xml:space="preserve"> without examining the merits.</w:t>
      </w:r>
      <w:r w:rsidRPr="00AA6144">
        <w:rPr>
          <w:rStyle w:val="FootnoteReference"/>
          <w:color w:val="auto"/>
          <w:lang w:val="en-CA"/>
        </w:rPr>
        <w:footnoteReference w:id="651"/>
      </w:r>
      <w:r w:rsidRPr="00AA6144">
        <w:rPr>
          <w:color w:val="auto"/>
          <w:lang w:val="en-CA"/>
        </w:rPr>
        <w:t xml:space="preserve"> There are numerous exceptions, including the following: a default judgment initiated without proper service or notice according to the laws of the jurisdiction where the judgment was rendered;</w:t>
      </w:r>
      <w:r w:rsidRPr="00AA6144">
        <w:rPr>
          <w:rStyle w:val="FootnoteReference"/>
          <w:color w:val="auto"/>
          <w:lang w:val="en-CA"/>
        </w:rPr>
        <w:footnoteReference w:id="652"/>
      </w:r>
      <w:r w:rsidRPr="00AA6144">
        <w:rPr>
          <w:color w:val="auto"/>
          <w:lang w:val="en-CA"/>
        </w:rPr>
        <w:t xml:space="preserve"> a decision rendered despite a parallel dispute with respect to the same parties and/or facts whether in Quebec or elsewhere (and irrespective of whether final or not);</w:t>
      </w:r>
      <w:r w:rsidRPr="00AA6144">
        <w:rPr>
          <w:rStyle w:val="FootnoteReference"/>
          <w:color w:val="auto"/>
          <w:lang w:val="en-CA"/>
        </w:rPr>
        <w:footnoteReference w:id="653"/>
      </w:r>
      <w:r w:rsidRPr="00AA6144">
        <w:rPr>
          <w:color w:val="auto"/>
          <w:lang w:val="en-CA"/>
        </w:rPr>
        <w:t xml:space="preserve"> a decision that is not final or enforceable where it was rendered,</w:t>
      </w:r>
      <w:r w:rsidRPr="00AA6144">
        <w:rPr>
          <w:rStyle w:val="FootnoteReference"/>
          <w:color w:val="auto"/>
          <w:lang w:val="en-CA"/>
        </w:rPr>
        <w:footnoteReference w:id="654"/>
      </w:r>
      <w:r w:rsidRPr="00AA6144">
        <w:rPr>
          <w:color w:val="auto"/>
          <w:lang w:val="en-CA"/>
        </w:rPr>
        <w:t xml:space="preserve"> or </w:t>
      </w:r>
      <w:r w:rsidR="007A7F14" w:rsidRPr="00AA6144">
        <w:rPr>
          <w:color w:val="auto"/>
          <w:lang w:val="en-CA"/>
        </w:rPr>
        <w:t xml:space="preserve">one </w:t>
      </w:r>
      <w:r w:rsidRPr="00AA6144">
        <w:rPr>
          <w:color w:val="auto"/>
          <w:lang w:val="en-CA"/>
        </w:rPr>
        <w:t>that contravenes “fundamental principles of procedure,”</w:t>
      </w:r>
      <w:r w:rsidRPr="00AA6144">
        <w:rPr>
          <w:rStyle w:val="FootnoteReference"/>
          <w:color w:val="auto"/>
          <w:lang w:val="en-CA"/>
        </w:rPr>
        <w:footnoteReference w:id="655"/>
      </w:r>
      <w:r w:rsidRPr="00AA6144">
        <w:rPr>
          <w:color w:val="auto"/>
          <w:lang w:val="en-CA"/>
        </w:rPr>
        <w:t xml:space="preserve"> or </w:t>
      </w:r>
      <w:r w:rsidR="007D0C4D" w:rsidRPr="00AA6144">
        <w:rPr>
          <w:color w:val="auto"/>
          <w:lang w:val="en-CA"/>
        </w:rPr>
        <w:t>a decision</w:t>
      </w:r>
      <w:r w:rsidR="00B916F5" w:rsidRPr="00AA6144">
        <w:rPr>
          <w:color w:val="auto"/>
          <w:lang w:val="en-CA"/>
        </w:rPr>
        <w:t xml:space="preserve"> </w:t>
      </w:r>
      <w:r w:rsidRPr="00AA6144">
        <w:rPr>
          <w:color w:val="auto"/>
          <w:lang w:val="en-CA"/>
        </w:rPr>
        <w:t>that is “manifestly inconsistent with public order as understood in international relations.”</w:t>
      </w:r>
      <w:r w:rsidRPr="00AA6144">
        <w:rPr>
          <w:rStyle w:val="FootnoteReference"/>
          <w:color w:val="auto"/>
          <w:lang w:val="en-CA"/>
        </w:rPr>
        <w:footnoteReference w:id="656"/>
      </w:r>
      <w:r w:rsidRPr="00AA6144">
        <w:rPr>
          <w:color w:val="auto"/>
          <w:lang w:val="en-CA"/>
        </w:rPr>
        <w:t xml:space="preserve">  </w:t>
      </w:r>
    </w:p>
    <w:p w14:paraId="26382D3B" w14:textId="77777777" w:rsidR="009E3308" w:rsidRPr="00AA6144" w:rsidRDefault="009E3308" w:rsidP="009E3308">
      <w:pPr>
        <w:pStyle w:val="AIBodyText"/>
        <w:spacing w:after="0"/>
        <w:rPr>
          <w:color w:val="auto"/>
          <w:lang w:val="en-CA"/>
        </w:rPr>
      </w:pPr>
    </w:p>
    <w:p w14:paraId="542C00FB" w14:textId="77777777" w:rsidR="009E3308" w:rsidRPr="00AA6144" w:rsidRDefault="009E3308" w:rsidP="009E3308">
      <w:pPr>
        <w:pStyle w:val="AIBodyText"/>
        <w:spacing w:after="0"/>
        <w:rPr>
          <w:color w:val="auto"/>
          <w:lang w:val="en-CA"/>
        </w:rPr>
      </w:pPr>
      <w:r w:rsidRPr="00AA6144">
        <w:rPr>
          <w:color w:val="auto"/>
          <w:lang w:val="en-CA"/>
        </w:rPr>
        <w:t xml:space="preserve">The </w:t>
      </w:r>
      <w:r w:rsidRPr="00AA6144">
        <w:rPr>
          <w:i/>
          <w:color w:val="auto"/>
          <w:lang w:val="en-CA"/>
        </w:rPr>
        <w:t>Civil Code</w:t>
      </w:r>
      <w:r w:rsidR="005C08BF" w:rsidRPr="00AA6144">
        <w:rPr>
          <w:i/>
          <w:color w:val="auto"/>
          <w:lang w:val="en-CA"/>
        </w:rPr>
        <w:t xml:space="preserve"> of Quebec</w:t>
      </w:r>
      <w:r w:rsidRPr="00AA6144">
        <w:rPr>
          <w:color w:val="auto"/>
          <w:lang w:val="en-CA"/>
        </w:rPr>
        <w:t xml:space="preserve"> provides for enforcement of civil claims for damages that are properly established in the law of a foreign jurisdiction or cannot reasonably be pursued in the jurisdiction where the crimes were committed, as is often the case with damages resulting from genocide, crimes against humanity or war crimes.</w:t>
      </w:r>
      <w:r w:rsidRPr="00AA6144">
        <w:rPr>
          <w:rStyle w:val="FootnoteReference"/>
          <w:color w:val="auto"/>
          <w:lang w:val="en-CA"/>
        </w:rPr>
        <w:footnoteReference w:id="657"/>
      </w:r>
      <w:r w:rsidRPr="00AA6144">
        <w:rPr>
          <w:color w:val="auto"/>
          <w:lang w:val="en-CA"/>
        </w:rPr>
        <w:t xml:space="preserve">  Quebec applies the rules of jurisdiction that apply to Quebec’s courts,</w:t>
      </w:r>
      <w:r w:rsidRPr="00AA6144">
        <w:rPr>
          <w:rStyle w:val="FootnoteReference"/>
          <w:color w:val="auto"/>
          <w:lang w:val="en-CA"/>
        </w:rPr>
        <w:footnoteReference w:id="658"/>
      </w:r>
      <w:r w:rsidRPr="00AA6144">
        <w:rPr>
          <w:color w:val="auto"/>
          <w:lang w:val="en-CA"/>
        </w:rPr>
        <w:t xml:space="preserve"> “to the extent that the dispute is substantially connected with the country whose authority is sei</w:t>
      </w:r>
      <w:r w:rsidR="003666E9" w:rsidRPr="00AA6144">
        <w:rPr>
          <w:color w:val="auto"/>
          <w:lang w:val="en-CA"/>
        </w:rPr>
        <w:t>z</w:t>
      </w:r>
      <w:r w:rsidRPr="00AA6144">
        <w:rPr>
          <w:color w:val="auto"/>
          <w:lang w:val="en-CA"/>
        </w:rPr>
        <w:t>ed of the case</w:t>
      </w:r>
      <w:r w:rsidR="00C111B3" w:rsidRPr="00AA6144">
        <w:rPr>
          <w:color w:val="auto"/>
          <w:lang w:val="en-CA"/>
        </w:rPr>
        <w:t>.</w:t>
      </w:r>
      <w:r w:rsidRPr="00AA6144">
        <w:rPr>
          <w:color w:val="auto"/>
          <w:lang w:val="en-CA"/>
        </w:rPr>
        <w:t>”</w:t>
      </w:r>
      <w:r w:rsidRPr="00AA6144">
        <w:rPr>
          <w:rStyle w:val="FootnoteReference"/>
          <w:color w:val="auto"/>
          <w:lang w:val="en-CA"/>
        </w:rPr>
        <w:footnoteReference w:id="659"/>
      </w:r>
      <w:r w:rsidRPr="00AA6144">
        <w:rPr>
          <w:color w:val="auto"/>
          <w:lang w:val="en-CA"/>
        </w:rPr>
        <w:t xml:space="preserve"> </w:t>
      </w:r>
      <w:r w:rsidR="00C111B3" w:rsidRPr="00AA6144">
        <w:rPr>
          <w:color w:val="auto"/>
          <w:lang w:val="en-CA"/>
        </w:rPr>
        <w:t xml:space="preserve">Examples </w:t>
      </w:r>
      <w:r w:rsidRPr="00AA6144">
        <w:rPr>
          <w:color w:val="auto"/>
          <w:lang w:val="en-CA"/>
        </w:rPr>
        <w:t>includ</w:t>
      </w:r>
      <w:r w:rsidR="00C111B3" w:rsidRPr="00AA6144">
        <w:rPr>
          <w:color w:val="auto"/>
          <w:lang w:val="en-CA"/>
        </w:rPr>
        <w:t xml:space="preserve">e: </w:t>
      </w:r>
      <w:r w:rsidRPr="00AA6144">
        <w:rPr>
          <w:color w:val="auto"/>
          <w:lang w:val="en-CA"/>
        </w:rPr>
        <w:t>when the defendant is domiciled in the country in question;</w:t>
      </w:r>
      <w:r w:rsidRPr="00AA6144">
        <w:rPr>
          <w:rStyle w:val="FootnoteReference"/>
          <w:color w:val="auto"/>
          <w:lang w:val="en-CA"/>
        </w:rPr>
        <w:footnoteReference w:id="660"/>
      </w:r>
      <w:r w:rsidR="00DA4224" w:rsidRPr="00AA6144">
        <w:rPr>
          <w:color w:val="auto"/>
          <w:lang w:val="en-CA"/>
        </w:rPr>
        <w:t xml:space="preserve"> or</w:t>
      </w:r>
      <w:r w:rsidRPr="00AA6144">
        <w:rPr>
          <w:rStyle w:val="verdana"/>
          <w:color w:val="auto"/>
          <w:lang w:val="en-CA"/>
        </w:rPr>
        <w:t xml:space="preserve"> “[w]here legitimate and manifestly preponderant interests so require, effect may be given to a mandatory provision of the law of another country with which the situation is closely connected.”</w:t>
      </w:r>
      <w:r w:rsidRPr="00AA6144">
        <w:rPr>
          <w:rStyle w:val="FootnoteReference"/>
          <w:color w:val="auto"/>
          <w:lang w:val="en-CA"/>
        </w:rPr>
        <w:footnoteReference w:id="661"/>
      </w:r>
      <w:r w:rsidRPr="00AA6144">
        <w:rPr>
          <w:color w:val="auto"/>
          <w:lang w:val="en-CA"/>
        </w:rPr>
        <w:t xml:space="preserve"> Where proceedings “cannot possibly be instituted outside [of the country in question] or where the institution of such proceedings…cannot reasonably be required,”</w:t>
      </w:r>
      <w:r w:rsidRPr="00AA6144">
        <w:rPr>
          <w:rStyle w:val="FootnoteReference"/>
          <w:color w:val="auto"/>
          <w:lang w:val="en-CA"/>
        </w:rPr>
        <w:footnoteReference w:id="662"/>
      </w:r>
      <w:r w:rsidRPr="00AA6144">
        <w:rPr>
          <w:color w:val="auto"/>
          <w:lang w:val="en-CA"/>
        </w:rPr>
        <w:t xml:space="preserve"> a foreign court’s exercise of jurisdiction can be properly established and recognized.  This provision is a codification of the same “forum of necessity” doctrine provided for in common law jurisdictions, and is consistent with the law adopted by both in the EU and the UK.</w:t>
      </w:r>
      <w:r w:rsidRPr="00AA6144">
        <w:rPr>
          <w:rStyle w:val="FootnoteReference"/>
          <w:color w:val="auto"/>
          <w:lang w:val="en-CA"/>
        </w:rPr>
        <w:footnoteReference w:id="663"/>
      </w:r>
      <w:r w:rsidRPr="00AA6144">
        <w:rPr>
          <w:color w:val="auto"/>
          <w:lang w:val="en-CA"/>
        </w:rPr>
        <w:t xml:space="preserve">  As in common law Canada, while it is not clear whether a civil claim resulting from a judicial process initiated on the basis universal jurisdiction is enforceable absent a “substantial connection” to the original jurisdiction, the “forum of necessity” doctrine provides </w:t>
      </w:r>
      <w:r w:rsidR="00DA4224" w:rsidRPr="00AA6144">
        <w:rPr>
          <w:color w:val="auto"/>
          <w:lang w:val="en-CA"/>
        </w:rPr>
        <w:t xml:space="preserve">an </w:t>
      </w:r>
      <w:r w:rsidRPr="00AA6144">
        <w:rPr>
          <w:color w:val="auto"/>
          <w:lang w:val="en-CA"/>
        </w:rPr>
        <w:t>adequate basis to do so.</w:t>
      </w:r>
    </w:p>
    <w:p w14:paraId="372E8124" w14:textId="77777777" w:rsidR="009E3308" w:rsidRPr="00AA6144" w:rsidRDefault="009E3308" w:rsidP="009E3308">
      <w:pPr>
        <w:pStyle w:val="AIBodyText"/>
        <w:spacing w:after="0"/>
        <w:rPr>
          <w:color w:val="auto"/>
          <w:lang w:val="en-CA"/>
        </w:rPr>
      </w:pPr>
    </w:p>
    <w:p w14:paraId="0E1D0165" w14:textId="77777777" w:rsidR="009E3308" w:rsidRPr="00AA6144" w:rsidRDefault="009E3308" w:rsidP="009E3308">
      <w:pPr>
        <w:pStyle w:val="AIBodyText"/>
        <w:spacing w:after="0"/>
        <w:rPr>
          <w:color w:val="auto"/>
          <w:lang w:val="en-CA"/>
        </w:rPr>
      </w:pPr>
      <w:r w:rsidRPr="00AA6144">
        <w:rPr>
          <w:color w:val="auto"/>
          <w:lang w:val="en-CA"/>
        </w:rPr>
        <w:t xml:space="preserve">The </w:t>
      </w:r>
      <w:r w:rsidRPr="00AA6144">
        <w:rPr>
          <w:rStyle w:val="verdana"/>
          <w:i/>
          <w:color w:val="auto"/>
          <w:lang w:val="en-CA"/>
        </w:rPr>
        <w:t>Entente between France and Québec Regarding Judicial Mutual Aid in Civil, Commercial and Administrative Matters</w:t>
      </w:r>
      <w:r w:rsidRPr="00AA6144">
        <w:rPr>
          <w:rStyle w:val="verdana"/>
          <w:color w:val="auto"/>
          <w:lang w:val="en-CA"/>
        </w:rPr>
        <w:t xml:space="preserve"> allows for cooperation between these jurisdictions for the service of proceedings, the identification of parties in each jurisdiction, and the formation of </w:t>
      </w:r>
      <w:r w:rsidR="00DA4224" w:rsidRPr="00AA6144">
        <w:rPr>
          <w:rStyle w:val="verdana"/>
          <w:color w:val="auto"/>
          <w:lang w:val="en-CA"/>
        </w:rPr>
        <w:t xml:space="preserve">judicial assistance (“rogatory”) </w:t>
      </w:r>
      <w:r w:rsidRPr="00AA6144">
        <w:rPr>
          <w:rStyle w:val="verdana"/>
          <w:color w:val="auto"/>
          <w:lang w:val="en-CA"/>
        </w:rPr>
        <w:t>commissions.  Unlike the UK-Canada Convention, however, it does not apply with respect to the recognition and enforcement of mone</w:t>
      </w:r>
      <w:r w:rsidR="00910962" w:rsidRPr="00AA6144">
        <w:rPr>
          <w:rStyle w:val="verdana"/>
          <w:color w:val="auto"/>
          <w:lang w:val="en-CA"/>
        </w:rPr>
        <w:t>t</w:t>
      </w:r>
      <w:r w:rsidR="00944A12" w:rsidRPr="00AA6144">
        <w:rPr>
          <w:rStyle w:val="verdana"/>
          <w:color w:val="auto"/>
          <w:lang w:val="en-CA"/>
        </w:rPr>
        <w:t>a</w:t>
      </w:r>
      <w:r w:rsidR="00910962" w:rsidRPr="00AA6144">
        <w:rPr>
          <w:rStyle w:val="verdana"/>
          <w:color w:val="auto"/>
          <w:lang w:val="en-CA"/>
        </w:rPr>
        <w:t>ry</w:t>
      </w:r>
      <w:r w:rsidRPr="00AA6144">
        <w:rPr>
          <w:rStyle w:val="verdana"/>
          <w:color w:val="auto"/>
          <w:lang w:val="en-CA"/>
        </w:rPr>
        <w:t xml:space="preserve"> judgments.</w:t>
      </w:r>
      <w:r w:rsidRPr="00AA6144">
        <w:rPr>
          <w:rStyle w:val="FootnoteReference"/>
          <w:color w:val="auto"/>
          <w:lang w:val="en-CA"/>
        </w:rPr>
        <w:footnoteReference w:id="664"/>
      </w:r>
      <w:r w:rsidRPr="00AA6144">
        <w:rPr>
          <w:rStyle w:val="verdana"/>
          <w:color w:val="auto"/>
          <w:lang w:val="en-CA"/>
        </w:rPr>
        <w:t xml:space="preserve">  </w:t>
      </w:r>
    </w:p>
    <w:p w14:paraId="09CB45D4" w14:textId="77777777" w:rsidR="009E3308" w:rsidRPr="00AA6144" w:rsidRDefault="009E3308" w:rsidP="009E3308">
      <w:pPr>
        <w:pStyle w:val="AIBodyText"/>
        <w:spacing w:after="0"/>
        <w:rPr>
          <w:color w:val="auto"/>
          <w:lang w:val="en-CA"/>
        </w:rPr>
      </w:pPr>
    </w:p>
    <w:p w14:paraId="56428A17" w14:textId="77777777" w:rsidR="009E3308" w:rsidRPr="00AA6144" w:rsidRDefault="009E3308" w:rsidP="009E3308">
      <w:pPr>
        <w:pStyle w:val="Heading3"/>
        <w:rPr>
          <w:color w:val="auto"/>
          <w:lang w:val="en-CA"/>
        </w:rPr>
      </w:pPr>
      <w:bookmarkStart w:id="272" w:name="_Toc193798699"/>
      <w:bookmarkStart w:id="273" w:name="_Toc220954499"/>
      <w:bookmarkStart w:id="274" w:name="_Toc294914680"/>
      <w:bookmarkStart w:id="275" w:name="_Toc43382787"/>
      <w:r w:rsidRPr="00AA6144">
        <w:rPr>
          <w:color w:val="auto"/>
          <w:lang w:val="en-CA"/>
        </w:rPr>
        <w:t>7.2.2 Inappropriate bars to mutual legal assistance</w:t>
      </w:r>
      <w:bookmarkEnd w:id="272"/>
      <w:bookmarkEnd w:id="273"/>
      <w:bookmarkEnd w:id="274"/>
      <w:bookmarkEnd w:id="275"/>
    </w:p>
    <w:p w14:paraId="51B87769" w14:textId="77777777" w:rsidR="00066291" w:rsidRPr="00AA6144" w:rsidRDefault="00066291" w:rsidP="00066291">
      <w:pPr>
        <w:spacing w:after="0"/>
        <w:rPr>
          <w:lang w:val="en-CA"/>
        </w:rPr>
      </w:pPr>
    </w:p>
    <w:p w14:paraId="2CC9D5EE" w14:textId="77777777" w:rsidR="009E3308" w:rsidRPr="00AA6144" w:rsidRDefault="009E3308" w:rsidP="009E3308">
      <w:pPr>
        <w:pStyle w:val="AIBodyText"/>
        <w:rPr>
          <w:color w:val="auto"/>
          <w:lang w:val="en-CA"/>
        </w:rPr>
      </w:pPr>
      <w:r w:rsidRPr="000C2340">
        <w:rPr>
          <w:color w:val="auto"/>
          <w:lang w:val="en-CA"/>
        </w:rPr>
        <w:t xml:space="preserve">There are no inappropriate bars in Canada to mutual legal assistance </w:t>
      </w:r>
      <w:proofErr w:type="gramStart"/>
      <w:r w:rsidRPr="000C2340">
        <w:rPr>
          <w:color w:val="auto"/>
          <w:lang w:val="en-CA"/>
        </w:rPr>
        <w:t>with regard to</w:t>
      </w:r>
      <w:proofErr w:type="gramEnd"/>
      <w:r w:rsidRPr="000C2340">
        <w:rPr>
          <w:color w:val="auto"/>
          <w:lang w:val="en-CA"/>
        </w:rPr>
        <w:t xml:space="preserve"> crimes under international law.</w:t>
      </w:r>
      <w:r w:rsidRPr="00AA6144">
        <w:rPr>
          <w:color w:val="auto"/>
          <w:lang w:val="en-CA"/>
        </w:rPr>
        <w:t xml:space="preserve">  Under the terms of the </w:t>
      </w:r>
      <w:r w:rsidRPr="00AA6144">
        <w:rPr>
          <w:rStyle w:val="italic"/>
          <w:i/>
          <w:color w:val="auto"/>
          <w:lang w:val="en-CA"/>
        </w:rPr>
        <w:t>Mutual Legal Assistance in Criminal Matters Act</w:t>
      </w:r>
      <w:r w:rsidRPr="00AA6144">
        <w:rPr>
          <w:rStyle w:val="italic"/>
          <w:color w:val="auto"/>
          <w:lang w:val="en-CA"/>
        </w:rPr>
        <w:t xml:space="preserve">, Canadian courts are empowered to make mandatory orders for the gathering of evidence on behalf of any state or entity </w:t>
      </w:r>
      <w:r w:rsidRPr="00AA6144">
        <w:rPr>
          <w:rStyle w:val="verdana"/>
          <w:color w:val="auto"/>
          <w:lang w:val="en-CA"/>
        </w:rPr>
        <w:t xml:space="preserve">for use in a criminal investigation and prosecution being conducted by that state or entity, and pursuant to any agreement in force, including any treaty, convention or other international agreement, to which Canada is a party and that contains a provision respecting mutual legal assistance in criminal matters. </w:t>
      </w:r>
      <w:r w:rsidR="00492FC7" w:rsidRPr="00AA6144">
        <w:rPr>
          <w:rStyle w:val="verdana"/>
          <w:color w:val="auto"/>
          <w:lang w:val="en-CA"/>
        </w:rPr>
        <w:t>Canada has enter</w:t>
      </w:r>
      <w:r w:rsidRPr="00AA6144">
        <w:rPr>
          <w:rStyle w:val="verdana"/>
          <w:color w:val="auto"/>
          <w:lang w:val="en-CA"/>
        </w:rPr>
        <w:t>ed into 3</w:t>
      </w:r>
      <w:r w:rsidR="001A01F5" w:rsidRPr="00AA6144">
        <w:rPr>
          <w:rStyle w:val="verdana"/>
          <w:color w:val="auto"/>
          <w:lang w:val="en-CA"/>
        </w:rPr>
        <w:t>8</w:t>
      </w:r>
      <w:r w:rsidRPr="00AA6144">
        <w:rPr>
          <w:rStyle w:val="verdana"/>
          <w:color w:val="auto"/>
          <w:lang w:val="en-CA"/>
        </w:rPr>
        <w:t xml:space="preserve"> such agreements.</w:t>
      </w:r>
      <w:r w:rsidR="001A01F5" w:rsidRPr="00AA6144">
        <w:rPr>
          <w:rStyle w:val="FootnoteReference"/>
          <w:color w:val="auto"/>
          <w:lang w:val="en-CA"/>
        </w:rPr>
        <w:footnoteReference w:id="665"/>
      </w:r>
    </w:p>
    <w:p w14:paraId="5620DCAF" w14:textId="77777777" w:rsidR="009E3308" w:rsidRPr="00AA6144" w:rsidRDefault="009E3308" w:rsidP="009E3308">
      <w:pPr>
        <w:pStyle w:val="Heading4"/>
        <w:rPr>
          <w:color w:val="auto"/>
          <w:lang w:val="en-CA"/>
        </w:rPr>
      </w:pPr>
      <w:bookmarkStart w:id="276" w:name="_Toc294914681"/>
      <w:bookmarkStart w:id="277" w:name="_Toc43382788"/>
      <w:r w:rsidRPr="00AA6144">
        <w:rPr>
          <w:color w:val="auto"/>
          <w:lang w:val="en-CA"/>
        </w:rPr>
        <w:t>7.2.2.</w:t>
      </w:r>
      <w:proofErr w:type="gramStart"/>
      <w:r w:rsidRPr="00AA6144">
        <w:rPr>
          <w:color w:val="auto"/>
          <w:lang w:val="en-CA"/>
        </w:rPr>
        <w:t>1.Nationality</w:t>
      </w:r>
      <w:bookmarkEnd w:id="276"/>
      <w:bookmarkEnd w:id="277"/>
      <w:proofErr w:type="gramEnd"/>
      <w:r w:rsidRPr="00AA6144">
        <w:rPr>
          <w:color w:val="auto"/>
          <w:lang w:val="en-CA"/>
        </w:rPr>
        <w:t xml:space="preserve"> </w:t>
      </w:r>
    </w:p>
    <w:p w14:paraId="45BEFB84" w14:textId="77777777" w:rsidR="009E3308" w:rsidRPr="00AA6144" w:rsidRDefault="009E3308" w:rsidP="009E3308">
      <w:pPr>
        <w:pStyle w:val="AIBodyText"/>
        <w:rPr>
          <w:color w:val="auto"/>
          <w:lang w:val="en-CA"/>
        </w:rPr>
      </w:pPr>
      <w:r w:rsidRPr="00AA6144">
        <w:rPr>
          <w:color w:val="auto"/>
          <w:lang w:val="en-CA"/>
        </w:rPr>
        <w:t xml:space="preserve">Canada permits the making/granting of requests for mutual legal assistance when the person concerned is a </w:t>
      </w:r>
      <w:r w:rsidR="003959F5" w:rsidRPr="00AA6144">
        <w:rPr>
          <w:color w:val="auto"/>
          <w:lang w:val="en-CA"/>
        </w:rPr>
        <w:t xml:space="preserve">Canadian </w:t>
      </w:r>
      <w:r w:rsidRPr="00AA6144">
        <w:rPr>
          <w:color w:val="auto"/>
          <w:lang w:val="en-CA"/>
        </w:rPr>
        <w:t>national.</w:t>
      </w:r>
    </w:p>
    <w:p w14:paraId="4AC3DDE7" w14:textId="77777777" w:rsidR="009E3308" w:rsidRPr="00AA6144" w:rsidRDefault="009E3308" w:rsidP="009E3308">
      <w:pPr>
        <w:pStyle w:val="Heading4"/>
        <w:rPr>
          <w:color w:val="auto"/>
          <w:lang w:val="en-CA"/>
        </w:rPr>
      </w:pPr>
      <w:bookmarkStart w:id="278" w:name="_Toc294914682"/>
      <w:bookmarkStart w:id="279" w:name="_Toc43382789"/>
      <w:r w:rsidRPr="00AA6144">
        <w:rPr>
          <w:color w:val="auto"/>
          <w:lang w:val="en-CA"/>
        </w:rPr>
        <w:t>7.2.2.2. Political offence</w:t>
      </w:r>
      <w:bookmarkEnd w:id="278"/>
      <w:bookmarkEnd w:id="279"/>
      <w:r w:rsidRPr="00AA6144">
        <w:rPr>
          <w:color w:val="auto"/>
          <w:lang w:val="en-CA"/>
        </w:rPr>
        <w:t xml:space="preserve"> </w:t>
      </w:r>
    </w:p>
    <w:p w14:paraId="5724D6C9" w14:textId="77777777" w:rsidR="00701BD1" w:rsidRPr="00AA6144" w:rsidRDefault="009E3308" w:rsidP="004737E1">
      <w:pPr>
        <w:pStyle w:val="AIBodyText"/>
        <w:numPr>
          <w:ilvl w:val="0"/>
          <w:numId w:val="1"/>
        </w:numPr>
        <w:rPr>
          <w:color w:val="auto"/>
          <w:lang w:val="en-CA"/>
        </w:rPr>
      </w:pPr>
      <w:r w:rsidRPr="00AA6144">
        <w:rPr>
          <w:color w:val="auto"/>
          <w:lang w:val="en-CA"/>
        </w:rPr>
        <w:t>Canada does not permit making/granting requests for mutual legal assistance with respect to political offences or associated offences</w:t>
      </w:r>
      <w:r w:rsidR="002769E5" w:rsidRPr="00AA6144">
        <w:rPr>
          <w:color w:val="auto"/>
          <w:lang w:val="en-CA"/>
        </w:rPr>
        <w:t>.</w:t>
      </w:r>
      <w:r w:rsidRPr="00AA6144">
        <w:rPr>
          <w:color w:val="auto"/>
          <w:lang w:val="en-CA"/>
        </w:rPr>
        <w:t xml:space="preserve"> </w:t>
      </w:r>
      <w:r w:rsidR="002769E5" w:rsidRPr="00AA6144">
        <w:rPr>
          <w:color w:val="auto"/>
          <w:lang w:val="en-CA"/>
        </w:rPr>
        <w:t xml:space="preserve">However, the </w:t>
      </w:r>
      <w:r w:rsidR="002769E5" w:rsidRPr="00AA6144">
        <w:rPr>
          <w:rStyle w:val="italic"/>
          <w:i/>
          <w:color w:val="auto"/>
          <w:lang w:val="en-CA"/>
        </w:rPr>
        <w:t>Mutual Legal Assistance in Criminal Matters Act</w:t>
      </w:r>
      <w:r w:rsidR="002769E5" w:rsidRPr="00AA6144">
        <w:rPr>
          <w:rStyle w:val="italic"/>
          <w:color w:val="auto"/>
          <w:lang w:val="en-CA"/>
        </w:rPr>
        <w:t xml:space="preserve"> provides that </w:t>
      </w:r>
      <w:r w:rsidR="00701BD1" w:rsidRPr="00AA6144">
        <w:rPr>
          <w:rStyle w:val="italic"/>
          <w:color w:val="auto"/>
          <w:lang w:val="en-CA"/>
        </w:rPr>
        <w:t xml:space="preserve">the following conduct does not </w:t>
      </w:r>
      <w:r w:rsidR="00701BD1" w:rsidRPr="00AA6144">
        <w:rPr>
          <w:color w:val="auto"/>
          <w:lang w:val="en-CA"/>
        </w:rPr>
        <w:t xml:space="preserve">constitute a political offence or an offence of a political character: </w:t>
      </w:r>
      <w:r w:rsidR="002769E5" w:rsidRPr="00AA6144">
        <w:rPr>
          <w:rStyle w:val="italic"/>
          <w:color w:val="auto"/>
          <w:lang w:val="en-CA"/>
        </w:rPr>
        <w:t>“</w:t>
      </w:r>
      <w:r w:rsidR="002769E5" w:rsidRPr="00AA6144">
        <w:rPr>
          <w:color w:val="auto"/>
          <w:lang w:val="en-CA"/>
        </w:rPr>
        <w:t>conduct that constitutes an offence mentioned in a multilateral extradition agreement for which Canada, as a party, is obliged to extradite the person or submit the matter to its appropriate authority for prosecution”</w:t>
      </w:r>
      <w:r w:rsidR="004737E1" w:rsidRPr="00AA6144">
        <w:rPr>
          <w:color w:val="auto"/>
          <w:lang w:val="en-CA"/>
        </w:rPr>
        <w:t xml:space="preserve"> as well as “</w:t>
      </w:r>
      <w:r w:rsidR="00701BD1" w:rsidRPr="00AA6144">
        <w:rPr>
          <w:color w:val="auto"/>
          <w:lang w:val="en-CA"/>
        </w:rPr>
        <w:t>murder or manslaughter; inflicting serious bodily harm;</w:t>
      </w:r>
      <w:r w:rsidR="004737E1" w:rsidRPr="00AA6144">
        <w:rPr>
          <w:color w:val="auto"/>
          <w:lang w:val="en-CA"/>
        </w:rPr>
        <w:t xml:space="preserve"> </w:t>
      </w:r>
      <w:r w:rsidR="00701BD1" w:rsidRPr="00AA6144">
        <w:rPr>
          <w:color w:val="auto"/>
          <w:lang w:val="en-CA"/>
        </w:rPr>
        <w:t>sexual assault;</w:t>
      </w:r>
      <w:r w:rsidR="004737E1" w:rsidRPr="00AA6144">
        <w:rPr>
          <w:color w:val="auto"/>
          <w:lang w:val="en-CA"/>
        </w:rPr>
        <w:t xml:space="preserve"> </w:t>
      </w:r>
      <w:r w:rsidR="00701BD1" w:rsidRPr="00AA6144">
        <w:rPr>
          <w:color w:val="auto"/>
          <w:lang w:val="en-CA"/>
        </w:rPr>
        <w:t>kidnapping, abduction, hostage-taking or extortion;</w:t>
      </w:r>
      <w:r w:rsidR="004737E1" w:rsidRPr="00AA6144">
        <w:rPr>
          <w:color w:val="auto"/>
          <w:lang w:val="en-CA"/>
        </w:rPr>
        <w:t xml:space="preserve"> </w:t>
      </w:r>
      <w:r w:rsidR="00701BD1" w:rsidRPr="00AA6144">
        <w:rPr>
          <w:color w:val="auto"/>
          <w:lang w:val="en-CA"/>
        </w:rPr>
        <w:t>using explosives, incendiaries, devices or substances in circumstances in which human life is likely to be endangered or serious bodily harm or substantial property damage is likely to be caused; and</w:t>
      </w:r>
      <w:r w:rsidR="004737E1" w:rsidRPr="00AA6144">
        <w:rPr>
          <w:color w:val="auto"/>
          <w:lang w:val="en-CA"/>
        </w:rPr>
        <w:t xml:space="preserve"> </w:t>
      </w:r>
      <w:r w:rsidR="00701BD1" w:rsidRPr="00AA6144">
        <w:rPr>
          <w:color w:val="auto"/>
          <w:lang w:val="en-CA"/>
        </w:rPr>
        <w:t>an attempt or conspiracy to engage in, counselling, aiding or abetting another person to engage in, or being an accessory</w:t>
      </w:r>
      <w:r w:rsidR="004737E1" w:rsidRPr="00AA6144">
        <w:rPr>
          <w:color w:val="auto"/>
          <w:lang w:val="en-CA"/>
        </w:rPr>
        <w:t xml:space="preserve"> after the fact in relation to the foregoing conduct.”</w:t>
      </w:r>
      <w:r w:rsidR="004737E1" w:rsidRPr="00AA6144">
        <w:rPr>
          <w:rStyle w:val="FootnoteReference"/>
          <w:color w:val="auto"/>
          <w:lang w:val="en-CA"/>
        </w:rPr>
        <w:t xml:space="preserve"> </w:t>
      </w:r>
      <w:r w:rsidR="004737E1" w:rsidRPr="00AA6144">
        <w:rPr>
          <w:rStyle w:val="FootnoteReference"/>
          <w:color w:val="auto"/>
          <w:lang w:val="en-CA"/>
        </w:rPr>
        <w:footnoteReference w:id="666"/>
      </w:r>
    </w:p>
    <w:p w14:paraId="3B50BE21" w14:textId="77777777" w:rsidR="009E3308" w:rsidRPr="00AA6144" w:rsidRDefault="009E3308" w:rsidP="009E3308">
      <w:pPr>
        <w:pStyle w:val="Heading4"/>
        <w:rPr>
          <w:color w:val="auto"/>
          <w:lang w:val="en-CA"/>
        </w:rPr>
      </w:pPr>
      <w:bookmarkStart w:id="280" w:name="_Toc294914683"/>
      <w:bookmarkStart w:id="281" w:name="_Toc43382790"/>
      <w:r w:rsidRPr="00AA6144">
        <w:rPr>
          <w:color w:val="auto"/>
          <w:lang w:val="en-CA"/>
        </w:rPr>
        <w:t xml:space="preserve">7.2.2.3. </w:t>
      </w:r>
      <w:r w:rsidRPr="00AA6144">
        <w:rPr>
          <w:i/>
          <w:color w:val="auto"/>
          <w:lang w:val="en-CA"/>
        </w:rPr>
        <w:t>Ne bis in idem</w:t>
      </w:r>
      <w:bookmarkEnd w:id="280"/>
      <w:bookmarkEnd w:id="281"/>
    </w:p>
    <w:p w14:paraId="239ABB0D" w14:textId="77777777" w:rsidR="009E3308" w:rsidRPr="00AA6144" w:rsidRDefault="009E3308" w:rsidP="009E3308">
      <w:pPr>
        <w:pStyle w:val="AIBodyText"/>
        <w:rPr>
          <w:color w:val="auto"/>
          <w:lang w:val="en-CA"/>
        </w:rPr>
      </w:pPr>
      <w:r w:rsidRPr="00AA6144">
        <w:rPr>
          <w:color w:val="auto"/>
          <w:lang w:val="en-CA"/>
        </w:rPr>
        <w:t>Canada does not permit making/granting requests for mutual legal assistance on the ground that the person concerned has been tried and convicted in a court.</w:t>
      </w:r>
      <w:r w:rsidR="00E96EB1" w:rsidRPr="00AA6144">
        <w:rPr>
          <w:rStyle w:val="FootnoteReference"/>
          <w:color w:val="auto"/>
          <w:lang w:val="en-CA"/>
        </w:rPr>
        <w:footnoteReference w:id="667"/>
      </w:r>
      <w:r w:rsidRPr="00AA6144">
        <w:rPr>
          <w:color w:val="auto"/>
          <w:lang w:val="en-CA"/>
        </w:rPr>
        <w:t xml:space="preserve"> </w:t>
      </w:r>
    </w:p>
    <w:p w14:paraId="0206AB02" w14:textId="77777777" w:rsidR="009E3308" w:rsidRPr="00AA6144" w:rsidRDefault="009E3308" w:rsidP="009E3308">
      <w:pPr>
        <w:pStyle w:val="Heading4"/>
        <w:rPr>
          <w:color w:val="auto"/>
          <w:lang w:val="en-CA"/>
        </w:rPr>
      </w:pPr>
      <w:bookmarkStart w:id="282" w:name="_Toc294914684"/>
      <w:bookmarkStart w:id="283" w:name="_Toc43382791"/>
      <w:r w:rsidRPr="00AA6144">
        <w:rPr>
          <w:color w:val="auto"/>
          <w:lang w:val="en-CA"/>
        </w:rPr>
        <w:t>7.2.2.</w:t>
      </w:r>
      <w:proofErr w:type="gramStart"/>
      <w:r w:rsidRPr="00AA6144">
        <w:rPr>
          <w:color w:val="auto"/>
          <w:lang w:val="en-CA"/>
        </w:rPr>
        <w:t>4.Double</w:t>
      </w:r>
      <w:proofErr w:type="gramEnd"/>
      <w:r w:rsidRPr="00AA6144">
        <w:rPr>
          <w:color w:val="auto"/>
          <w:lang w:val="en-CA"/>
        </w:rPr>
        <w:t xml:space="preserve"> criminality</w:t>
      </w:r>
      <w:bookmarkEnd w:id="282"/>
      <w:bookmarkEnd w:id="283"/>
    </w:p>
    <w:p w14:paraId="54DB1190" w14:textId="77777777" w:rsidR="009E3308" w:rsidRPr="00AA6144" w:rsidRDefault="009E3308" w:rsidP="009E3308">
      <w:pPr>
        <w:pStyle w:val="AIBodyText"/>
        <w:rPr>
          <w:color w:val="auto"/>
          <w:lang w:val="en-CA"/>
        </w:rPr>
      </w:pPr>
      <w:r w:rsidRPr="00AA6144">
        <w:rPr>
          <w:color w:val="auto"/>
          <w:lang w:val="en-CA"/>
        </w:rPr>
        <w:t>Canada permit</w:t>
      </w:r>
      <w:r w:rsidR="00CF3D93" w:rsidRPr="00AA6144">
        <w:rPr>
          <w:color w:val="auto"/>
          <w:lang w:val="en-CA"/>
        </w:rPr>
        <w:t>s</w:t>
      </w:r>
      <w:r w:rsidRPr="00AA6144">
        <w:rPr>
          <w:color w:val="auto"/>
          <w:lang w:val="en-CA"/>
        </w:rPr>
        <w:t xml:space="preserve"> making/granting requests for mutual legal assistance</w:t>
      </w:r>
      <w:r w:rsidR="00E70867" w:rsidRPr="00AA6144">
        <w:rPr>
          <w:color w:val="auto"/>
          <w:lang w:val="en-CA"/>
        </w:rPr>
        <w:t xml:space="preserve"> in limited circumstances</w:t>
      </w:r>
      <w:r w:rsidRPr="00AA6144">
        <w:rPr>
          <w:color w:val="auto"/>
          <w:lang w:val="en-CA"/>
        </w:rPr>
        <w:t xml:space="preserve"> for conduct that </w:t>
      </w:r>
      <w:r w:rsidR="00E70867" w:rsidRPr="00AA6144">
        <w:rPr>
          <w:color w:val="auto"/>
          <w:lang w:val="en-CA"/>
        </w:rPr>
        <w:t xml:space="preserve">does </w:t>
      </w:r>
      <w:r w:rsidRPr="00AA6144">
        <w:rPr>
          <w:color w:val="auto"/>
          <w:lang w:val="en-CA"/>
        </w:rPr>
        <w:t>not</w:t>
      </w:r>
      <w:r w:rsidR="00E70867" w:rsidRPr="00AA6144">
        <w:rPr>
          <w:color w:val="auto"/>
          <w:lang w:val="en-CA"/>
        </w:rPr>
        <w:t xml:space="preserve"> meet the </w:t>
      </w:r>
      <w:r w:rsidR="00326E4A" w:rsidRPr="00AA6144">
        <w:rPr>
          <w:color w:val="auto"/>
          <w:lang w:val="en-CA"/>
        </w:rPr>
        <w:t xml:space="preserve">requirement </w:t>
      </w:r>
      <w:r w:rsidR="00E70867" w:rsidRPr="00AA6144">
        <w:rPr>
          <w:color w:val="auto"/>
          <w:lang w:val="en-CA"/>
        </w:rPr>
        <w:t>of double criminality.</w:t>
      </w:r>
      <w:r w:rsidRPr="00AA6144">
        <w:rPr>
          <w:rStyle w:val="FootnoteReference"/>
          <w:color w:val="auto"/>
          <w:lang w:val="en-CA"/>
        </w:rPr>
        <w:footnoteReference w:id="668"/>
      </w:r>
      <w:r w:rsidR="00E70867" w:rsidRPr="00AA6144">
        <w:rPr>
          <w:color w:val="auto"/>
          <w:lang w:val="en-CA"/>
        </w:rPr>
        <w:t xml:space="preserve"> Section 6(2) of the </w:t>
      </w:r>
      <w:r w:rsidR="00E70867" w:rsidRPr="00AA6144">
        <w:rPr>
          <w:i/>
          <w:color w:val="auto"/>
          <w:lang w:val="en-CA"/>
        </w:rPr>
        <w:t>Mutual Legal Assistance in Criminal Matters Act</w:t>
      </w:r>
      <w:r w:rsidR="00E70867" w:rsidRPr="00AA6144">
        <w:rPr>
          <w:color w:val="auto"/>
          <w:lang w:val="en-CA"/>
        </w:rPr>
        <w:t xml:space="preserve"> contemplates situations in which </w:t>
      </w:r>
      <w:r w:rsidR="0009566E" w:rsidRPr="00AA6144">
        <w:rPr>
          <w:color w:val="auto"/>
          <w:lang w:val="en-CA"/>
        </w:rPr>
        <w:t xml:space="preserve">mutual legal assistance agreements between Canada and another state allow for legal assistance to be provided </w:t>
      </w:r>
      <w:r w:rsidR="00CF3D93" w:rsidRPr="00AA6144">
        <w:rPr>
          <w:color w:val="auto"/>
          <w:lang w:val="en-CA"/>
        </w:rPr>
        <w:t>“with respect to acts that do not constitute an offence within the meaning of the agreement”.</w:t>
      </w:r>
      <w:r w:rsidR="004F193D" w:rsidRPr="00AA6144">
        <w:rPr>
          <w:rStyle w:val="FootnoteReference"/>
          <w:color w:val="auto"/>
          <w:lang w:val="en-CA"/>
        </w:rPr>
        <w:footnoteReference w:id="669"/>
      </w:r>
      <w:r w:rsidR="00CF3D93" w:rsidRPr="00AA6144">
        <w:rPr>
          <w:color w:val="auto"/>
          <w:lang w:val="en-CA"/>
        </w:rPr>
        <w:t xml:space="preserve"> In this </w:t>
      </w:r>
      <w:r w:rsidR="00746576" w:rsidRPr="00AA6144">
        <w:rPr>
          <w:color w:val="auto"/>
          <w:lang w:val="en-CA"/>
        </w:rPr>
        <w:t>exceptional circumstance</w:t>
      </w:r>
      <w:r w:rsidR="00CF3D93" w:rsidRPr="00AA6144">
        <w:rPr>
          <w:color w:val="auto"/>
          <w:lang w:val="en-CA"/>
        </w:rPr>
        <w:t xml:space="preserve">, the Minister of Foreign Affairs </w:t>
      </w:r>
      <w:r w:rsidR="00746576" w:rsidRPr="00AA6144">
        <w:rPr>
          <w:color w:val="auto"/>
          <w:lang w:val="en-CA"/>
        </w:rPr>
        <w:t>may enter into an administrative arrangement for mutual legal assistance.</w:t>
      </w:r>
      <w:r w:rsidR="000E1B21" w:rsidRPr="00AA6144">
        <w:rPr>
          <w:rStyle w:val="FootnoteReference"/>
          <w:color w:val="auto"/>
          <w:lang w:val="en-CA"/>
        </w:rPr>
        <w:footnoteReference w:id="670"/>
      </w:r>
    </w:p>
    <w:p w14:paraId="733DB719" w14:textId="77777777" w:rsidR="009E3308" w:rsidRPr="00AA6144" w:rsidRDefault="009E3308" w:rsidP="009E3308">
      <w:pPr>
        <w:pStyle w:val="Heading4"/>
        <w:rPr>
          <w:color w:val="auto"/>
          <w:lang w:val="en-CA"/>
        </w:rPr>
      </w:pPr>
      <w:bookmarkStart w:id="284" w:name="_Toc294914685"/>
      <w:bookmarkStart w:id="285" w:name="_Toc43382792"/>
      <w:r w:rsidRPr="00AA6144">
        <w:rPr>
          <w:color w:val="auto"/>
          <w:lang w:val="en-CA"/>
        </w:rPr>
        <w:t>7.2.2.</w:t>
      </w:r>
      <w:r w:rsidR="00092DFC" w:rsidRPr="00AA6144">
        <w:rPr>
          <w:color w:val="auto"/>
          <w:lang w:val="en-CA"/>
        </w:rPr>
        <w:t>5</w:t>
      </w:r>
      <w:r w:rsidRPr="00AA6144">
        <w:rPr>
          <w:color w:val="auto"/>
          <w:lang w:val="en-CA"/>
        </w:rPr>
        <w:t>. Jurisdiction</w:t>
      </w:r>
      <w:bookmarkEnd w:id="284"/>
      <w:bookmarkEnd w:id="285"/>
    </w:p>
    <w:p w14:paraId="21A63F9B" w14:textId="77777777" w:rsidR="009E3308" w:rsidRPr="00AA6144" w:rsidRDefault="009E3308" w:rsidP="009E3308">
      <w:pPr>
        <w:pStyle w:val="AIBodyText"/>
        <w:rPr>
          <w:color w:val="auto"/>
          <w:lang w:val="en-CA"/>
        </w:rPr>
      </w:pPr>
      <w:r w:rsidRPr="00AA6144">
        <w:rPr>
          <w:color w:val="auto"/>
          <w:lang w:val="en-CA"/>
        </w:rPr>
        <w:t xml:space="preserve">The </w:t>
      </w:r>
      <w:r w:rsidRPr="00AA6144">
        <w:rPr>
          <w:i/>
          <w:color w:val="auto"/>
          <w:lang w:val="en-CA"/>
        </w:rPr>
        <w:t>Crimes Against Humanity and War Crimes Act</w:t>
      </w:r>
      <w:r w:rsidRPr="00AA6144">
        <w:rPr>
          <w:color w:val="auto"/>
          <w:lang w:val="en-CA"/>
        </w:rPr>
        <w:t xml:space="preserve"> allows Canada to help the ICC investigate offences of genocide, crimes against humanity and war crimes in much the same way that it currently assists foreign states with normal criminal investigations. The </w:t>
      </w:r>
      <w:r w:rsidRPr="00AA6144">
        <w:rPr>
          <w:i/>
          <w:color w:val="auto"/>
          <w:lang w:val="en-CA"/>
        </w:rPr>
        <w:t>Mutual Legal Assistance in Criminal Matters Act</w:t>
      </w:r>
      <w:r w:rsidRPr="00AA6144">
        <w:rPr>
          <w:color w:val="auto"/>
          <w:lang w:val="en-CA"/>
        </w:rPr>
        <w:t xml:space="preserve"> was amended to permit Canada to assist the ICC with many aspects of its investigations, from the identification of persons to the gathering evidence in Canada for the purposes of prosecution.</w:t>
      </w:r>
      <w:r w:rsidRPr="00AA6144">
        <w:rPr>
          <w:rStyle w:val="FootnoteReference"/>
          <w:color w:val="auto"/>
          <w:lang w:val="en-CA"/>
        </w:rPr>
        <w:footnoteReference w:id="671"/>
      </w:r>
      <w:r w:rsidRPr="00AA6144">
        <w:rPr>
          <w:color w:val="auto"/>
          <w:lang w:val="en-CA"/>
        </w:rPr>
        <w:t xml:space="preserve">  </w:t>
      </w:r>
    </w:p>
    <w:p w14:paraId="01E2EB2A" w14:textId="77777777" w:rsidR="009E3308" w:rsidRPr="00AA6144" w:rsidRDefault="00092DFC" w:rsidP="009E3308">
      <w:pPr>
        <w:pStyle w:val="Heading4"/>
        <w:rPr>
          <w:color w:val="auto"/>
          <w:lang w:val="en-CA"/>
        </w:rPr>
      </w:pPr>
      <w:bookmarkStart w:id="286" w:name="_Toc294914686"/>
      <w:bookmarkStart w:id="287" w:name="_Toc43382793"/>
      <w:r w:rsidRPr="00AA6144">
        <w:rPr>
          <w:color w:val="auto"/>
          <w:lang w:val="en-CA"/>
        </w:rPr>
        <w:t>7.2.2.6</w:t>
      </w:r>
      <w:r w:rsidR="009E3308" w:rsidRPr="00AA6144">
        <w:rPr>
          <w:color w:val="auto"/>
          <w:lang w:val="en-CA"/>
        </w:rPr>
        <w:t>. Amnesty or similar measure of impunity</w:t>
      </w:r>
      <w:bookmarkEnd w:id="286"/>
      <w:bookmarkEnd w:id="287"/>
    </w:p>
    <w:p w14:paraId="7964532A" w14:textId="77777777" w:rsidR="009E3308" w:rsidRPr="00AA6144" w:rsidRDefault="00DD0036" w:rsidP="009E3308">
      <w:pPr>
        <w:pStyle w:val="AIBodyText"/>
        <w:rPr>
          <w:color w:val="auto"/>
          <w:lang w:val="en-CA"/>
        </w:rPr>
      </w:pPr>
      <w:r w:rsidRPr="00AA6144">
        <w:rPr>
          <w:color w:val="auto"/>
          <w:lang w:val="en-CA"/>
        </w:rPr>
        <w:t xml:space="preserve">Canada’s </w:t>
      </w:r>
      <w:r w:rsidRPr="00AA6144">
        <w:rPr>
          <w:rStyle w:val="italic"/>
          <w:i/>
          <w:color w:val="auto"/>
          <w:lang w:val="en-CA"/>
        </w:rPr>
        <w:t>Mutual Legal Assistance in Criminal Matters Act</w:t>
      </w:r>
      <w:r w:rsidRPr="00AA6144">
        <w:rPr>
          <w:rStyle w:val="italic"/>
          <w:color w:val="auto"/>
          <w:lang w:val="en-CA"/>
        </w:rPr>
        <w:t xml:space="preserve"> does not specify whether it</w:t>
      </w:r>
      <w:r w:rsidRPr="00AA6144">
        <w:rPr>
          <w:color w:val="auto"/>
          <w:lang w:val="en-CA"/>
        </w:rPr>
        <w:t xml:space="preserve"> permits </w:t>
      </w:r>
      <w:r w:rsidR="009E3308" w:rsidRPr="00AA6144">
        <w:rPr>
          <w:color w:val="auto"/>
          <w:lang w:val="en-CA"/>
        </w:rPr>
        <w:t xml:space="preserve">making/granting requests for mutual legal assistance when a prosecution is barred in either state based on an amnesty, </w:t>
      </w:r>
      <w:proofErr w:type="gramStart"/>
      <w:r w:rsidR="009E3308" w:rsidRPr="00AA6144">
        <w:rPr>
          <w:color w:val="auto"/>
          <w:lang w:val="en-CA"/>
        </w:rPr>
        <w:t>pardon</w:t>
      </w:r>
      <w:proofErr w:type="gramEnd"/>
      <w:r w:rsidR="009E3308" w:rsidRPr="00AA6144">
        <w:rPr>
          <w:color w:val="auto"/>
          <w:lang w:val="en-CA"/>
        </w:rPr>
        <w:t xml:space="preserve"> or similar measure of impunity.</w:t>
      </w:r>
      <w:r w:rsidR="009E3308" w:rsidRPr="00AA6144">
        <w:rPr>
          <w:rStyle w:val="FootnoteReference"/>
          <w:color w:val="auto"/>
          <w:lang w:val="en-CA"/>
        </w:rPr>
        <w:footnoteReference w:id="672"/>
      </w:r>
    </w:p>
    <w:p w14:paraId="18D77935" w14:textId="77777777" w:rsidR="009E3308" w:rsidRPr="00AA6144" w:rsidRDefault="00092DFC" w:rsidP="009E3308">
      <w:pPr>
        <w:pStyle w:val="Heading4"/>
        <w:rPr>
          <w:color w:val="auto"/>
          <w:lang w:val="en-CA"/>
        </w:rPr>
      </w:pPr>
      <w:bookmarkStart w:id="288" w:name="_Toc294914687"/>
      <w:bookmarkStart w:id="289" w:name="_Toc43382794"/>
      <w:r w:rsidRPr="00AA6144">
        <w:rPr>
          <w:color w:val="auto"/>
          <w:lang w:val="en-CA"/>
        </w:rPr>
        <w:t>7.2.2.7</w:t>
      </w:r>
      <w:r w:rsidR="009E3308" w:rsidRPr="00AA6144">
        <w:rPr>
          <w:color w:val="auto"/>
          <w:lang w:val="en-CA"/>
        </w:rPr>
        <w:t>. Other inappropriate bars to mutual legal assistance</w:t>
      </w:r>
      <w:bookmarkEnd w:id="288"/>
      <w:bookmarkEnd w:id="289"/>
    </w:p>
    <w:p w14:paraId="1D51B5E8" w14:textId="77777777" w:rsidR="009E3308" w:rsidRPr="00AA6144" w:rsidRDefault="009E3308" w:rsidP="009E3308">
      <w:pPr>
        <w:pStyle w:val="AIBodyText"/>
        <w:rPr>
          <w:color w:val="auto"/>
          <w:lang w:val="en-CA"/>
        </w:rPr>
      </w:pPr>
      <w:r w:rsidRPr="000C2340">
        <w:rPr>
          <w:color w:val="auto"/>
          <w:lang w:val="en-CA"/>
        </w:rPr>
        <w:t>There appear to be</w:t>
      </w:r>
      <w:r w:rsidRPr="00AA6144">
        <w:rPr>
          <w:color w:val="auto"/>
          <w:lang w:val="en-CA"/>
        </w:rPr>
        <w:t xml:space="preserve"> no inappropriate bars to making/granting requests for mutual legal assistance.</w:t>
      </w:r>
    </w:p>
    <w:p w14:paraId="62BC3BFA" w14:textId="77777777" w:rsidR="009E3308" w:rsidRPr="00AA6144" w:rsidRDefault="009E3308" w:rsidP="009E3308">
      <w:pPr>
        <w:pStyle w:val="Heading3"/>
        <w:rPr>
          <w:color w:val="auto"/>
          <w:lang w:val="en-CA"/>
        </w:rPr>
      </w:pPr>
      <w:bookmarkStart w:id="290" w:name="_Toc193798700"/>
      <w:bookmarkStart w:id="291" w:name="_Toc220954500"/>
      <w:bookmarkStart w:id="292" w:name="_Toc294914688"/>
      <w:bookmarkStart w:id="293" w:name="_Toc43382795"/>
      <w:r w:rsidRPr="00AA6144">
        <w:rPr>
          <w:color w:val="auto"/>
          <w:lang w:val="en-CA"/>
        </w:rPr>
        <w:t>7.2.3. Safeguards</w:t>
      </w:r>
      <w:bookmarkEnd w:id="290"/>
      <w:bookmarkEnd w:id="291"/>
      <w:bookmarkEnd w:id="292"/>
      <w:bookmarkEnd w:id="293"/>
    </w:p>
    <w:p w14:paraId="6A55D696" w14:textId="77777777" w:rsidR="00066291" w:rsidRPr="00AA6144" w:rsidRDefault="00066291" w:rsidP="00066291">
      <w:pPr>
        <w:spacing w:after="0"/>
        <w:rPr>
          <w:lang w:val="en-CA"/>
        </w:rPr>
      </w:pPr>
    </w:p>
    <w:p w14:paraId="7A16207D" w14:textId="77777777" w:rsidR="009E3308" w:rsidRPr="00AA6144" w:rsidRDefault="009E3308" w:rsidP="009E3308">
      <w:pPr>
        <w:rPr>
          <w:color w:val="auto"/>
          <w:lang w:val="en-CA"/>
        </w:rPr>
      </w:pPr>
      <w:r w:rsidRPr="00AA6144">
        <w:rPr>
          <w:color w:val="auto"/>
          <w:lang w:val="en-CA"/>
        </w:rPr>
        <w:t xml:space="preserve">The decision to make or grant requests for mutual legal assistance is at the discretion of the Minister of Justice, and </w:t>
      </w:r>
      <w:r w:rsidR="00225D7B" w:rsidRPr="00AA6144">
        <w:rPr>
          <w:color w:val="auto"/>
          <w:lang w:val="en-CA"/>
        </w:rPr>
        <w:t>limited</w:t>
      </w:r>
      <w:r w:rsidRPr="00AA6144">
        <w:rPr>
          <w:color w:val="auto"/>
          <w:lang w:val="en-CA"/>
        </w:rPr>
        <w:t xml:space="preserve"> safeguards exist in relation to such requests. </w:t>
      </w:r>
      <w:r w:rsidR="00BA2245" w:rsidRPr="00AA6144">
        <w:rPr>
          <w:color w:val="auto"/>
          <w:lang w:val="en-CA"/>
        </w:rPr>
        <w:t xml:space="preserve">The </w:t>
      </w:r>
      <w:r w:rsidRPr="00AA6144">
        <w:rPr>
          <w:i/>
          <w:color w:val="auto"/>
          <w:lang w:val="en-CA"/>
        </w:rPr>
        <w:t>Canadian Charter of Rights and Freedoms</w:t>
      </w:r>
      <w:r w:rsidRPr="00AA6144">
        <w:rPr>
          <w:color w:val="auto"/>
          <w:lang w:val="en-CA"/>
        </w:rPr>
        <w:t xml:space="preserve"> nonetheless applies to the conduct of the Minister of Justice or other Canadian officials engaged in activities involving mutual legal assistance.</w:t>
      </w:r>
      <w:r w:rsidRPr="00AA6144">
        <w:rPr>
          <w:rStyle w:val="FootnoteReference"/>
          <w:color w:val="auto"/>
          <w:lang w:val="en-CA"/>
        </w:rPr>
        <w:footnoteReference w:id="673"/>
      </w:r>
      <w:r w:rsidRPr="00AA6144">
        <w:rPr>
          <w:color w:val="auto"/>
          <w:lang w:val="en-CA"/>
        </w:rPr>
        <w:t xml:space="preserve"> In addition, the </w:t>
      </w:r>
      <w:r w:rsidRPr="00AA6144">
        <w:rPr>
          <w:i/>
          <w:color w:val="auto"/>
          <w:lang w:val="en-CA"/>
        </w:rPr>
        <w:t xml:space="preserve">Charter </w:t>
      </w:r>
      <w:r w:rsidRPr="00AA6144">
        <w:rPr>
          <w:color w:val="auto"/>
          <w:lang w:val="en-CA"/>
        </w:rPr>
        <w:t>will also apply to the use in Canadian courts of evidence obtained through torture and other cruel, inhuman or degrading treatment or punishment.</w:t>
      </w:r>
      <w:r w:rsidRPr="00AA6144">
        <w:rPr>
          <w:rStyle w:val="FootnoteReference"/>
          <w:color w:val="auto"/>
          <w:lang w:val="en-CA"/>
        </w:rPr>
        <w:footnoteReference w:id="674"/>
      </w:r>
      <w:r w:rsidR="002166F9" w:rsidRPr="00AA6144">
        <w:rPr>
          <w:color w:val="auto"/>
          <w:lang w:val="en-CA"/>
        </w:rPr>
        <w:t xml:space="preserve"> The judge at the sending hearing for either a warrant or an evidence-gathering order is empowered to send or not send as he or she sees fit. </w:t>
      </w:r>
      <w:r w:rsidR="0079465A" w:rsidRPr="00AA6144">
        <w:rPr>
          <w:color w:val="auto"/>
          <w:lang w:val="en-CA"/>
        </w:rPr>
        <w:t xml:space="preserve">They may </w:t>
      </w:r>
      <w:proofErr w:type="gramStart"/>
      <w:r w:rsidR="0079465A" w:rsidRPr="00AA6144">
        <w:rPr>
          <w:color w:val="auto"/>
          <w:lang w:val="en-CA"/>
        </w:rPr>
        <w:t>take into account</w:t>
      </w:r>
      <w:proofErr w:type="gramEnd"/>
      <w:r w:rsidR="0079465A" w:rsidRPr="00AA6144">
        <w:rPr>
          <w:color w:val="auto"/>
          <w:lang w:val="en-CA"/>
        </w:rPr>
        <w:t xml:space="preserve"> the conduct of Canadian authorities and the foreign authorities, as well as impose conditions on how the evidence can be used.</w:t>
      </w:r>
      <w:r w:rsidR="000A6BA4" w:rsidRPr="00AA6144">
        <w:rPr>
          <w:rStyle w:val="FootnoteReference"/>
          <w:color w:val="auto"/>
          <w:lang w:val="en-CA"/>
        </w:rPr>
        <w:footnoteReference w:id="675"/>
      </w:r>
    </w:p>
    <w:p w14:paraId="3DE9601C" w14:textId="77777777" w:rsidR="009E3308" w:rsidRPr="00AA6144" w:rsidRDefault="009E3308" w:rsidP="009E3308">
      <w:pPr>
        <w:pStyle w:val="Heading4"/>
        <w:rPr>
          <w:color w:val="auto"/>
          <w:lang w:val="en-CA"/>
        </w:rPr>
      </w:pPr>
      <w:bookmarkStart w:id="294" w:name="_Toc294914689"/>
      <w:bookmarkStart w:id="295" w:name="_Toc43382796"/>
      <w:r w:rsidRPr="00AA6144">
        <w:rPr>
          <w:color w:val="auto"/>
          <w:lang w:val="en-CA"/>
        </w:rPr>
        <w:t>7.2.3.1. Fair trial</w:t>
      </w:r>
      <w:bookmarkEnd w:id="294"/>
      <w:bookmarkEnd w:id="295"/>
    </w:p>
    <w:p w14:paraId="3D18E006" w14:textId="4EA47778" w:rsidR="009E3308" w:rsidRPr="00AA6144" w:rsidRDefault="009E3308" w:rsidP="009E3308">
      <w:pPr>
        <w:pStyle w:val="AIBodyText"/>
        <w:rPr>
          <w:color w:val="auto"/>
          <w:lang w:val="en-CA"/>
        </w:rPr>
      </w:pPr>
      <w:r w:rsidRPr="00AA6144">
        <w:rPr>
          <w:color w:val="auto"/>
          <w:lang w:val="en-CA"/>
        </w:rPr>
        <w:t xml:space="preserve">There is no express prohibition in Canadian law on making/granting requests for mutual legal assistance on the ground that </w:t>
      </w:r>
      <w:r w:rsidR="006D105B">
        <w:rPr>
          <w:color w:val="auto"/>
          <w:lang w:val="en-CA"/>
        </w:rPr>
        <w:t>the person concerned</w:t>
      </w:r>
      <w:r w:rsidRPr="00AA6144">
        <w:rPr>
          <w:color w:val="auto"/>
          <w:lang w:val="en-CA"/>
        </w:rPr>
        <w:t xml:space="preserve"> might face the risk of an unfair trial. </w:t>
      </w:r>
    </w:p>
    <w:p w14:paraId="7E571573" w14:textId="77777777" w:rsidR="009E3308" w:rsidRPr="00AA6144" w:rsidRDefault="009E3308" w:rsidP="009E3308">
      <w:pPr>
        <w:pStyle w:val="Heading4"/>
        <w:rPr>
          <w:color w:val="auto"/>
          <w:lang w:val="en-CA"/>
        </w:rPr>
      </w:pPr>
      <w:bookmarkStart w:id="296" w:name="_Toc294914690"/>
      <w:bookmarkStart w:id="297" w:name="_Toc43382797"/>
      <w:r w:rsidRPr="00AA6144">
        <w:rPr>
          <w:color w:val="auto"/>
          <w:lang w:val="en-CA"/>
        </w:rPr>
        <w:t xml:space="preserve">7.2.3.2. Torture and other cruel, </w:t>
      </w:r>
      <w:proofErr w:type="gramStart"/>
      <w:r w:rsidRPr="00AA6144">
        <w:rPr>
          <w:color w:val="auto"/>
          <w:lang w:val="en-CA"/>
        </w:rPr>
        <w:t>inhuman</w:t>
      </w:r>
      <w:proofErr w:type="gramEnd"/>
      <w:r w:rsidRPr="00AA6144">
        <w:rPr>
          <w:color w:val="auto"/>
          <w:lang w:val="en-CA"/>
        </w:rPr>
        <w:t xml:space="preserve"> or degrading treatment or punishment</w:t>
      </w:r>
      <w:bookmarkEnd w:id="296"/>
      <w:bookmarkEnd w:id="297"/>
    </w:p>
    <w:p w14:paraId="6DDEE3B9" w14:textId="77777777" w:rsidR="009E3308" w:rsidRPr="00AA6144" w:rsidRDefault="009E3308" w:rsidP="009E3308">
      <w:pPr>
        <w:pStyle w:val="AIBodyText"/>
        <w:rPr>
          <w:color w:val="auto"/>
          <w:lang w:val="en-CA"/>
        </w:rPr>
      </w:pPr>
      <w:r w:rsidRPr="00AA6144">
        <w:rPr>
          <w:color w:val="auto"/>
          <w:lang w:val="en-CA"/>
        </w:rPr>
        <w:t>There is no express prohibition in Canadian law on making/granting requests for mutual legal assistance on the ground that he or she might face the risk of torture or other ill-treatment.</w:t>
      </w:r>
      <w:r w:rsidR="00BA2245" w:rsidRPr="00AA6144">
        <w:rPr>
          <w:color w:val="auto"/>
          <w:lang w:val="en-CA"/>
        </w:rPr>
        <w:t xml:space="preserve"> There have been recent revelations that Canadian authorities may use information derived from torture.</w:t>
      </w:r>
      <w:r w:rsidR="00746B52" w:rsidRPr="00AA6144">
        <w:rPr>
          <w:color w:val="auto"/>
          <w:lang w:val="en-CA"/>
        </w:rPr>
        <w:t xml:space="preserve"> There is express authorization from the Canadian government to the Canadian Security Intelligence Service (CSIS) instructing:</w:t>
      </w:r>
    </w:p>
    <w:p w14:paraId="1AD30F4B" w14:textId="77777777" w:rsidR="00746B52" w:rsidRPr="00AA6144" w:rsidRDefault="00746B52" w:rsidP="0018432A">
      <w:pPr>
        <w:pStyle w:val="AIBodyText"/>
        <w:ind w:left="357" w:firstLine="3"/>
        <w:rPr>
          <w:color w:val="auto"/>
          <w:lang w:val="en-CA"/>
        </w:rPr>
      </w:pPr>
      <w:r w:rsidRPr="00AA6144">
        <w:rPr>
          <w:color w:val="auto"/>
          <w:lang w:val="en-CA"/>
        </w:rPr>
        <w:t>in exceptional circumstances where there exists a threat to human life or public safety … to share the most complete information available at the time with relevant authorities, including information based on intelligence provided by foreign agencies that may have been derived from the use of torture or mistreatment.</w:t>
      </w:r>
      <w:r w:rsidR="0068069A" w:rsidRPr="00AA6144">
        <w:rPr>
          <w:rStyle w:val="FootnoteReference"/>
          <w:color w:val="auto"/>
          <w:lang w:val="en-CA"/>
        </w:rPr>
        <w:footnoteReference w:id="676"/>
      </w:r>
    </w:p>
    <w:p w14:paraId="2DFE770E" w14:textId="77777777" w:rsidR="00DB147D" w:rsidRPr="00AA6144" w:rsidRDefault="00DB147D" w:rsidP="00DB147D">
      <w:pPr>
        <w:pStyle w:val="AIBodyText"/>
        <w:rPr>
          <w:color w:val="auto"/>
          <w:lang w:val="en-CA"/>
        </w:rPr>
      </w:pPr>
      <w:r w:rsidRPr="00AA6144">
        <w:rPr>
          <w:color w:val="auto"/>
          <w:lang w:val="en-CA"/>
        </w:rPr>
        <w:t>Amnesty International has been very critical of the use of information derived from torture</w:t>
      </w:r>
      <w:r w:rsidR="003D1318" w:rsidRPr="00AA6144">
        <w:rPr>
          <w:color w:val="auto"/>
          <w:lang w:val="en-CA"/>
        </w:rPr>
        <w:t xml:space="preserve"> and has recommended that Canada make a clear policy barring CSIS and other Canadian law enforcement agencies from using information derived from torture</w:t>
      </w:r>
      <w:r w:rsidRPr="00AA6144">
        <w:rPr>
          <w:color w:val="auto"/>
          <w:lang w:val="en-CA"/>
        </w:rPr>
        <w:t>. In a recent briefing to the UN Committee Against Torture, Amnesty</w:t>
      </w:r>
      <w:r w:rsidR="00B91724" w:rsidRPr="00AA6144">
        <w:rPr>
          <w:color w:val="auto"/>
          <w:lang w:val="en-CA"/>
        </w:rPr>
        <w:t xml:space="preserve"> International</w:t>
      </w:r>
      <w:r w:rsidR="004641F3" w:rsidRPr="00AA6144">
        <w:rPr>
          <w:color w:val="auto"/>
          <w:lang w:val="en-CA"/>
        </w:rPr>
        <w:t xml:space="preserve"> Canada</w:t>
      </w:r>
      <w:r w:rsidRPr="00AA6144">
        <w:rPr>
          <w:color w:val="auto"/>
          <w:lang w:val="en-CA"/>
        </w:rPr>
        <w:t xml:space="preserve"> argued that</w:t>
      </w:r>
    </w:p>
    <w:p w14:paraId="162A2084" w14:textId="77777777" w:rsidR="003D1318" w:rsidRPr="00AA6144" w:rsidRDefault="00DB147D" w:rsidP="00A95830">
      <w:pPr>
        <w:pStyle w:val="AIBodyText"/>
        <w:ind w:left="357" w:right="567"/>
        <w:rPr>
          <w:color w:val="auto"/>
          <w:lang w:val="en-CA"/>
        </w:rPr>
      </w:pPr>
      <w:r w:rsidRPr="00AA6144">
        <w:rPr>
          <w:color w:val="auto"/>
          <w:lang w:val="en-CA"/>
        </w:rPr>
        <w:t>Canada cannot credibly claim to be vigorously promoting respect for the absolute prohibition on torture or other ill-treatment while at the same time allowing and even requiring security and intelligence services in exceptional circumstances to make use of information that may have been obtained through such prohibited treatment […].</w:t>
      </w:r>
      <w:r w:rsidRPr="00AA6144">
        <w:rPr>
          <w:rStyle w:val="FootnoteReference"/>
          <w:color w:val="auto"/>
          <w:lang w:val="en-CA"/>
        </w:rPr>
        <w:footnoteReference w:id="677"/>
      </w:r>
      <w:r w:rsidRPr="00AA6144">
        <w:rPr>
          <w:color w:val="auto"/>
          <w:lang w:val="en-CA"/>
        </w:rPr>
        <w:t xml:space="preserve"> </w:t>
      </w:r>
    </w:p>
    <w:p w14:paraId="692E25EB" w14:textId="77777777" w:rsidR="009E3308" w:rsidRPr="00AA6144" w:rsidRDefault="009E3308" w:rsidP="009E3308">
      <w:pPr>
        <w:pStyle w:val="Heading4"/>
        <w:rPr>
          <w:color w:val="auto"/>
          <w:lang w:val="en-CA"/>
        </w:rPr>
      </w:pPr>
      <w:bookmarkStart w:id="298" w:name="_Toc294914691"/>
      <w:bookmarkStart w:id="299" w:name="_Toc43382798"/>
      <w:r w:rsidRPr="00AA6144">
        <w:rPr>
          <w:color w:val="auto"/>
          <w:lang w:val="en-CA"/>
        </w:rPr>
        <w:t>7.2.3.3. Death penalty</w:t>
      </w:r>
      <w:bookmarkEnd w:id="298"/>
      <w:bookmarkEnd w:id="299"/>
    </w:p>
    <w:p w14:paraId="2A718A87" w14:textId="77777777" w:rsidR="009E3308" w:rsidRPr="00AA6144" w:rsidRDefault="009E3308" w:rsidP="009E3308">
      <w:pPr>
        <w:pStyle w:val="AIBodyText"/>
        <w:rPr>
          <w:color w:val="auto"/>
          <w:lang w:val="en-CA"/>
        </w:rPr>
      </w:pPr>
      <w:r w:rsidRPr="00AA6144">
        <w:rPr>
          <w:color w:val="auto"/>
          <w:lang w:val="en-CA"/>
        </w:rPr>
        <w:t>There is no express prohibition in Canadian law on making/granting requests for mutual legal assistance on the ground that</w:t>
      </w:r>
      <w:r w:rsidR="004E4FD0" w:rsidRPr="00AA6144">
        <w:rPr>
          <w:color w:val="auto"/>
          <w:lang w:val="en-CA"/>
        </w:rPr>
        <w:t xml:space="preserve"> the legal assistance might lead to</w:t>
      </w:r>
      <w:r w:rsidRPr="00AA6144">
        <w:rPr>
          <w:color w:val="auto"/>
          <w:lang w:val="en-CA"/>
        </w:rPr>
        <w:t xml:space="preserve"> </w:t>
      </w:r>
      <w:r w:rsidR="00FB7415" w:rsidRPr="00AA6144">
        <w:rPr>
          <w:color w:val="auto"/>
          <w:lang w:val="en-CA"/>
        </w:rPr>
        <w:t>a person</w:t>
      </w:r>
      <w:r w:rsidRPr="00AA6144">
        <w:rPr>
          <w:color w:val="auto"/>
          <w:lang w:val="en-CA"/>
        </w:rPr>
        <w:t xml:space="preserve"> </w:t>
      </w:r>
      <w:r w:rsidR="008370DB" w:rsidRPr="00AA6144">
        <w:rPr>
          <w:color w:val="auto"/>
          <w:lang w:val="en-CA"/>
        </w:rPr>
        <w:t>facing</w:t>
      </w:r>
      <w:r w:rsidRPr="00AA6144">
        <w:rPr>
          <w:color w:val="auto"/>
          <w:lang w:val="en-CA"/>
        </w:rPr>
        <w:t xml:space="preserve"> the death penalty.</w:t>
      </w:r>
    </w:p>
    <w:p w14:paraId="60DC34EF" w14:textId="77777777" w:rsidR="009E3308" w:rsidRPr="00AA6144" w:rsidRDefault="00066291" w:rsidP="009E3308">
      <w:pPr>
        <w:pStyle w:val="Heading4"/>
        <w:rPr>
          <w:color w:val="auto"/>
          <w:lang w:val="en-CA"/>
        </w:rPr>
      </w:pPr>
      <w:bookmarkStart w:id="300" w:name="_Toc294914692"/>
      <w:bookmarkStart w:id="301" w:name="_Toc43382799"/>
      <w:r w:rsidRPr="00AA6144">
        <w:rPr>
          <w:color w:val="auto"/>
          <w:lang w:val="en-CA"/>
        </w:rPr>
        <w:t>7.2.3</w:t>
      </w:r>
      <w:r w:rsidR="009E3308" w:rsidRPr="00AA6144">
        <w:rPr>
          <w:color w:val="auto"/>
          <w:lang w:val="en-CA"/>
        </w:rPr>
        <w:t>.4. Other human rights safeguards</w:t>
      </w:r>
      <w:bookmarkEnd w:id="300"/>
      <w:bookmarkEnd w:id="301"/>
    </w:p>
    <w:p w14:paraId="7AE79122" w14:textId="77777777" w:rsidR="009E3308" w:rsidRPr="00AA6144" w:rsidRDefault="009E3308" w:rsidP="009E3308">
      <w:pPr>
        <w:pStyle w:val="AIBodyText"/>
        <w:rPr>
          <w:color w:val="auto"/>
          <w:lang w:val="en-CA"/>
        </w:rPr>
      </w:pPr>
      <w:r w:rsidRPr="00AA6144">
        <w:rPr>
          <w:color w:val="auto"/>
          <w:lang w:val="en-CA"/>
        </w:rPr>
        <w:t xml:space="preserve">There are no other human rights safeguards in Canadian law </w:t>
      </w:r>
      <w:proofErr w:type="gramStart"/>
      <w:r w:rsidRPr="00AA6144">
        <w:rPr>
          <w:color w:val="auto"/>
          <w:lang w:val="en-CA"/>
        </w:rPr>
        <w:t>with regard to</w:t>
      </w:r>
      <w:proofErr w:type="gramEnd"/>
      <w:r w:rsidRPr="00AA6144">
        <w:rPr>
          <w:color w:val="auto"/>
          <w:lang w:val="en-CA"/>
        </w:rPr>
        <w:t xml:space="preserve"> making/granting requests for mutual legal assistance. </w:t>
      </w:r>
    </w:p>
    <w:p w14:paraId="5E5EBEA5" w14:textId="0221AABF" w:rsidR="00872415" w:rsidRPr="00AA6144" w:rsidRDefault="009E3308" w:rsidP="004B086F">
      <w:pPr>
        <w:pStyle w:val="Heading1"/>
        <w:rPr>
          <w:color w:val="auto"/>
          <w:lang w:val="en-CA"/>
        </w:rPr>
      </w:pPr>
      <w:r w:rsidRPr="00AA6144">
        <w:rPr>
          <w:color w:val="auto"/>
          <w:lang w:val="en-CA"/>
        </w:rPr>
        <w:br w:type="page"/>
      </w:r>
    </w:p>
    <w:p w14:paraId="7A4CDCF0" w14:textId="77777777" w:rsidR="004B086F" w:rsidRPr="00AA6144" w:rsidRDefault="004B086F" w:rsidP="004B086F">
      <w:pPr>
        <w:pStyle w:val="Heading1"/>
        <w:rPr>
          <w:color w:val="auto"/>
          <w:lang w:val="en-CA"/>
        </w:rPr>
      </w:pPr>
      <w:bookmarkStart w:id="302" w:name="_Toc193798701"/>
      <w:bookmarkStart w:id="303" w:name="_Toc220954501"/>
      <w:bookmarkStart w:id="304" w:name="_Toc294914693"/>
      <w:bookmarkStart w:id="305" w:name="_Toc43382800"/>
      <w:r w:rsidRPr="00AA6144">
        <w:rPr>
          <w:color w:val="auto"/>
          <w:lang w:val="en-CA"/>
        </w:rPr>
        <w:t>8. SPECIAL IMMIGRATION, POLICE AND PROSECUTOR UNIT</w:t>
      </w:r>
      <w:bookmarkEnd w:id="302"/>
      <w:bookmarkEnd w:id="303"/>
      <w:r w:rsidRPr="00AA6144">
        <w:rPr>
          <w:color w:val="auto"/>
          <w:lang w:val="en-CA"/>
        </w:rPr>
        <w:t>S</w:t>
      </w:r>
      <w:bookmarkEnd w:id="304"/>
      <w:bookmarkEnd w:id="305"/>
    </w:p>
    <w:p w14:paraId="71C4CEEF" w14:textId="77777777" w:rsidR="004B086F" w:rsidRPr="00AA6144" w:rsidRDefault="004B086F" w:rsidP="004B086F">
      <w:pPr>
        <w:pStyle w:val="Heading2"/>
        <w:rPr>
          <w:color w:val="auto"/>
          <w:lang w:val="en-CA"/>
        </w:rPr>
      </w:pPr>
      <w:bookmarkStart w:id="306" w:name="_Toc43382801"/>
      <w:r w:rsidRPr="00AA6144">
        <w:rPr>
          <w:color w:val="auto"/>
          <w:lang w:val="en-CA"/>
        </w:rPr>
        <w:t>8.1. Crimes Against Humanity and War Crimes Program</w:t>
      </w:r>
      <w:bookmarkEnd w:id="306"/>
    </w:p>
    <w:p w14:paraId="26438875" w14:textId="77777777" w:rsidR="004B086F" w:rsidRPr="00AA6144" w:rsidRDefault="004B086F" w:rsidP="004B086F">
      <w:pPr>
        <w:spacing w:after="0"/>
        <w:rPr>
          <w:lang w:val="en-CA"/>
        </w:rPr>
      </w:pPr>
    </w:p>
    <w:p w14:paraId="07D6BE0F" w14:textId="77777777" w:rsidR="004B086F" w:rsidRPr="00AA6144" w:rsidRDefault="004B086F" w:rsidP="004B086F">
      <w:pPr>
        <w:pStyle w:val="AIBodyText"/>
        <w:rPr>
          <w:color w:val="auto"/>
          <w:lang w:val="en-CA"/>
        </w:rPr>
      </w:pPr>
      <w:r w:rsidRPr="00AA6144">
        <w:rPr>
          <w:color w:val="auto"/>
          <w:lang w:val="en-CA"/>
        </w:rPr>
        <w:t>The Crimes Against Humanity and War Crimes Program was created in 1998 by the Government of Canada.  The Program is chiefly tasked with denying safe haven to suspects of crimes against humanity, war crimes or genocide.</w:t>
      </w:r>
      <w:r w:rsidRPr="00AA6144">
        <w:rPr>
          <w:rStyle w:val="FootnoteReference"/>
          <w:color w:val="auto"/>
          <w:lang w:val="en-CA"/>
        </w:rPr>
        <w:footnoteReference w:id="678"/>
      </w:r>
      <w:r w:rsidRPr="00AA6144">
        <w:rPr>
          <w:color w:val="auto"/>
          <w:lang w:val="en-CA"/>
        </w:rPr>
        <w:t xml:space="preserve">  For that purpose, an interdepartmental but centrally coordinated structure was established between the governmental entities that are partners in this Program, including:</w:t>
      </w:r>
      <w:r w:rsidRPr="00AA6144">
        <w:rPr>
          <w:rStyle w:val="FootnoteReference"/>
          <w:color w:val="auto"/>
          <w:lang w:val="en-CA"/>
        </w:rPr>
        <w:footnoteReference w:id="679"/>
      </w:r>
    </w:p>
    <w:p w14:paraId="5445F8D9" w14:textId="77777777" w:rsidR="004B086F" w:rsidRPr="00AA6144" w:rsidRDefault="004B086F" w:rsidP="004B086F">
      <w:pPr>
        <w:pStyle w:val="AIBodyText"/>
        <w:numPr>
          <w:ilvl w:val="0"/>
          <w:numId w:val="16"/>
        </w:numPr>
        <w:rPr>
          <w:color w:val="auto"/>
          <w:lang w:val="en-CA"/>
        </w:rPr>
      </w:pPr>
      <w:r w:rsidRPr="00AA6144">
        <w:rPr>
          <w:color w:val="auto"/>
          <w:lang w:val="en-CA"/>
        </w:rPr>
        <w:t xml:space="preserve">The </w:t>
      </w:r>
      <w:r w:rsidRPr="00AA6144">
        <w:rPr>
          <w:b/>
          <w:bCs/>
          <w:color w:val="auto"/>
          <w:lang w:val="en-CA"/>
        </w:rPr>
        <w:t>Canada Border Services Agency</w:t>
      </w:r>
      <w:r w:rsidRPr="00AA6144">
        <w:rPr>
          <w:color w:val="auto"/>
          <w:lang w:val="en-CA"/>
        </w:rPr>
        <w:t xml:space="preserve"> (CBSA) and </w:t>
      </w:r>
      <w:r w:rsidRPr="00AA6144">
        <w:rPr>
          <w:b/>
          <w:bCs/>
          <w:color w:val="auto"/>
          <w:lang w:val="en-CA"/>
        </w:rPr>
        <w:t xml:space="preserve">Immigration, Refugees and Citizenship Canada </w:t>
      </w:r>
      <w:r w:rsidRPr="00AA6144">
        <w:rPr>
          <w:color w:val="auto"/>
          <w:lang w:val="en-CA"/>
        </w:rPr>
        <w:t xml:space="preserve">(IRCC) work closely in screening persons seeking entry to Canada with a view to targeting, identifying and ultimately preventing persons suspected of crimes against humanity, war crimes or genocide from entering Canada. IRCC also has mandate to refer cases to the Department of Justice for the revocation of citizenship under the </w:t>
      </w:r>
      <w:r w:rsidRPr="00AA6144">
        <w:rPr>
          <w:i/>
          <w:color w:val="auto"/>
          <w:lang w:val="en-CA"/>
        </w:rPr>
        <w:t>Citizenship Act</w:t>
      </w:r>
      <w:r w:rsidRPr="00AA6144">
        <w:rPr>
          <w:color w:val="auto"/>
          <w:lang w:val="en-CA"/>
        </w:rPr>
        <w:t xml:space="preserve"> when the alleged criminal is a Canadian </w:t>
      </w:r>
      <w:proofErr w:type="gramStart"/>
      <w:r w:rsidRPr="00AA6144">
        <w:rPr>
          <w:color w:val="auto"/>
          <w:lang w:val="en-CA"/>
        </w:rPr>
        <w:t>citizen;</w:t>
      </w:r>
      <w:proofErr w:type="gramEnd"/>
    </w:p>
    <w:p w14:paraId="1B688DE7" w14:textId="77777777" w:rsidR="004B086F" w:rsidRPr="00AA6144" w:rsidRDefault="004B086F" w:rsidP="004B086F">
      <w:pPr>
        <w:pStyle w:val="AIBodyText"/>
        <w:numPr>
          <w:ilvl w:val="0"/>
          <w:numId w:val="16"/>
        </w:numPr>
        <w:rPr>
          <w:color w:val="auto"/>
          <w:lang w:val="en-CA"/>
        </w:rPr>
      </w:pPr>
      <w:r w:rsidRPr="00AA6144">
        <w:rPr>
          <w:color w:val="auto"/>
          <w:lang w:val="en-CA"/>
        </w:rPr>
        <w:t xml:space="preserve">The </w:t>
      </w:r>
      <w:r w:rsidRPr="00AA6144">
        <w:rPr>
          <w:b/>
          <w:bCs/>
          <w:color w:val="auto"/>
          <w:lang w:val="en-CA"/>
        </w:rPr>
        <w:t>Department of Justice</w:t>
      </w:r>
      <w:r w:rsidRPr="00AA6144">
        <w:rPr>
          <w:color w:val="auto"/>
          <w:lang w:val="en-CA"/>
        </w:rPr>
        <w:t xml:space="preserve"> (DOJ) created the War Crimes Section (WCS), a multi-disciplinary team composed namely of lawyers, paralegal staff, historians, researchers, and analysts which assists the other departments (CBSA, IRCC and RCMP) in providing advice relating to crimes against humanity, war crimes or genocide. The War Crimes Section supports the Public Prosecution Service of Canada (PPSC), which is an independent federal organization</w:t>
      </w:r>
      <w:bookmarkStart w:id="307" w:name="_Ref267057674"/>
      <w:r w:rsidRPr="00AA6144">
        <w:rPr>
          <w:rStyle w:val="FootnoteReference"/>
          <w:color w:val="auto"/>
          <w:lang w:val="en-CA"/>
        </w:rPr>
        <w:footnoteReference w:id="680"/>
      </w:r>
      <w:bookmarkEnd w:id="307"/>
      <w:r w:rsidRPr="00AA6144">
        <w:rPr>
          <w:color w:val="auto"/>
          <w:lang w:val="en-CA"/>
        </w:rPr>
        <w:t xml:space="preserve"> that has the responsibility to initiate prosecutions of alleged offenders under the Crimes Against Humanity and War Crimes Act. The PPSC reports to Parliament through the Attorney General of Canada (AGC</w:t>
      </w:r>
      <w:proofErr w:type="gramStart"/>
      <w:r w:rsidRPr="00AA6144">
        <w:rPr>
          <w:color w:val="auto"/>
          <w:lang w:val="en-CA"/>
        </w:rPr>
        <w:t>);</w:t>
      </w:r>
      <w:proofErr w:type="gramEnd"/>
    </w:p>
    <w:p w14:paraId="15188E11" w14:textId="77777777" w:rsidR="004B086F" w:rsidRPr="00AA6144" w:rsidRDefault="004B086F" w:rsidP="004B086F">
      <w:pPr>
        <w:pStyle w:val="AIBodyText"/>
        <w:numPr>
          <w:ilvl w:val="0"/>
          <w:numId w:val="16"/>
        </w:numPr>
        <w:rPr>
          <w:color w:val="auto"/>
          <w:lang w:val="en-CA"/>
        </w:rPr>
      </w:pPr>
      <w:r w:rsidRPr="00AA6144">
        <w:rPr>
          <w:color w:val="auto"/>
          <w:lang w:val="en-CA"/>
        </w:rPr>
        <w:t xml:space="preserve">The </w:t>
      </w:r>
      <w:r w:rsidRPr="00AA6144">
        <w:rPr>
          <w:b/>
          <w:bCs/>
          <w:color w:val="auto"/>
          <w:lang w:val="en-CA"/>
        </w:rPr>
        <w:t>Royal Canadian Mounted Police</w:t>
      </w:r>
      <w:r w:rsidRPr="00AA6144">
        <w:rPr>
          <w:color w:val="auto"/>
          <w:lang w:val="en-CA"/>
        </w:rPr>
        <w:t xml:space="preserve"> (RCMP) provides units for the investigation of individuals allegedly involved in crimes against humanity, war crimes or genocide.</w:t>
      </w:r>
    </w:p>
    <w:p w14:paraId="6A0EF006" w14:textId="77777777" w:rsidR="004B086F" w:rsidRPr="00AA6144" w:rsidRDefault="004B086F" w:rsidP="004B086F">
      <w:pPr>
        <w:pStyle w:val="AIBodyText"/>
        <w:rPr>
          <w:color w:val="auto"/>
          <w:lang w:val="en-CA"/>
        </w:rPr>
      </w:pPr>
      <w:r w:rsidRPr="00AA6144">
        <w:rPr>
          <w:color w:val="auto"/>
          <w:lang w:val="en-CA"/>
        </w:rPr>
        <w:t>The four departments work together under the auspices of the Program Coordination and Operations Committee (PCOC)</w:t>
      </w:r>
      <w:r w:rsidRPr="00AA6144">
        <w:rPr>
          <w:rStyle w:val="FootnoteReference"/>
          <w:color w:val="auto"/>
          <w:lang w:val="en-CA"/>
        </w:rPr>
        <w:footnoteReference w:id="681"/>
      </w:r>
      <w:r w:rsidRPr="00AA6144">
        <w:rPr>
          <w:color w:val="auto"/>
          <w:lang w:val="en-CA"/>
        </w:rPr>
        <w:t xml:space="preserve"> and meet once a month to discuss all the general issues relating to the management and operation of the Program. One or two senior directors from each partner organization are present in these meetings. Officials from all four partner organizations share responsibility for overseeing and coordinating the Program, and they closely collaborate with each other.</w:t>
      </w:r>
      <w:r w:rsidRPr="00AA6144">
        <w:rPr>
          <w:rStyle w:val="FootnoteReference"/>
          <w:color w:val="auto"/>
          <w:lang w:val="en-CA"/>
        </w:rPr>
        <w:footnoteReference w:id="682"/>
      </w:r>
      <w:r w:rsidRPr="00AA6144">
        <w:rPr>
          <w:color w:val="auto"/>
          <w:lang w:val="en-CA"/>
        </w:rPr>
        <w:t xml:space="preserve"> Information is shared four ways and the Program partners have concluded that this arrangement does not give rise to any privacy concerns. </w:t>
      </w:r>
    </w:p>
    <w:p w14:paraId="5A1B0BD1" w14:textId="77777777" w:rsidR="004B086F" w:rsidRPr="00AA6144" w:rsidRDefault="004B086F" w:rsidP="004B086F">
      <w:pPr>
        <w:pStyle w:val="AIBodyText"/>
        <w:rPr>
          <w:color w:val="auto"/>
          <w:lang w:val="en-CA"/>
        </w:rPr>
      </w:pPr>
      <w:r w:rsidRPr="00AA6144">
        <w:rPr>
          <w:color w:val="auto"/>
          <w:lang w:val="en-CA"/>
        </w:rPr>
        <w:t>The primary goal of the program is to deny individuals suspected of involvement in crimes against humanity, war crimes, and genocide safe haven in Canada, and to “contribute to the domestic or international fight against impunity.”</w:t>
      </w:r>
      <w:r w:rsidRPr="00AA6144">
        <w:rPr>
          <w:rStyle w:val="FootnoteReference"/>
          <w:color w:val="auto"/>
          <w:lang w:val="en-CA"/>
        </w:rPr>
        <w:footnoteReference w:id="683"/>
      </w:r>
      <w:r w:rsidRPr="00AA6144">
        <w:rPr>
          <w:color w:val="auto"/>
          <w:lang w:val="en-CA"/>
        </w:rPr>
        <w:t xml:space="preserve"> If a suspect enters Canada, Program partners can apply a number of responses among a range of options, including:</w:t>
      </w:r>
      <w:r w:rsidRPr="00AA6144">
        <w:rPr>
          <w:color w:val="auto"/>
          <w:lang w:val="en-CA"/>
        </w:rPr>
        <w:tab/>
      </w:r>
    </w:p>
    <w:p w14:paraId="5AA13182" w14:textId="77777777" w:rsidR="004B086F" w:rsidRPr="00AA6144" w:rsidRDefault="004B086F" w:rsidP="004B086F">
      <w:pPr>
        <w:pStyle w:val="AIBodyText"/>
        <w:ind w:left="357"/>
        <w:rPr>
          <w:color w:val="auto"/>
          <w:lang w:val="en-CA"/>
        </w:rPr>
      </w:pPr>
      <w:r w:rsidRPr="00AA6144">
        <w:rPr>
          <w:color w:val="auto"/>
          <w:lang w:val="en-CA"/>
        </w:rPr>
        <w:t xml:space="preserve">(a) Exclusion; </w:t>
      </w:r>
      <w:r w:rsidRPr="00AA6144">
        <w:rPr>
          <w:color w:val="auto"/>
          <w:lang w:val="en-CA"/>
        </w:rPr>
        <w:br/>
        <w:t>(b) Admissibility hearings;</w:t>
      </w:r>
      <w:r w:rsidRPr="00AA6144">
        <w:rPr>
          <w:color w:val="auto"/>
          <w:lang w:val="en-CA"/>
        </w:rPr>
        <w:br/>
        <w:t xml:space="preserve">(c) Removal; </w:t>
      </w:r>
      <w:r w:rsidRPr="00AA6144">
        <w:rPr>
          <w:color w:val="auto"/>
          <w:lang w:val="en-CA"/>
        </w:rPr>
        <w:br/>
        <w:t>(d) Warrants;</w:t>
      </w:r>
      <w:r w:rsidRPr="00AA6144">
        <w:rPr>
          <w:color w:val="auto"/>
          <w:lang w:val="en-CA"/>
        </w:rPr>
        <w:br/>
        <w:t>(e)</w:t>
      </w:r>
      <w:r w:rsidRPr="00AA6144" w:rsidDel="00F70630">
        <w:rPr>
          <w:color w:val="auto"/>
          <w:lang w:val="en-CA"/>
        </w:rPr>
        <w:t xml:space="preserve"> </w:t>
      </w:r>
      <w:r w:rsidRPr="00AA6144">
        <w:rPr>
          <w:color w:val="auto"/>
          <w:lang w:val="en-CA"/>
        </w:rPr>
        <w:t>Citizenship revocation;</w:t>
      </w:r>
      <w:r w:rsidRPr="00AA6144">
        <w:rPr>
          <w:color w:val="auto"/>
          <w:lang w:val="en-CA"/>
        </w:rPr>
        <w:br/>
        <w:t>(f) Criminal investigations and prosecution in Canada;</w:t>
      </w:r>
      <w:r w:rsidRPr="00AA6144">
        <w:rPr>
          <w:color w:val="auto"/>
          <w:lang w:val="en-CA"/>
        </w:rPr>
        <w:br/>
        <w:t>(g) Extradition; and</w:t>
      </w:r>
      <w:r w:rsidRPr="00AA6144">
        <w:rPr>
          <w:color w:val="auto"/>
          <w:lang w:val="en-CA"/>
        </w:rPr>
        <w:br/>
        <w:t>(h) Surrender to an international criminal court or tribunal.</w:t>
      </w:r>
    </w:p>
    <w:p w14:paraId="74F5273C" w14:textId="16881408" w:rsidR="004B086F" w:rsidRPr="00AA6144" w:rsidRDefault="004B086F" w:rsidP="004B086F">
      <w:pPr>
        <w:pStyle w:val="AIBodyText"/>
        <w:rPr>
          <w:color w:val="auto"/>
          <w:lang w:val="en-CA"/>
        </w:rPr>
      </w:pPr>
      <w:r w:rsidRPr="00AA6144">
        <w:rPr>
          <w:color w:val="auto"/>
          <w:lang w:val="en-CA"/>
        </w:rPr>
        <w:t xml:space="preserve">Program partners select a response among these options to apply to a </w:t>
      </w:r>
      <w:proofErr w:type="gramStart"/>
      <w:r w:rsidRPr="00AA6144">
        <w:rPr>
          <w:color w:val="auto"/>
          <w:lang w:val="en-CA"/>
        </w:rPr>
        <w:t>particular case</w:t>
      </w:r>
      <w:proofErr w:type="gramEnd"/>
      <w:r w:rsidRPr="00AA6144">
        <w:rPr>
          <w:color w:val="auto"/>
          <w:lang w:val="en-CA"/>
        </w:rPr>
        <w:t xml:space="preserve"> through deliberations within the File Review Committee, which is a PCOC subcommittee comprised of a senior official from each partner organization. This Committee meets on a semi-annual basis to review the allegations brought to its </w:t>
      </w:r>
      <w:proofErr w:type="gramStart"/>
      <w:r w:rsidRPr="00AA6144">
        <w:rPr>
          <w:color w:val="auto"/>
          <w:lang w:val="en-CA"/>
        </w:rPr>
        <w:t>attention, and</w:t>
      </w:r>
      <w:proofErr w:type="gramEnd"/>
      <w:r w:rsidRPr="00AA6144">
        <w:rPr>
          <w:color w:val="auto"/>
          <w:lang w:val="en-CA"/>
        </w:rPr>
        <w:t xml:space="preserve"> allocates them to one of the four Program partners for further processing and action.  The File Review Committee decides upon a response based on the nature of the allegations involved and Canada’s international obligations as interpreted by the Program. In principle, the cases that raise allegations of direct involvement in crimes against humanity or allegations of direct or indirect involvement in war crimes in the context of an international armed conflict are transferred to the RCMP for criminal investigation. In addition, cases that raise allegations of complicity in crimes against humanity or allegations of involvement in war crimes in the context of a civil war are transferred to the CIC or CBSA for administrative inquiries.</w:t>
      </w:r>
      <w:bookmarkStart w:id="308" w:name="_Ref267057762"/>
      <w:r w:rsidRPr="00AA6144">
        <w:rPr>
          <w:rStyle w:val="FootnoteReference"/>
          <w:color w:val="auto"/>
          <w:lang w:val="en-CA"/>
        </w:rPr>
        <w:footnoteReference w:id="684"/>
      </w:r>
      <w:bookmarkEnd w:id="308"/>
      <w:r w:rsidRPr="00AA6144">
        <w:rPr>
          <w:color w:val="auto"/>
          <w:lang w:val="en-CA"/>
        </w:rPr>
        <w:t xml:space="preserve"> However, since the Program’s inception in 1998 only two prosecutions have taken place, which—combined with the minimal RCMP budget for investigations</w:t>
      </w:r>
      <w:r w:rsidRPr="00AA6144">
        <w:rPr>
          <w:rStyle w:val="FootnoteReference"/>
          <w:color w:val="auto"/>
          <w:lang w:val="en-CA"/>
        </w:rPr>
        <w:footnoteReference w:id="685"/>
      </w:r>
      <w:r w:rsidRPr="00AA6144">
        <w:rPr>
          <w:color w:val="auto"/>
          <w:lang w:val="en-CA"/>
        </w:rPr>
        <w:t xml:space="preserve">—places doubt on the </w:t>
      </w:r>
      <w:r w:rsidR="0023544D">
        <w:rPr>
          <w:color w:val="auto"/>
          <w:lang w:val="en-CA"/>
        </w:rPr>
        <w:t>political will</w:t>
      </w:r>
      <w:r w:rsidR="007A12DE">
        <w:rPr>
          <w:color w:val="auto"/>
          <w:lang w:val="en-CA"/>
        </w:rPr>
        <w:t xml:space="preserve"> of Canadian authorities </w:t>
      </w:r>
      <w:r w:rsidR="006D1B91">
        <w:rPr>
          <w:color w:val="auto"/>
          <w:lang w:val="en-CA"/>
        </w:rPr>
        <w:t xml:space="preserve">to </w:t>
      </w:r>
      <w:r w:rsidR="007A12DE">
        <w:rPr>
          <w:color w:val="auto"/>
          <w:lang w:val="en-CA"/>
        </w:rPr>
        <w:t>fight impunity</w:t>
      </w:r>
      <w:r w:rsidRPr="00AA6144">
        <w:rPr>
          <w:color w:val="auto"/>
          <w:lang w:val="en-CA"/>
        </w:rPr>
        <w:t xml:space="preserve">. </w:t>
      </w:r>
    </w:p>
    <w:p w14:paraId="7BEF0EEC" w14:textId="77777777" w:rsidR="004B086F" w:rsidRPr="00AA6144" w:rsidRDefault="004B086F" w:rsidP="004B086F">
      <w:pPr>
        <w:pStyle w:val="AIBodyText"/>
        <w:rPr>
          <w:color w:val="auto"/>
          <w:lang w:val="en-CA"/>
        </w:rPr>
      </w:pPr>
      <w:r w:rsidRPr="00AA6144">
        <w:rPr>
          <w:color w:val="auto"/>
          <w:lang w:val="en-CA"/>
        </w:rPr>
        <w:t>Amnesty International Canada has been openly critical of Canada’s resort to immigration measures for dealing with persons alleged to have committed war crimes or crimes against humanity suspects. In a 2011 open letter to the Minister of Citizenship and Immigration and the Minister of Public Safety, Amnesty International Canada stated that it has</w:t>
      </w:r>
    </w:p>
    <w:p w14:paraId="1D1C63C1" w14:textId="77777777" w:rsidR="004B086F" w:rsidRPr="00AA6144" w:rsidRDefault="004B086F" w:rsidP="004B086F">
      <w:pPr>
        <w:pStyle w:val="AIBodyText"/>
        <w:ind w:left="714" w:right="567"/>
        <w:rPr>
          <w:color w:val="auto"/>
          <w:lang w:val="en-CA"/>
        </w:rPr>
      </w:pPr>
      <w:r w:rsidRPr="00AA6144">
        <w:rPr>
          <w:color w:val="auto"/>
          <w:lang w:val="en-CA"/>
        </w:rPr>
        <w:t>over the past decade […] frequently raised concern about the fact that Canada overwhelmingly resorts to immigration enforcement measures rather than the criminal law, when faced with the attempted entry into or presence in Canada of individuals who are alleged to have committed war crimes, crimes against humanity, or torture. We have highlighted that an immigration response is problematic for two key reasons: It fails to ensure that such individuals will in fact face justice [and] […] It also fails to adequately safeguard against the possibility that in some cases, the individual concerned might be at risk of serious human rights violations.</w:t>
      </w:r>
      <w:r w:rsidRPr="00AA6144">
        <w:rPr>
          <w:rStyle w:val="FootnoteReference"/>
          <w:color w:val="auto"/>
          <w:lang w:val="en-CA"/>
        </w:rPr>
        <w:footnoteReference w:id="686"/>
      </w:r>
    </w:p>
    <w:p w14:paraId="652BABDE" w14:textId="77777777" w:rsidR="004B086F" w:rsidRPr="00AA6144" w:rsidRDefault="004B086F" w:rsidP="004B086F">
      <w:pPr>
        <w:pStyle w:val="AIBodyText"/>
        <w:rPr>
          <w:color w:val="auto"/>
          <w:lang w:val="en-CA"/>
        </w:rPr>
      </w:pPr>
      <w:r w:rsidRPr="00AA6144">
        <w:rPr>
          <w:color w:val="auto"/>
          <w:lang w:val="en-CA"/>
        </w:rPr>
        <w:t>It is important to note that a file should be in the hands of two Program partners simultaneously. For example, the RCMP may be conducting its criminal investigations while the CBSA is carrying on its deportation process. When a file is ready to move to the removal stage, the CBSA must seek the approval of the File Review Committee before initiating proceedings. In situations where a parallel criminal investigation regarding the same individual is almost finished or well advanced, the Committee asks the CBSA to put the removal on hold.</w:t>
      </w:r>
      <w:r w:rsidRPr="00AA6144">
        <w:rPr>
          <w:rStyle w:val="FootnoteReference"/>
          <w:color w:val="auto"/>
          <w:lang w:val="en-CA"/>
        </w:rPr>
        <w:footnoteReference w:id="687"/>
      </w:r>
      <w:r w:rsidRPr="00AA6144">
        <w:rPr>
          <w:color w:val="auto"/>
          <w:lang w:val="en-CA"/>
        </w:rPr>
        <w:t xml:space="preserve">  </w:t>
      </w:r>
    </w:p>
    <w:p w14:paraId="576D4BCC" w14:textId="77777777" w:rsidR="004B086F" w:rsidRPr="00AA6144" w:rsidRDefault="004B086F" w:rsidP="004B086F">
      <w:pPr>
        <w:pStyle w:val="AIBodyText"/>
        <w:contextualSpacing/>
        <w:rPr>
          <w:color w:val="auto"/>
          <w:lang w:val="en-CA"/>
        </w:rPr>
      </w:pPr>
      <w:r w:rsidRPr="00AA6144">
        <w:rPr>
          <w:color w:val="auto"/>
          <w:lang w:val="en-CA"/>
        </w:rPr>
        <w:t xml:space="preserve">Initially, over 95% of the allegations were forwarded to the Committee by the Refugee Protection Division (RPD). However, with the increase in the public’s knowledge of the Program, more allegations are being brought forward by ordinary members of the public.  Public allegations are often less substantiated than those which are received from the RPD. As a result, the Department of Justice War Crimes Section often </w:t>
      </w:r>
      <w:proofErr w:type="gramStart"/>
      <w:r w:rsidRPr="00AA6144">
        <w:rPr>
          <w:color w:val="auto"/>
          <w:lang w:val="en-CA"/>
        </w:rPr>
        <w:t>has to</w:t>
      </w:r>
      <w:proofErr w:type="gramEnd"/>
      <w:r w:rsidRPr="00AA6144">
        <w:rPr>
          <w:color w:val="auto"/>
          <w:lang w:val="en-CA"/>
        </w:rPr>
        <w:t xml:space="preserve"> conduct further research in relation to these allegations and then submit the results to the Committee.  </w:t>
      </w:r>
    </w:p>
    <w:p w14:paraId="1701BD62" w14:textId="77777777" w:rsidR="004B086F" w:rsidRPr="00AA6144" w:rsidRDefault="004B086F" w:rsidP="004B086F">
      <w:pPr>
        <w:pStyle w:val="Heading2"/>
        <w:rPr>
          <w:color w:val="auto"/>
          <w:lang w:val="en-CA"/>
        </w:rPr>
      </w:pPr>
      <w:bookmarkStart w:id="309" w:name="_Toc43382802"/>
      <w:r w:rsidRPr="00AA6144">
        <w:rPr>
          <w:color w:val="auto"/>
          <w:lang w:val="en-CA"/>
        </w:rPr>
        <w:t>8.2. Special immigration units</w:t>
      </w:r>
      <w:bookmarkEnd w:id="309"/>
    </w:p>
    <w:p w14:paraId="38CB1E23" w14:textId="77777777" w:rsidR="004B086F" w:rsidRPr="00AA6144" w:rsidRDefault="004B086F" w:rsidP="004B086F">
      <w:pPr>
        <w:spacing w:after="0"/>
        <w:rPr>
          <w:lang w:val="en-CA"/>
        </w:rPr>
      </w:pPr>
    </w:p>
    <w:p w14:paraId="634FEDC5" w14:textId="77777777" w:rsidR="004B086F" w:rsidRPr="00AA6144" w:rsidRDefault="004B086F" w:rsidP="004B086F">
      <w:pPr>
        <w:pStyle w:val="AIBodyText"/>
        <w:rPr>
          <w:b/>
          <w:bCs/>
          <w:i/>
          <w:iCs/>
          <w:color w:val="auto"/>
          <w:lang w:val="en-CA"/>
        </w:rPr>
      </w:pPr>
      <w:r w:rsidRPr="00AA6144">
        <w:rPr>
          <w:color w:val="auto"/>
          <w:lang w:val="en-CA"/>
        </w:rPr>
        <w:t xml:space="preserve">While no single unit is solely devoted to screening persons seeking to enter Canada who are suspected of crimes under international law, the CBSA and IRCC each play key roles in this process,  with the support of the War Crimes Section of the DOJ and the RCMP. </w:t>
      </w:r>
    </w:p>
    <w:p w14:paraId="0C617C3B" w14:textId="77777777" w:rsidR="004B086F" w:rsidRPr="00AA6144" w:rsidRDefault="004B086F" w:rsidP="004B086F">
      <w:pPr>
        <w:pStyle w:val="Heading3"/>
        <w:rPr>
          <w:color w:val="auto"/>
          <w:lang w:val="en-CA"/>
        </w:rPr>
      </w:pPr>
      <w:bookmarkStart w:id="310" w:name="_Toc43382803"/>
      <w:r w:rsidRPr="00AA6144">
        <w:rPr>
          <w:color w:val="auto"/>
          <w:lang w:val="en-CA"/>
        </w:rPr>
        <w:t>8.2.1. immigration, refugees and citizenship canada</w:t>
      </w:r>
      <w:bookmarkEnd w:id="310"/>
    </w:p>
    <w:p w14:paraId="12E798DC" w14:textId="77777777" w:rsidR="004B086F" w:rsidRPr="00AA6144" w:rsidRDefault="004B086F" w:rsidP="004B086F">
      <w:pPr>
        <w:spacing w:after="0"/>
        <w:rPr>
          <w:lang w:val="en-CA"/>
        </w:rPr>
      </w:pPr>
    </w:p>
    <w:p w14:paraId="59DFF6F4" w14:textId="77777777" w:rsidR="004B086F" w:rsidRPr="00AA6144" w:rsidRDefault="004B086F" w:rsidP="004B086F">
      <w:pPr>
        <w:pStyle w:val="AIBodyText"/>
        <w:rPr>
          <w:color w:val="auto"/>
          <w:lang w:val="en-CA"/>
        </w:rPr>
      </w:pPr>
      <w:r w:rsidRPr="00AA6144">
        <w:rPr>
          <w:bCs/>
          <w:iCs/>
          <w:color w:val="auto"/>
          <w:lang w:val="en-CA"/>
        </w:rPr>
        <w:t xml:space="preserve">Persons abroad seeking to enter Canada are screened by Immigration, Refugees and Citizenship Canada (IRCC), which has offices in various Canadian consulates, </w:t>
      </w:r>
      <w:proofErr w:type="gramStart"/>
      <w:r w:rsidRPr="00AA6144">
        <w:rPr>
          <w:bCs/>
          <w:iCs/>
          <w:color w:val="auto"/>
          <w:lang w:val="en-CA"/>
        </w:rPr>
        <w:t>embassies</w:t>
      </w:r>
      <w:proofErr w:type="gramEnd"/>
      <w:r w:rsidRPr="00AA6144">
        <w:rPr>
          <w:bCs/>
          <w:iCs/>
          <w:color w:val="auto"/>
          <w:lang w:val="en-CA"/>
        </w:rPr>
        <w:t xml:space="preserve"> and high commissions around the world. </w:t>
      </w:r>
      <w:r w:rsidRPr="00AA6144">
        <w:rPr>
          <w:color w:val="auto"/>
          <w:lang w:val="en-CA"/>
        </w:rPr>
        <w:t xml:space="preserve">IRCC’s mandate with respect to individuals suspected of war crimes, crimes against humanity or genocide is specifically defined in the </w:t>
      </w:r>
      <w:r w:rsidRPr="00AA6144">
        <w:rPr>
          <w:i/>
          <w:iCs/>
          <w:color w:val="auto"/>
          <w:lang w:val="en-CA"/>
        </w:rPr>
        <w:t>Immigration and Refugee Protection Act</w:t>
      </w:r>
      <w:r w:rsidRPr="00AA6144">
        <w:rPr>
          <w:color w:val="auto"/>
          <w:lang w:val="en-CA"/>
        </w:rPr>
        <w:t xml:space="preserve"> (IRPA).</w:t>
      </w:r>
      <w:r w:rsidRPr="00AA6144">
        <w:rPr>
          <w:rStyle w:val="FootnoteReference"/>
          <w:color w:val="auto"/>
          <w:lang w:val="en-CA"/>
        </w:rPr>
        <w:footnoteReference w:id="688"/>
      </w:r>
      <w:r w:rsidRPr="00AA6144">
        <w:rPr>
          <w:color w:val="auto"/>
          <w:lang w:val="en-CA"/>
        </w:rPr>
        <w:t xml:space="preserve"> Under the IRPA, IRCC visa officers are required to deny entry to applicants who are in violation of human or international rights by declaring them inadmissible under Section 35.</w:t>
      </w:r>
    </w:p>
    <w:p w14:paraId="0011CFFA" w14:textId="77777777" w:rsidR="004B086F" w:rsidRPr="00AA6144" w:rsidRDefault="004B086F" w:rsidP="004B086F">
      <w:pPr>
        <w:pStyle w:val="AIBodyText"/>
        <w:rPr>
          <w:color w:val="auto"/>
          <w:lang w:val="en-CA"/>
        </w:rPr>
      </w:pPr>
      <w:r w:rsidRPr="00AA6144">
        <w:rPr>
          <w:color w:val="auto"/>
          <w:lang w:val="en-CA"/>
        </w:rPr>
        <w:t>When screening applicants, IRCC visa officers identify persons with a certain profile for further investigation.</w:t>
      </w:r>
      <w:r w:rsidRPr="00AA6144">
        <w:rPr>
          <w:rStyle w:val="FootnoteReference"/>
          <w:color w:val="auto"/>
          <w:lang w:val="en-CA"/>
        </w:rPr>
        <w:footnoteReference w:id="689"/>
      </w:r>
      <w:r w:rsidRPr="00AA6144">
        <w:rPr>
          <w:color w:val="auto"/>
          <w:lang w:val="en-CA"/>
        </w:rPr>
        <w:t xml:space="preserve"> </w:t>
      </w:r>
      <w:r w:rsidRPr="00AA6144">
        <w:rPr>
          <w:bCs/>
          <w:iCs/>
          <w:color w:val="auto"/>
          <w:lang w:val="en-CA"/>
        </w:rPr>
        <w:t>If an application raises concern on that basis, the case is referred to the Canadian</w:t>
      </w:r>
      <w:r w:rsidRPr="00AA6144">
        <w:rPr>
          <w:bCs/>
          <w:i/>
          <w:iCs/>
          <w:color w:val="auto"/>
          <w:lang w:val="en-CA"/>
        </w:rPr>
        <w:t xml:space="preserve"> </w:t>
      </w:r>
      <w:r w:rsidRPr="00AA6144">
        <w:rPr>
          <w:bCs/>
          <w:iCs/>
          <w:color w:val="auto"/>
          <w:lang w:val="en-CA"/>
        </w:rPr>
        <w:t>Border Services Agency (CBSA), which</w:t>
      </w:r>
      <w:r w:rsidRPr="00AA6144">
        <w:rPr>
          <w:color w:val="auto"/>
          <w:lang w:val="en-CA"/>
        </w:rPr>
        <w:t xml:space="preserve"> provides IRCC with analysis, recommendations and intelligence support for inadmissibility (see Section 8.3.2 below). For these purposes, CBSA has two sections: one for visitor visa applications and one for permanent resident applications; the officers in these sections do detailed contextual background research and provide IRCC visa officers with recommendations.</w:t>
      </w:r>
    </w:p>
    <w:p w14:paraId="46645B6C" w14:textId="77777777" w:rsidR="004B086F" w:rsidRPr="00AA6144" w:rsidRDefault="004B086F" w:rsidP="004B086F">
      <w:pPr>
        <w:pStyle w:val="AIBodyText"/>
        <w:rPr>
          <w:color w:val="auto"/>
          <w:lang w:val="en-CA"/>
        </w:rPr>
      </w:pPr>
      <w:r w:rsidRPr="00AA6144">
        <w:rPr>
          <w:color w:val="auto"/>
          <w:lang w:val="en-CA"/>
        </w:rPr>
        <w:t xml:space="preserve">CBSA’s </w:t>
      </w:r>
      <w:r w:rsidRPr="00AA6144">
        <w:rPr>
          <w:iCs/>
          <w:color w:val="auto"/>
          <w:lang w:val="en-CA"/>
        </w:rPr>
        <w:t>Program on Crimes Against Humanity and War Crimes</w:t>
      </w:r>
      <w:r w:rsidRPr="00AA6144">
        <w:rPr>
          <w:color w:val="auto"/>
          <w:lang w:val="en-CA"/>
        </w:rPr>
        <w:t xml:space="preserve"> 12</w:t>
      </w:r>
      <w:r w:rsidRPr="00AA6144">
        <w:rPr>
          <w:color w:val="auto"/>
          <w:vertAlign w:val="superscript"/>
          <w:lang w:val="en-CA"/>
        </w:rPr>
        <w:t>th</w:t>
      </w:r>
      <w:r w:rsidRPr="00AA6144">
        <w:rPr>
          <w:color w:val="auto"/>
          <w:lang w:val="en-CA"/>
        </w:rPr>
        <w:t xml:space="preserve"> Report describes the process of screening as follows: </w:t>
      </w:r>
    </w:p>
    <w:p w14:paraId="13142185" w14:textId="77777777" w:rsidR="004B086F" w:rsidRPr="00AA6144" w:rsidRDefault="004B086F" w:rsidP="004B086F">
      <w:pPr>
        <w:pStyle w:val="AIBodyText"/>
        <w:ind w:left="567" w:right="708"/>
        <w:rPr>
          <w:color w:val="auto"/>
          <w:lang w:val="en-CA"/>
        </w:rPr>
      </w:pPr>
      <w:r w:rsidRPr="00AA6144">
        <w:rPr>
          <w:color w:val="auto"/>
          <w:lang w:val="en-CA"/>
        </w:rPr>
        <w:t>CIC</w:t>
      </w:r>
      <w:r w:rsidRPr="00AA6144">
        <w:rPr>
          <w:rStyle w:val="FootnoteReference"/>
          <w:color w:val="auto"/>
          <w:lang w:val="en-CA"/>
        </w:rPr>
        <w:footnoteReference w:id="690"/>
      </w:r>
      <w:r w:rsidRPr="00AA6144">
        <w:rPr>
          <w:color w:val="auto"/>
          <w:lang w:val="en-CA"/>
        </w:rPr>
        <w:t xml:space="preserve"> immigration officers are the first line of defence in preventing such persons from reaching Canada, by ensuring that permanent and temporary residence applicants are admissible under the IRPA as part of the visa assessment process. At ports of entry, CBSA officers also ensure that all persons seeking to enter Canada are admissible under the IRPA and in compliance with Canadian laws and regulations.</w:t>
      </w:r>
    </w:p>
    <w:p w14:paraId="06569FEB" w14:textId="77777777" w:rsidR="004B086F" w:rsidRPr="00AA6144" w:rsidRDefault="004B086F" w:rsidP="004B086F">
      <w:pPr>
        <w:pStyle w:val="AIBodyText"/>
        <w:ind w:left="567" w:right="708"/>
        <w:rPr>
          <w:b/>
          <w:bCs/>
          <w:iCs/>
          <w:color w:val="auto"/>
          <w:u w:val="single"/>
          <w:lang w:val="en-CA"/>
        </w:rPr>
      </w:pPr>
      <w:r w:rsidRPr="00AA6144">
        <w:rPr>
          <w:color w:val="auto"/>
          <w:lang w:val="en-CA"/>
        </w:rPr>
        <w:t>Training, screening aids, intelligence, research, and analytical support are provided to CIC and CBSA officials to help identify persons who are believed to have committed or been complicit in war crimes, crimes against humanity, or genocide. When requested, the CBSA provides immigration officers with an assessment of an applicant's involvement or complicity in war crimes, crimes against humanity, or genocide. It is important to note that the assessment is not the same as the final decision to issue or deny a visa - that decision is always made by a CIC official.</w:t>
      </w:r>
      <w:r w:rsidRPr="00AA6144">
        <w:rPr>
          <w:rStyle w:val="FootnoteReference"/>
          <w:color w:val="auto"/>
          <w:lang w:val="en-CA"/>
        </w:rPr>
        <w:footnoteReference w:id="691"/>
      </w:r>
      <w:r w:rsidRPr="00AA6144">
        <w:rPr>
          <w:b/>
          <w:bCs/>
          <w:iCs/>
          <w:color w:val="auto"/>
          <w:lang w:val="en-CA"/>
        </w:rPr>
        <w:t xml:space="preserve"> </w:t>
      </w:r>
    </w:p>
    <w:p w14:paraId="4441C17A" w14:textId="77777777" w:rsidR="004B086F" w:rsidRPr="00AA6144" w:rsidRDefault="004B086F" w:rsidP="004B086F">
      <w:pPr>
        <w:pStyle w:val="AIBodyText"/>
        <w:rPr>
          <w:color w:val="auto"/>
          <w:lang w:val="en-CA"/>
        </w:rPr>
      </w:pPr>
      <w:r w:rsidRPr="00AA6144">
        <w:rPr>
          <w:color w:val="auto"/>
          <w:lang w:val="en-CA"/>
        </w:rPr>
        <w:t xml:space="preserve">IRCC also receives files that relate to the revocation of citizenship. Revocation of citizenship is a complex process and legal advice and investigation or litigation assistance can be requested </w:t>
      </w:r>
      <w:proofErr w:type="gramStart"/>
      <w:r w:rsidRPr="00AA6144">
        <w:rPr>
          <w:color w:val="auto"/>
          <w:lang w:val="en-CA"/>
        </w:rPr>
        <w:t>in particular cases</w:t>
      </w:r>
      <w:proofErr w:type="gramEnd"/>
      <w:r w:rsidRPr="00AA6144">
        <w:rPr>
          <w:color w:val="auto"/>
          <w:lang w:val="en-CA"/>
        </w:rPr>
        <w:t xml:space="preserve"> from the War Crimes Section of the DOJ and the RCMP.</w:t>
      </w:r>
    </w:p>
    <w:p w14:paraId="29A84D9F" w14:textId="77777777" w:rsidR="004B086F" w:rsidRPr="00AA6144" w:rsidRDefault="004B086F" w:rsidP="004B086F">
      <w:pPr>
        <w:pStyle w:val="AIBodyText"/>
        <w:rPr>
          <w:color w:val="auto"/>
          <w:lang w:val="en-CA"/>
        </w:rPr>
      </w:pPr>
      <w:r w:rsidRPr="00AA6144">
        <w:rPr>
          <w:color w:val="auto"/>
          <w:lang w:val="en-CA"/>
        </w:rPr>
        <w:t xml:space="preserve">If a Canadian citizen is suspected of involvement in war crimes, crimes against humanity or genocide, the War Crimes Section of the DOJ and the RCMP select the response to apply to the </w:t>
      </w:r>
      <w:proofErr w:type="gramStart"/>
      <w:r w:rsidRPr="00AA6144">
        <w:rPr>
          <w:color w:val="auto"/>
          <w:lang w:val="en-CA"/>
        </w:rPr>
        <w:t>particular case</w:t>
      </w:r>
      <w:proofErr w:type="gramEnd"/>
      <w:r w:rsidRPr="00AA6144">
        <w:rPr>
          <w:color w:val="auto"/>
          <w:lang w:val="en-CA"/>
        </w:rPr>
        <w:t xml:space="preserve">.  If the partners decide that the most appropriate response is to carry proceedings under the </w:t>
      </w:r>
      <w:r w:rsidRPr="00AA6144">
        <w:rPr>
          <w:i/>
          <w:color w:val="auto"/>
          <w:lang w:val="en-CA"/>
        </w:rPr>
        <w:t>Citizenship Act</w:t>
      </w:r>
      <w:r w:rsidRPr="00AA6144">
        <w:rPr>
          <w:color w:val="auto"/>
          <w:lang w:val="en-CA"/>
        </w:rPr>
        <w:t>, IRCC determines whether to pursue the revocation of citizenship, then the DOJ investigates and litigates the revocation.</w:t>
      </w:r>
      <w:r w:rsidRPr="00AA6144">
        <w:rPr>
          <w:rStyle w:val="FootnoteReference"/>
          <w:color w:val="auto"/>
          <w:lang w:val="en-CA"/>
        </w:rPr>
        <w:footnoteReference w:id="692"/>
      </w:r>
    </w:p>
    <w:p w14:paraId="38B6A09B" w14:textId="77777777" w:rsidR="004B086F" w:rsidRPr="00AA6144" w:rsidRDefault="004B086F" w:rsidP="004B086F">
      <w:pPr>
        <w:pStyle w:val="Heading3"/>
        <w:rPr>
          <w:color w:val="auto"/>
          <w:lang w:val="en-CA"/>
        </w:rPr>
      </w:pPr>
      <w:bookmarkStart w:id="311" w:name="_Toc43382804"/>
      <w:r w:rsidRPr="00AA6144">
        <w:rPr>
          <w:color w:val="auto"/>
          <w:lang w:val="en-CA"/>
        </w:rPr>
        <w:t>8.2.2. Canadia Border Services Agency</w:t>
      </w:r>
      <w:bookmarkEnd w:id="311"/>
    </w:p>
    <w:p w14:paraId="513C3DF6" w14:textId="77777777" w:rsidR="004B086F" w:rsidRPr="00AA6144" w:rsidRDefault="004B086F" w:rsidP="004B086F">
      <w:pPr>
        <w:pStyle w:val="AIBodyText"/>
        <w:spacing w:after="0"/>
        <w:rPr>
          <w:color w:val="auto"/>
          <w:lang w:val="en-CA"/>
        </w:rPr>
      </w:pPr>
    </w:p>
    <w:p w14:paraId="0F21F68A" w14:textId="77777777" w:rsidR="004B086F" w:rsidRPr="00AA6144" w:rsidRDefault="004B086F" w:rsidP="004B086F">
      <w:pPr>
        <w:pStyle w:val="AIBodyText"/>
        <w:rPr>
          <w:color w:val="auto"/>
          <w:lang w:val="en-CA"/>
        </w:rPr>
      </w:pPr>
      <w:r w:rsidRPr="00AA6144">
        <w:rPr>
          <w:color w:val="auto"/>
          <w:lang w:val="en-CA"/>
        </w:rPr>
        <w:t>As already stated, the Canadian Border Services Agency plays a vital role in denying entry to applicants suspected of crimes under international law.  As of 2003, the CBSA became the Program lead for immigration cases involving crimes against humanity, war crimes, or genocide.</w:t>
      </w:r>
      <w:r w:rsidRPr="00AA6144">
        <w:rPr>
          <w:rStyle w:val="FootnoteReference"/>
          <w:color w:val="auto"/>
          <w:lang w:val="en-CA"/>
        </w:rPr>
        <w:footnoteReference w:id="693"/>
      </w:r>
      <w:r w:rsidRPr="00AA6144">
        <w:rPr>
          <w:color w:val="auto"/>
          <w:lang w:val="en-CA"/>
        </w:rPr>
        <w:t xml:space="preserve"> </w:t>
      </w:r>
    </w:p>
    <w:p w14:paraId="24FBBC63" w14:textId="77777777" w:rsidR="004B086F" w:rsidRPr="00AA6144" w:rsidRDefault="004B086F" w:rsidP="004B086F">
      <w:pPr>
        <w:pStyle w:val="AIBodyText"/>
        <w:rPr>
          <w:color w:val="auto"/>
          <w:lang w:val="en-CA"/>
        </w:rPr>
      </w:pPr>
      <w:r w:rsidRPr="00AA6144">
        <w:rPr>
          <w:color w:val="auto"/>
          <w:lang w:val="en-CA"/>
        </w:rPr>
        <w:t>The CBSA fulfils its role in the Program through three divisions—the National Screening Division, the Inland Enforcement Operations and Case Management Division, and the Intelligence, Operations and Analysis Division. These divisions are responsible for a broad range of tasks including, but not limited to, denying inadmissible persons entrance to Canada at ports of entry, excluding refugee claimants from protection, and deporting persons deemed inadmissible or excluded from Canada.</w:t>
      </w:r>
      <w:r w:rsidRPr="00AA6144">
        <w:rPr>
          <w:rStyle w:val="FootnoteReference"/>
          <w:color w:val="auto"/>
          <w:lang w:val="en-CA"/>
        </w:rPr>
        <w:footnoteReference w:id="694"/>
      </w:r>
      <w:r w:rsidRPr="00AA6144">
        <w:rPr>
          <w:color w:val="auto"/>
          <w:lang w:val="en-CA"/>
        </w:rPr>
        <w:t xml:space="preserve"> The CBSA also manages intelligence support such as libraries and electronic databases. CBSA creates screening tools, policies and guidelines on war crimes, crimes against humanity and genocide concerns, and develops specific training. It provides IRCC and the Minister of Public Safety with advice on cases involving such crimes and regimes abusing international human rights.  </w:t>
      </w:r>
    </w:p>
    <w:p w14:paraId="6876FAE7" w14:textId="77777777" w:rsidR="004B086F" w:rsidRPr="00AA6144" w:rsidRDefault="004B086F" w:rsidP="004B086F">
      <w:pPr>
        <w:pStyle w:val="AIBodyText"/>
        <w:rPr>
          <w:color w:val="auto"/>
          <w:lang w:val="en-CA"/>
        </w:rPr>
      </w:pPr>
      <w:r w:rsidRPr="00AA6144">
        <w:rPr>
          <w:color w:val="auto"/>
          <w:lang w:val="en-CA"/>
        </w:rPr>
        <w:t xml:space="preserve">CBSA also receives files that relate to deportation and exclusion processes. If an individual suspected of war crimes, crimes against humanity or genocide is found on Canadian territory, enforcement measures are to be taken under the IRPA.  </w:t>
      </w:r>
    </w:p>
    <w:p w14:paraId="3784610F" w14:textId="77777777" w:rsidR="004B086F" w:rsidRPr="00AA6144" w:rsidRDefault="004B086F" w:rsidP="004B086F">
      <w:pPr>
        <w:pStyle w:val="Heading2"/>
        <w:rPr>
          <w:color w:val="auto"/>
          <w:lang w:val="en-CA"/>
        </w:rPr>
      </w:pPr>
      <w:bookmarkStart w:id="312" w:name="_Toc43382805"/>
      <w:r w:rsidRPr="00AA6144">
        <w:rPr>
          <w:color w:val="auto"/>
          <w:lang w:val="en-CA"/>
        </w:rPr>
        <w:t>8.3. Special police units</w:t>
      </w:r>
      <w:bookmarkEnd w:id="312"/>
      <w:r w:rsidRPr="00AA6144">
        <w:rPr>
          <w:color w:val="auto"/>
          <w:lang w:val="en-CA"/>
        </w:rPr>
        <w:t xml:space="preserve"> </w:t>
      </w:r>
    </w:p>
    <w:p w14:paraId="6C8C60ED" w14:textId="77777777" w:rsidR="004B086F" w:rsidRPr="00AA6144" w:rsidRDefault="004B086F" w:rsidP="004B086F">
      <w:pPr>
        <w:pStyle w:val="AIBodyText"/>
        <w:spacing w:after="0"/>
        <w:rPr>
          <w:color w:val="auto"/>
          <w:lang w:val="en-CA"/>
        </w:rPr>
      </w:pPr>
    </w:p>
    <w:p w14:paraId="606F5430" w14:textId="77777777" w:rsidR="004B086F" w:rsidRPr="00AA6144" w:rsidRDefault="004B086F" w:rsidP="004B086F">
      <w:pPr>
        <w:pStyle w:val="AIBodyText"/>
        <w:rPr>
          <w:color w:val="auto"/>
          <w:lang w:val="en-CA"/>
        </w:rPr>
      </w:pPr>
      <w:r w:rsidRPr="00AA6144">
        <w:rPr>
          <w:color w:val="auto"/>
          <w:lang w:val="en-CA"/>
        </w:rPr>
        <w:t xml:space="preserve">The RCMP is mandated to enforce the </w:t>
      </w:r>
      <w:r w:rsidRPr="00AA6144">
        <w:rPr>
          <w:i/>
          <w:iCs/>
          <w:color w:val="auto"/>
          <w:lang w:val="en-CA"/>
        </w:rPr>
        <w:t>Crimes Against Humanity and War Crimes Act</w:t>
      </w:r>
      <w:r w:rsidRPr="00AA6144">
        <w:rPr>
          <w:color w:val="auto"/>
          <w:lang w:val="en-CA"/>
        </w:rPr>
        <w:t xml:space="preserve"> through the RCMP National Division Services which includes the Sensitive and International Investigations Unit. This unit conducts investigations related to war crimes in partnership with Canada Border Services Agency, Citizenship and Immigration Canada and the Department of Justice in the context of Canada’s Crimes Against Humanity and War Crimes Program.</w:t>
      </w:r>
      <w:r w:rsidRPr="00AA6144">
        <w:rPr>
          <w:rStyle w:val="FootnoteReference"/>
          <w:color w:val="auto"/>
          <w:lang w:val="en-CA"/>
        </w:rPr>
        <w:footnoteReference w:id="695"/>
      </w:r>
    </w:p>
    <w:p w14:paraId="29FDAB74" w14:textId="77777777" w:rsidR="004B086F" w:rsidRPr="00AA6144" w:rsidRDefault="004B086F" w:rsidP="004B086F">
      <w:pPr>
        <w:pStyle w:val="AIBodyText"/>
        <w:rPr>
          <w:color w:val="auto"/>
          <w:lang w:val="en-CA"/>
        </w:rPr>
      </w:pPr>
      <w:r w:rsidRPr="00AA6144">
        <w:rPr>
          <w:color w:val="auto"/>
          <w:lang w:val="en-CA"/>
        </w:rPr>
        <w:t xml:space="preserve">When </w:t>
      </w:r>
      <w:proofErr w:type="gramStart"/>
      <w:r w:rsidRPr="00AA6144">
        <w:rPr>
          <w:color w:val="auto"/>
          <w:lang w:val="en-CA"/>
        </w:rPr>
        <w:t>conducting an investigation</w:t>
      </w:r>
      <w:proofErr w:type="gramEnd"/>
      <w:r w:rsidRPr="00AA6144">
        <w:rPr>
          <w:color w:val="auto"/>
          <w:lang w:val="en-CA"/>
        </w:rPr>
        <w:t xml:space="preserve">, RCMP investigators work abroad and within Canada to collect information and gather evidence. The DOJ works closely with the RCMP throughout this process. A DOJ lawyer and a DOJ historian are assigned to each case investigated by the RCMP. </w:t>
      </w:r>
    </w:p>
    <w:p w14:paraId="03A737D8" w14:textId="77777777" w:rsidR="004B086F" w:rsidRPr="00AA6144" w:rsidRDefault="004B086F" w:rsidP="004B086F">
      <w:pPr>
        <w:pStyle w:val="AIBodyText"/>
        <w:rPr>
          <w:color w:val="auto"/>
          <w:lang w:val="en-CA"/>
        </w:rPr>
      </w:pPr>
      <w:r w:rsidRPr="00AA6144">
        <w:rPr>
          <w:color w:val="auto"/>
          <w:lang w:val="en-CA"/>
        </w:rPr>
        <w:t xml:space="preserve">The RCMP and the War Crimes Section of the Department of Justice consider the results of the investigations in order to decide whether or not to recommend criminal prosecution to the Public Prosecution Service of Canada (PPSC) (see section 8.5) which is responsible for initiating and conducting prosecutions. The DOJ prepares recommendations for consideration by the Attorney General of Canada or Deputy Attorney General of Canada whose consent </w:t>
      </w:r>
      <w:proofErr w:type="gramStart"/>
      <w:r w:rsidRPr="00AA6144">
        <w:rPr>
          <w:color w:val="auto"/>
          <w:lang w:val="en-CA"/>
        </w:rPr>
        <w:t>has to</w:t>
      </w:r>
      <w:proofErr w:type="gramEnd"/>
      <w:r w:rsidRPr="00AA6144">
        <w:rPr>
          <w:color w:val="auto"/>
          <w:lang w:val="en-CA"/>
        </w:rPr>
        <w:t xml:space="preserve"> be obtained before laying charges.</w:t>
      </w:r>
      <w:r w:rsidRPr="00AA6144">
        <w:rPr>
          <w:rStyle w:val="FootnoteReference"/>
          <w:color w:val="auto"/>
          <w:lang w:val="en-CA"/>
        </w:rPr>
        <w:footnoteReference w:id="696"/>
      </w:r>
    </w:p>
    <w:p w14:paraId="4115FD82" w14:textId="77777777" w:rsidR="004B086F" w:rsidRPr="00AA6144" w:rsidRDefault="004B086F" w:rsidP="004B086F">
      <w:pPr>
        <w:pStyle w:val="Heading2"/>
        <w:rPr>
          <w:color w:val="auto"/>
          <w:lang w:val="en-CA"/>
        </w:rPr>
      </w:pPr>
      <w:bookmarkStart w:id="313" w:name="_Toc43382806"/>
      <w:r w:rsidRPr="00AA6144">
        <w:rPr>
          <w:color w:val="auto"/>
          <w:lang w:val="en-CA"/>
        </w:rPr>
        <w:t>8.4. Special prosecution units</w:t>
      </w:r>
      <w:bookmarkEnd w:id="313"/>
    </w:p>
    <w:p w14:paraId="03AB4C3B" w14:textId="77777777" w:rsidR="004B086F" w:rsidRPr="00AA6144" w:rsidRDefault="004B086F" w:rsidP="004B086F">
      <w:pPr>
        <w:pStyle w:val="Heading2"/>
        <w:rPr>
          <w:color w:val="auto"/>
          <w:lang w:val="en-CA"/>
        </w:rPr>
      </w:pPr>
      <w:r w:rsidRPr="00AA6144">
        <w:rPr>
          <w:color w:val="auto"/>
          <w:lang w:val="en-CA"/>
        </w:rPr>
        <w:t xml:space="preserve"> </w:t>
      </w:r>
    </w:p>
    <w:p w14:paraId="5D982B67" w14:textId="77777777" w:rsidR="004B086F" w:rsidRPr="00AA6144" w:rsidRDefault="004B086F" w:rsidP="004B086F">
      <w:pPr>
        <w:pStyle w:val="AIBodyText"/>
        <w:rPr>
          <w:color w:val="auto"/>
          <w:lang w:val="en-CA"/>
        </w:rPr>
      </w:pPr>
      <w:r w:rsidRPr="00AA6144">
        <w:rPr>
          <w:color w:val="auto"/>
          <w:lang w:val="en-CA"/>
        </w:rPr>
        <w:t xml:space="preserve">There are no special prosecution units with the exclusive responsibility for prosecuting persons suspected of crimes under international law. The Public Prosecution Service of Canada (PPSC) is responsible for prosecuting offences under the </w:t>
      </w:r>
      <w:r w:rsidRPr="00AA6144">
        <w:rPr>
          <w:i/>
          <w:color w:val="auto"/>
          <w:lang w:val="en-CA"/>
        </w:rPr>
        <w:t>Crimes Against Humanity and War Crimes Act</w:t>
      </w:r>
      <w:r w:rsidRPr="00AA6144">
        <w:rPr>
          <w:color w:val="auto"/>
          <w:lang w:val="en-CA"/>
        </w:rPr>
        <w:t xml:space="preserve"> as well as drug offences, terrorism, crimes in the Northern territories and economic crimes and offences under federal legislation.</w:t>
      </w:r>
      <w:bookmarkStart w:id="314" w:name="_Ref267057863"/>
      <w:r w:rsidRPr="00AA6144">
        <w:rPr>
          <w:rStyle w:val="FootnoteReference"/>
          <w:color w:val="auto"/>
          <w:lang w:val="en-CA"/>
        </w:rPr>
        <w:footnoteReference w:id="697"/>
      </w:r>
      <w:bookmarkEnd w:id="314"/>
    </w:p>
    <w:p w14:paraId="31C6028F" w14:textId="77777777" w:rsidR="004B086F" w:rsidRPr="00AA6144" w:rsidRDefault="004B086F" w:rsidP="004B086F">
      <w:pPr>
        <w:pStyle w:val="AIBodyText"/>
        <w:rPr>
          <w:color w:val="auto"/>
          <w:lang w:val="en-CA"/>
        </w:rPr>
      </w:pPr>
      <w:r w:rsidRPr="00AA6144">
        <w:rPr>
          <w:color w:val="auto"/>
          <w:lang w:val="en-CA"/>
        </w:rPr>
        <w:t>However, as part of the Crimes Against Humanity and War Crimes Program, the Department of Justice has established a special multi-disciplinary War Crimes Section consisting of lawyers, historians, analysts, researchers, paralegals and specialized support staff.</w:t>
      </w:r>
      <w:r w:rsidRPr="00AA6144">
        <w:rPr>
          <w:rStyle w:val="FootnoteReference"/>
          <w:color w:val="auto"/>
          <w:lang w:val="en-CA"/>
        </w:rPr>
        <w:footnoteReference w:id="698"/>
      </w:r>
      <w:r w:rsidRPr="00AA6144">
        <w:rPr>
          <w:color w:val="auto"/>
          <w:lang w:val="en-CA"/>
        </w:rPr>
        <w:t xml:space="preserve"> The War Crimes Section of the DOJ works in a reciprocal manner with international institutions (international tribunals, special courts, independent organizations as well as international law experts). </w:t>
      </w:r>
    </w:p>
    <w:p w14:paraId="145CF042" w14:textId="77777777" w:rsidR="004B086F" w:rsidRPr="00AA6144" w:rsidRDefault="004B086F" w:rsidP="004B086F">
      <w:pPr>
        <w:pStyle w:val="AIBodyText"/>
        <w:rPr>
          <w:color w:val="auto"/>
          <w:lang w:val="en-CA"/>
        </w:rPr>
      </w:pPr>
      <w:r w:rsidRPr="00AA6144">
        <w:rPr>
          <w:color w:val="auto"/>
          <w:lang w:val="en-CA"/>
        </w:rPr>
        <w:t>The War Crimes Section maintains specialized legal counsel, who provide advice to the Program partners “on international criminal law, international humanitarian law, customary international law and immigration and refugee law.”</w:t>
      </w:r>
      <w:r w:rsidRPr="00AA6144">
        <w:rPr>
          <w:rStyle w:val="FootnoteReference"/>
          <w:color w:val="auto"/>
          <w:lang w:val="en-CA"/>
        </w:rPr>
        <w:footnoteReference w:id="699"/>
      </w:r>
      <w:r w:rsidRPr="00AA6144">
        <w:rPr>
          <w:color w:val="auto"/>
          <w:lang w:val="en-CA"/>
        </w:rPr>
        <w:t xml:space="preserve"> Legal counsel provides recommendations about the appropriate response in each individual case and assist other Program partners by providing legal opinions and support at the various stages of the Crimes Against Humanity and War Crimes program. Counsel furthermore represents IRCC in citizenship revocation litigation cases and </w:t>
      </w:r>
      <w:proofErr w:type="gramStart"/>
      <w:r w:rsidRPr="00AA6144">
        <w:rPr>
          <w:color w:val="auto"/>
          <w:lang w:val="en-CA"/>
        </w:rPr>
        <w:t>offers assistance to</w:t>
      </w:r>
      <w:proofErr w:type="gramEnd"/>
      <w:r w:rsidRPr="00AA6144">
        <w:rPr>
          <w:color w:val="auto"/>
          <w:lang w:val="en-CA"/>
        </w:rPr>
        <w:t xml:space="preserve"> the CBSA in litigation cases under the </w:t>
      </w:r>
      <w:r w:rsidRPr="00AA6144">
        <w:rPr>
          <w:i/>
          <w:color w:val="auto"/>
          <w:lang w:val="en-CA"/>
        </w:rPr>
        <w:t>IRPA</w:t>
      </w:r>
      <w:r w:rsidRPr="00AA6144">
        <w:rPr>
          <w:color w:val="auto"/>
          <w:lang w:val="en-CA"/>
        </w:rPr>
        <w:t xml:space="preserve">. In criminal cases, the DOJ lawyer applies Canada’s </w:t>
      </w:r>
      <w:r w:rsidRPr="00AA6144">
        <w:rPr>
          <w:i/>
          <w:color w:val="auto"/>
          <w:lang w:val="en-CA"/>
        </w:rPr>
        <w:t>CAHWCA</w:t>
      </w:r>
      <w:r w:rsidRPr="00AA6144">
        <w:rPr>
          <w:color w:val="auto"/>
          <w:lang w:val="en-CA"/>
        </w:rPr>
        <w:t xml:space="preserve"> and provides legal opinions to the RCMP on the </w:t>
      </w:r>
      <w:r w:rsidRPr="00AA6144">
        <w:rPr>
          <w:i/>
          <w:color w:val="auto"/>
          <w:lang w:val="en-CA"/>
        </w:rPr>
        <w:t>CAHWCA</w:t>
      </w:r>
      <w:r w:rsidRPr="00AA6144">
        <w:rPr>
          <w:color w:val="auto"/>
          <w:lang w:val="en-CA"/>
        </w:rPr>
        <w:t xml:space="preserve">’s extraterritorial jurisdiction, the various modes of criminal liability, and the general and specific elements of crimes under international law. </w:t>
      </w:r>
    </w:p>
    <w:p w14:paraId="4C79D251" w14:textId="77777777" w:rsidR="004B086F" w:rsidRPr="00AA6144" w:rsidRDefault="004B086F" w:rsidP="004B086F">
      <w:pPr>
        <w:pStyle w:val="AIBodyText"/>
        <w:rPr>
          <w:color w:val="auto"/>
          <w:lang w:val="en-CA"/>
        </w:rPr>
      </w:pPr>
      <w:r w:rsidRPr="00AA6144">
        <w:rPr>
          <w:color w:val="auto"/>
          <w:lang w:val="en-CA"/>
        </w:rPr>
        <w:t xml:space="preserve">Although the PPSC is independent from the Department of Justice, the DOJ’s War Crimes Section works very closely with the PPSC throughout the conduct of criminal proceedings. The War Crimes Section provides the PPSC with </w:t>
      </w:r>
      <w:proofErr w:type="gramStart"/>
      <w:r w:rsidRPr="00AA6144">
        <w:rPr>
          <w:color w:val="auto"/>
          <w:lang w:val="en-CA"/>
        </w:rPr>
        <w:t>factual information</w:t>
      </w:r>
      <w:proofErr w:type="gramEnd"/>
      <w:r w:rsidRPr="00AA6144">
        <w:rPr>
          <w:color w:val="auto"/>
          <w:lang w:val="en-CA"/>
        </w:rPr>
        <w:t xml:space="preserve"> and legal analysis in support of a criminal prosecution. In fact, the DOJ lawyer and historian who were assigned to the case at its investigation stage are generally part of the PPSC prosecution team. The War Crimes Section also supports the PPSC in travel arrangements, facilitating interviews with victims and witnesses on the ground, and managing issues relating to disclosure, </w:t>
      </w:r>
      <w:proofErr w:type="gramStart"/>
      <w:r w:rsidRPr="00AA6144">
        <w:rPr>
          <w:color w:val="auto"/>
          <w:lang w:val="en-CA"/>
        </w:rPr>
        <w:t>translation</w:t>
      </w:r>
      <w:proofErr w:type="gramEnd"/>
      <w:r w:rsidRPr="00AA6144">
        <w:rPr>
          <w:color w:val="auto"/>
          <w:lang w:val="en-CA"/>
        </w:rPr>
        <w:t xml:space="preserve"> and any other support functions. It also pays for all the expenses of the prosecution. </w:t>
      </w:r>
    </w:p>
    <w:p w14:paraId="78864C0F" w14:textId="77777777" w:rsidR="004B086F" w:rsidRPr="00AA6144" w:rsidRDefault="004B086F" w:rsidP="004B086F">
      <w:pPr>
        <w:pStyle w:val="Heading2"/>
        <w:rPr>
          <w:color w:val="auto"/>
          <w:lang w:val="en-CA"/>
        </w:rPr>
      </w:pPr>
      <w:bookmarkStart w:id="315" w:name="_Toc43382807"/>
      <w:r w:rsidRPr="00AA6144">
        <w:rPr>
          <w:color w:val="auto"/>
          <w:lang w:val="en-CA"/>
        </w:rPr>
        <w:t>8.5. Results</w:t>
      </w:r>
      <w:bookmarkEnd w:id="315"/>
    </w:p>
    <w:p w14:paraId="5320C519" w14:textId="77777777" w:rsidR="004B086F" w:rsidRPr="00AA6144" w:rsidRDefault="004B086F" w:rsidP="004B086F">
      <w:pPr>
        <w:spacing w:after="0"/>
        <w:rPr>
          <w:lang w:val="en-CA"/>
        </w:rPr>
      </w:pPr>
    </w:p>
    <w:p w14:paraId="2B362E6B" w14:textId="77777777" w:rsidR="004B086F" w:rsidRPr="00AA6144" w:rsidRDefault="004B086F" w:rsidP="004B086F">
      <w:pPr>
        <w:pStyle w:val="AIBodyText"/>
        <w:rPr>
          <w:color w:val="auto"/>
          <w:lang w:val="en-CA"/>
        </w:rPr>
      </w:pPr>
      <w:r w:rsidRPr="00AA6144">
        <w:rPr>
          <w:color w:val="auto"/>
          <w:lang w:val="en-CA"/>
        </w:rPr>
        <w:t>While the Program’s purpose is “to deny safe haven to persons believed to have committed or been complicit in crimes against humanity, war crimes or genocide, and to contribute to the domestic or international fight against impunity,”</w:t>
      </w:r>
      <w:r w:rsidRPr="00AA6144">
        <w:rPr>
          <w:rStyle w:val="FootnoteReference"/>
          <w:color w:val="auto"/>
          <w:lang w:val="en-CA"/>
        </w:rPr>
        <w:footnoteReference w:id="700"/>
      </w:r>
      <w:r w:rsidRPr="00AA6144">
        <w:rPr>
          <w:color w:val="auto"/>
          <w:lang w:val="en-CA"/>
        </w:rPr>
        <w:t xml:space="preserve"> the last twenty years of the Program indicate that it is primarily aimed at screening individuals seeking entry into Canada and denying them entry into the country, rather than seeking their prosecution in Canada or elsewhere. From 1997 to 2007, over 17,000 cases of suspects were reviewed in the offices of the CBSA and CIC, and over 3,700 persons were barred entry to Canada as a result.</w:t>
      </w:r>
      <w:r w:rsidRPr="00AA6144">
        <w:rPr>
          <w:rStyle w:val="FootnoteReference"/>
          <w:color w:val="auto"/>
          <w:lang w:val="en-CA"/>
        </w:rPr>
        <w:footnoteReference w:id="701"/>
      </w:r>
      <w:r w:rsidRPr="00AA6144">
        <w:rPr>
          <w:color w:val="auto"/>
          <w:lang w:val="en-CA"/>
        </w:rPr>
        <w:t xml:space="preserve"> Between 2009-2015, 138 individuals were removed from Canada as there were reasonable grounds to believe they were involved in crimes against humanity, war crimes, or genocide, 285 people were denied refugee protection, 47 claimants were found inadmissible, and one citizenship was revoked.</w:t>
      </w:r>
      <w:r w:rsidRPr="00AA6144">
        <w:rPr>
          <w:rStyle w:val="FootnoteReference"/>
          <w:color w:val="auto"/>
          <w:lang w:val="en-CA"/>
        </w:rPr>
        <w:footnoteReference w:id="702"/>
      </w:r>
      <w:r w:rsidRPr="00AA6144">
        <w:rPr>
          <w:color w:val="auto"/>
          <w:lang w:val="en-CA"/>
        </w:rPr>
        <w:t xml:space="preserve"> </w:t>
      </w:r>
    </w:p>
    <w:p w14:paraId="589F8CA5" w14:textId="77777777" w:rsidR="004B086F" w:rsidRPr="00AA6144" w:rsidRDefault="004B086F" w:rsidP="004B086F">
      <w:pPr>
        <w:pStyle w:val="AIBodyText"/>
        <w:rPr>
          <w:color w:val="auto"/>
          <w:lang w:val="en-CA"/>
        </w:rPr>
      </w:pPr>
      <w:r w:rsidRPr="00AA6144">
        <w:rPr>
          <w:color w:val="auto"/>
          <w:lang w:val="en-CA"/>
        </w:rPr>
        <w:t xml:space="preserve">By contrast, only two prosecutions have been completed since 1998. The first resulted in the successful conviction of </w:t>
      </w:r>
      <w:proofErr w:type="spellStart"/>
      <w:r w:rsidRPr="00AA6144">
        <w:rPr>
          <w:color w:val="auto"/>
          <w:lang w:val="en-CA"/>
        </w:rPr>
        <w:t>Désiré</w:t>
      </w:r>
      <w:proofErr w:type="spellEnd"/>
      <w:r w:rsidRPr="00AA6144">
        <w:rPr>
          <w:color w:val="auto"/>
          <w:lang w:val="en-CA"/>
        </w:rPr>
        <w:t xml:space="preserve"> </w:t>
      </w:r>
      <w:proofErr w:type="spellStart"/>
      <w:r w:rsidRPr="00AA6144">
        <w:rPr>
          <w:color w:val="auto"/>
          <w:lang w:val="en-CA"/>
        </w:rPr>
        <w:t>Munyaneza</w:t>
      </w:r>
      <w:proofErr w:type="spellEnd"/>
      <w:r w:rsidRPr="00AA6144">
        <w:rPr>
          <w:color w:val="auto"/>
          <w:lang w:val="en-CA"/>
        </w:rPr>
        <w:t xml:space="preserve"> for war crimes, crimes against humanity, and genocide committed throughout1994 in Rwanda.</w:t>
      </w:r>
      <w:r w:rsidRPr="00AA6144">
        <w:rPr>
          <w:rStyle w:val="FootnoteReference"/>
          <w:color w:val="auto"/>
          <w:lang w:val="en-CA"/>
        </w:rPr>
        <w:footnoteReference w:id="703"/>
      </w:r>
      <w:r w:rsidRPr="00AA6144">
        <w:rPr>
          <w:color w:val="auto"/>
          <w:lang w:val="en-CA"/>
        </w:rPr>
        <w:t xml:space="preserve"> A second prosecution was initiated in 2009 against Jacques </w:t>
      </w:r>
      <w:proofErr w:type="spellStart"/>
      <w:r w:rsidRPr="00AA6144">
        <w:rPr>
          <w:color w:val="auto"/>
          <w:lang w:val="en-CA"/>
        </w:rPr>
        <w:t>Mungwarere</w:t>
      </w:r>
      <w:proofErr w:type="spellEnd"/>
      <w:r w:rsidRPr="00AA6144">
        <w:rPr>
          <w:color w:val="auto"/>
          <w:lang w:val="en-CA"/>
        </w:rPr>
        <w:t xml:space="preserve"> for genocide and crimes against humanity in Rwanda in the same period. In July 2013, </w:t>
      </w:r>
      <w:proofErr w:type="spellStart"/>
      <w:r w:rsidRPr="00AA6144">
        <w:rPr>
          <w:color w:val="auto"/>
          <w:lang w:val="en-CA"/>
        </w:rPr>
        <w:t>Mungwarere</w:t>
      </w:r>
      <w:proofErr w:type="spellEnd"/>
      <w:r w:rsidRPr="00AA6144">
        <w:rPr>
          <w:color w:val="auto"/>
          <w:lang w:val="en-CA"/>
        </w:rPr>
        <w:t xml:space="preserve"> was acquitted, and the government is not appealing the decision.</w:t>
      </w:r>
      <w:r w:rsidRPr="00AA6144">
        <w:rPr>
          <w:rStyle w:val="FootnoteReference"/>
          <w:color w:val="auto"/>
          <w:lang w:val="en-CA"/>
        </w:rPr>
        <w:footnoteReference w:id="704"/>
      </w:r>
      <w:r w:rsidRPr="00AA6144">
        <w:rPr>
          <w:color w:val="auto"/>
          <w:lang w:val="en-CA"/>
        </w:rPr>
        <w:t xml:space="preserve"> As of April 2012, there were a total of 58 files in the RCMP/DOJ inventory and this was out of close to 2000 notification of allegations that had been received by the Program over the past 15 years.</w:t>
      </w:r>
      <w:r w:rsidRPr="00AA6144">
        <w:rPr>
          <w:rStyle w:val="FootnoteReference"/>
          <w:color w:val="auto"/>
          <w:lang w:val="en-CA"/>
        </w:rPr>
        <w:footnoteReference w:id="705"/>
      </w:r>
    </w:p>
    <w:p w14:paraId="7BE3849B" w14:textId="77777777" w:rsidR="004B086F" w:rsidRPr="00AA6144" w:rsidRDefault="004B086F" w:rsidP="004B086F">
      <w:pPr>
        <w:pStyle w:val="AIBodyText"/>
        <w:rPr>
          <w:color w:val="auto"/>
          <w:lang w:val="en-CA"/>
        </w:rPr>
      </w:pPr>
      <w:r w:rsidRPr="00AA6144">
        <w:rPr>
          <w:color w:val="auto"/>
          <w:lang w:val="en-CA"/>
        </w:rPr>
        <w:t xml:space="preserve">When a suspect has entered Canada, the program is designed to transfer only a very small number of cases for criminal investigation and prosecution. The reason for this design is because of increased costs associated with these proceedings, as opposed to immigration responses such as denial of visa, </w:t>
      </w:r>
      <w:proofErr w:type="gramStart"/>
      <w:r w:rsidRPr="00AA6144">
        <w:rPr>
          <w:color w:val="auto"/>
          <w:lang w:val="en-CA"/>
        </w:rPr>
        <w:t>deportation</w:t>
      </w:r>
      <w:proofErr w:type="gramEnd"/>
      <w:r w:rsidRPr="00AA6144">
        <w:rPr>
          <w:color w:val="auto"/>
          <w:lang w:val="en-CA"/>
        </w:rPr>
        <w:t xml:space="preserve"> and revocation of citizenship, which are less costly.</w:t>
      </w:r>
      <w:r w:rsidRPr="00AA6144">
        <w:rPr>
          <w:rStyle w:val="FootnoteReference"/>
          <w:color w:val="auto"/>
          <w:lang w:val="en-CA"/>
        </w:rPr>
        <w:footnoteReference w:id="706"/>
      </w:r>
      <w:r w:rsidRPr="00AA6144">
        <w:rPr>
          <w:color w:val="auto"/>
          <w:lang w:val="en-CA"/>
        </w:rPr>
        <w:t xml:space="preserve"> </w:t>
      </w:r>
    </w:p>
    <w:p w14:paraId="62633960" w14:textId="77777777" w:rsidR="004B086F" w:rsidRPr="00AA6144" w:rsidRDefault="004B086F" w:rsidP="004B086F">
      <w:pPr>
        <w:pStyle w:val="AIBodyText"/>
        <w:rPr>
          <w:color w:val="auto"/>
          <w:lang w:val="en-CA"/>
        </w:rPr>
      </w:pPr>
      <w:r w:rsidRPr="00AA6144">
        <w:rPr>
          <w:color w:val="auto"/>
          <w:lang w:val="en-CA"/>
        </w:rPr>
        <w:t xml:space="preserve">It must be noted that the War Crimes Section does not have </w:t>
      </w:r>
      <w:proofErr w:type="gramStart"/>
      <w:r w:rsidRPr="00AA6144">
        <w:rPr>
          <w:color w:val="auto"/>
          <w:lang w:val="en-CA"/>
        </w:rPr>
        <w:t>a completely separate</w:t>
      </w:r>
      <w:proofErr w:type="gramEnd"/>
      <w:r w:rsidRPr="00AA6144">
        <w:rPr>
          <w:color w:val="auto"/>
          <w:lang w:val="en-CA"/>
        </w:rPr>
        <w:t xml:space="preserve"> budget for prosecutions involving </w:t>
      </w:r>
      <w:r w:rsidRPr="00AA6144">
        <w:rPr>
          <w:i/>
          <w:color w:val="auto"/>
          <w:lang w:val="en-CA"/>
        </w:rPr>
        <w:t>CAHWCA</w:t>
      </w:r>
      <w:r w:rsidRPr="00AA6144">
        <w:rPr>
          <w:color w:val="auto"/>
          <w:lang w:val="en-CA"/>
        </w:rPr>
        <w:t xml:space="preserve"> and it plans its budget before each fiscal year based on a list of anticipated expenses. The budget for the War Crimes Program, in its entirety, is $15.6 million per year.</w:t>
      </w:r>
      <w:r w:rsidRPr="00AA6144">
        <w:rPr>
          <w:rStyle w:val="FootnoteReference"/>
          <w:color w:val="auto"/>
          <w:lang w:val="en-CA"/>
        </w:rPr>
        <w:footnoteReference w:id="707"/>
      </w:r>
      <w:r w:rsidRPr="00AA6144">
        <w:rPr>
          <w:color w:val="auto"/>
          <w:lang w:val="en-CA"/>
        </w:rPr>
        <w:t xml:space="preserve"> This budget has remained static since the Program’s inception in 1998, but the costs of conducting investigations have risen significantly.</w:t>
      </w:r>
      <w:r w:rsidRPr="00AA6144">
        <w:rPr>
          <w:rStyle w:val="FootnoteReference"/>
          <w:color w:val="auto"/>
          <w:lang w:val="en-CA"/>
        </w:rPr>
        <w:footnoteReference w:id="708"/>
      </w:r>
      <w:r w:rsidRPr="00AA6144">
        <w:rPr>
          <w:color w:val="auto"/>
          <w:lang w:val="en-CA"/>
        </w:rPr>
        <w:t xml:space="preserve"> Currently the Program budget is disbursed relatively unevenly among the partners, but in a manner that corresponds to government priorities of preventing safe haven in Canada for those suspected of involvement with crimes against humanity, war crimes, or genocide. The CBSA’s annual Program budget is the highest, at $7.2 million followed by Justice at $5.74 million, IRCC at $1.96 million, and the RCMP at $682,000.</w:t>
      </w:r>
      <w:r w:rsidRPr="00AA6144">
        <w:rPr>
          <w:rStyle w:val="FootnoteReference"/>
          <w:color w:val="auto"/>
          <w:lang w:val="en-CA"/>
        </w:rPr>
        <w:footnoteReference w:id="709"/>
      </w:r>
    </w:p>
    <w:p w14:paraId="139CF683" w14:textId="77777777" w:rsidR="004B086F" w:rsidRPr="00AA6144" w:rsidRDefault="004B086F" w:rsidP="004B086F">
      <w:pPr>
        <w:pStyle w:val="AIBodyText"/>
        <w:rPr>
          <w:color w:val="auto"/>
          <w:lang w:val="en-CA"/>
        </w:rPr>
      </w:pPr>
      <w:r w:rsidRPr="00AA6144">
        <w:rPr>
          <w:color w:val="auto"/>
          <w:lang w:val="en-CA"/>
        </w:rPr>
        <w:t xml:space="preserve">The Program’s 2008 </w:t>
      </w:r>
      <w:r w:rsidRPr="00AA6144">
        <w:rPr>
          <w:i/>
          <w:color w:val="auto"/>
          <w:lang w:val="en-CA"/>
        </w:rPr>
        <w:t>Summative Evaluation: Final Report</w:t>
      </w:r>
      <w:r w:rsidRPr="00AA6144">
        <w:rPr>
          <w:color w:val="auto"/>
          <w:lang w:val="en-CA"/>
        </w:rPr>
        <w:t xml:space="preserve"> highlights that “it remains important that the remedy of investigation and criminal prosecution is visibly present in the Canadian Program if Canada is to make an effective contribution to a global effort to combat impunity.”</w:t>
      </w:r>
      <w:r w:rsidRPr="00AA6144">
        <w:rPr>
          <w:rStyle w:val="FootnoteReference"/>
          <w:color w:val="auto"/>
          <w:lang w:val="en-CA"/>
        </w:rPr>
        <w:footnoteReference w:id="710"/>
      </w:r>
      <w:r w:rsidRPr="00AA6144">
        <w:rPr>
          <w:color w:val="auto"/>
          <w:lang w:val="en-CA"/>
        </w:rPr>
        <w:t xml:space="preserve"> This sentiment was emphatically echoed in the 2016 evaluation report, which argued that “while immigration remedies are Canada’s most cost-effective means of achieving the Program’s no safe haven outcome, this approach does not contribute to fulfilling the Rome Statute’s principle of </w:t>
      </w:r>
      <w:proofErr w:type="spellStart"/>
      <w:r w:rsidRPr="00AA6144">
        <w:rPr>
          <w:color w:val="auto"/>
          <w:lang w:val="en-CA"/>
        </w:rPr>
        <w:t>complimentarity</w:t>
      </w:r>
      <w:proofErr w:type="spellEnd"/>
      <w:r w:rsidRPr="00AA6144">
        <w:rPr>
          <w:color w:val="auto"/>
          <w:lang w:val="en-CA"/>
        </w:rPr>
        <w:t xml:space="preserve"> and helps to create the impression of Canada’s leadership role waning.”</w:t>
      </w:r>
      <w:r w:rsidRPr="00AA6144">
        <w:rPr>
          <w:rStyle w:val="FootnoteReference"/>
          <w:color w:val="auto"/>
          <w:lang w:val="en-CA"/>
        </w:rPr>
        <w:footnoteReference w:id="711"/>
      </w:r>
      <w:r w:rsidRPr="00AA6144">
        <w:rPr>
          <w:color w:val="auto"/>
          <w:lang w:val="en-CA"/>
        </w:rPr>
        <w:t>A mere two prosecutions in nearly 20 years does not go far enough to showcase Canada’s commitment to its international legal obligations regarding criminal prosecution of crimes against humanity, war crimes, and genocide. As highlighted throughout this report, Canada has the legal framework, expertise, and resources to undertake much more significant efforts to prosecute and cooperate in the prosecution of individuals suspected of crimes under international law. Considering that Belgium has had 10 prosecutions for crimes against humanity, war crimes and genocide since 2002, with another 103 cases under investigation or on trial, and Sweden has completed five prosecutions with another 26 cases under investigation or on trial since 2014, Canada’s track record of a mere two prosecutions since 1998 seems disappointing, at best.</w:t>
      </w:r>
    </w:p>
    <w:p w14:paraId="07A9C2E1" w14:textId="77777777" w:rsidR="004B086F" w:rsidRPr="00AA6144" w:rsidRDefault="004B086F" w:rsidP="004B086F">
      <w:pPr>
        <w:pStyle w:val="AIBodyText"/>
        <w:rPr>
          <w:color w:val="auto"/>
          <w:lang w:val="en-CA"/>
        </w:rPr>
      </w:pPr>
      <w:r w:rsidRPr="00AA6144">
        <w:rPr>
          <w:color w:val="auto"/>
          <w:lang w:val="en-CA"/>
        </w:rPr>
        <w:t>A further area of concern remains the CBSA’s “Most Wanted” List, of which Amnesty International Canada has long been a critic. The Most Wanted list is an approach by the Canadian government to deal with cases of individuals who have been accused of having committed war crimes or crimes against humanity and who are believed to be residing in Canada. Their cases, including their names and photos are listed on the CBSA website. Amnesty International Canada is “concerned that the initiative does not conform to Canada’s obligations with respect to human rights and international justice.”</w:t>
      </w:r>
      <w:r w:rsidRPr="00AA6144">
        <w:rPr>
          <w:rStyle w:val="FootnoteReference"/>
          <w:color w:val="auto"/>
          <w:lang w:val="en-CA"/>
        </w:rPr>
        <w:footnoteReference w:id="712"/>
      </w:r>
      <w:r w:rsidRPr="00AA6144">
        <w:rPr>
          <w:color w:val="auto"/>
          <w:lang w:val="en-CA"/>
        </w:rPr>
        <w:t xml:space="preserve"> AI Canada also argues that:</w:t>
      </w:r>
    </w:p>
    <w:p w14:paraId="16A5E990" w14:textId="77777777" w:rsidR="004B086F" w:rsidRPr="00AA6144" w:rsidRDefault="004B086F" w:rsidP="004B086F">
      <w:pPr>
        <w:pStyle w:val="AIBodyText"/>
        <w:ind w:left="357" w:right="567" w:firstLine="3"/>
        <w:rPr>
          <w:color w:val="auto"/>
          <w:lang w:val="en-CA"/>
        </w:rPr>
      </w:pPr>
      <w:r w:rsidRPr="00AA6144">
        <w:rPr>
          <w:color w:val="auto"/>
          <w:lang w:val="en-CA"/>
        </w:rPr>
        <w:t>Given that no information is publicly available about the specifics of the allegations in these cases, including the source of the allegations or the seriousness of the charges, the fact that these individuals’ faces and names have been so widely publicized is of particular concern.  In addition to reputational harm, it may increase the risk they face upon deportation or put their relatives at risk.</w:t>
      </w:r>
      <w:r w:rsidRPr="00AA6144">
        <w:rPr>
          <w:rStyle w:val="FootnoteReference"/>
          <w:color w:val="auto"/>
          <w:lang w:val="en-CA"/>
        </w:rPr>
        <w:footnoteReference w:id="713"/>
      </w:r>
    </w:p>
    <w:p w14:paraId="60A02233" w14:textId="38401FDE" w:rsidR="004B086F" w:rsidRPr="00AA6144" w:rsidRDefault="004B086F" w:rsidP="004B086F">
      <w:pPr>
        <w:rPr>
          <w:lang w:val="en-CA"/>
        </w:rPr>
      </w:pPr>
      <w:r w:rsidRPr="00AA6144">
        <w:rPr>
          <w:color w:val="auto"/>
          <w:lang w:val="en-CA"/>
        </w:rPr>
        <w:t>In general, the Crimes Against Humanity and War Crimes Program is relatively well-conceived, and its actionable objectives are properly allocated among the four partner organizations. However, concern remains that the Program is failing to reach its stated goals and potential “to contribute to the domestic or international fight against impunity.”</w:t>
      </w:r>
      <w:r w:rsidRPr="00AA6144">
        <w:rPr>
          <w:rStyle w:val="FootnoteReference"/>
          <w:color w:val="auto"/>
          <w:lang w:val="en-CA"/>
        </w:rPr>
        <w:footnoteReference w:id="714"/>
      </w:r>
      <w:r w:rsidRPr="00AA6144">
        <w:rPr>
          <w:color w:val="auto"/>
          <w:lang w:val="en-CA"/>
        </w:rPr>
        <w:t xml:space="preserve"> Key to fulfilling the Program’s goals, and Canada’s commitment to the Rome Statute’s principle of complementarity, are sufficient budgetary provisions in excess of the current $15.6 million, and reallocation of these funds to enable more investigations and prosecutions. This would ensure that Canada becomes a state that not only refuses safe haven to individuals involved with crimes against humanity, war crimes, or genocide, but also a state that will hold those individuals responsible for their actions and contribute to the process of international justice</w:t>
      </w:r>
      <w:r w:rsidRPr="00AA6144">
        <w:rPr>
          <w:lang w:val="en-CA"/>
        </w:rPr>
        <w:t xml:space="preserve">. </w:t>
      </w:r>
    </w:p>
    <w:p w14:paraId="73C4B188" w14:textId="77777777" w:rsidR="00991F0E" w:rsidRPr="00AA6144" w:rsidRDefault="00991F0E" w:rsidP="007170D4">
      <w:pPr>
        <w:pStyle w:val="Heading1"/>
        <w:rPr>
          <w:rStyle w:val="Heading1Char"/>
          <w:color w:val="auto"/>
          <w:lang w:val="en-CA"/>
        </w:rPr>
      </w:pPr>
      <w:r w:rsidRPr="00AA6144">
        <w:rPr>
          <w:color w:val="auto"/>
          <w:highlight w:val="yellow"/>
          <w:lang w:val="en-CA"/>
        </w:rPr>
        <w:br w:type="page"/>
      </w:r>
      <w:bookmarkStart w:id="316" w:name="_Toc193798702"/>
      <w:bookmarkStart w:id="317" w:name="_Toc220954503"/>
      <w:bookmarkStart w:id="318" w:name="_Toc43382808"/>
      <w:r w:rsidRPr="00AA6144">
        <w:rPr>
          <w:color w:val="auto"/>
          <w:lang w:val="en-CA"/>
        </w:rPr>
        <w:t>9. JURISPRUDENCE</w:t>
      </w:r>
      <w:bookmarkEnd w:id="316"/>
      <w:bookmarkEnd w:id="317"/>
      <w:bookmarkEnd w:id="318"/>
    </w:p>
    <w:p w14:paraId="5BDB9655" w14:textId="77777777" w:rsidR="00881B84" w:rsidRPr="00AA6144" w:rsidRDefault="00881B84" w:rsidP="00881B84">
      <w:pPr>
        <w:pStyle w:val="Heading2"/>
        <w:numPr>
          <w:ilvl w:val="0"/>
          <w:numId w:val="0"/>
        </w:numPr>
        <w:rPr>
          <w:caps/>
          <w:color w:val="auto"/>
          <w:lang w:val="en-CA"/>
        </w:rPr>
      </w:pPr>
      <w:bookmarkStart w:id="319" w:name="_Toc43382809"/>
      <w:r w:rsidRPr="00AA6144">
        <w:rPr>
          <w:caps/>
          <w:color w:val="auto"/>
          <w:lang w:val="en-CA"/>
        </w:rPr>
        <w:t>9.1 O</w:t>
      </w:r>
      <w:r w:rsidR="00EF610D" w:rsidRPr="00AA6144">
        <w:rPr>
          <w:caps/>
          <w:color w:val="auto"/>
          <w:lang w:val="en-CA"/>
        </w:rPr>
        <w:t>verview</w:t>
      </w:r>
      <w:bookmarkEnd w:id="319"/>
    </w:p>
    <w:p w14:paraId="12231253" w14:textId="77777777" w:rsidR="00066291" w:rsidRPr="00AA6144" w:rsidRDefault="00066291" w:rsidP="00066291">
      <w:pPr>
        <w:spacing w:after="0"/>
        <w:rPr>
          <w:lang w:val="en-CA"/>
        </w:rPr>
      </w:pPr>
    </w:p>
    <w:p w14:paraId="6682ACA7" w14:textId="2B9406E0" w:rsidR="00881B84" w:rsidRPr="00AA6144" w:rsidRDefault="00881B84" w:rsidP="00881B84">
      <w:pPr>
        <w:rPr>
          <w:color w:val="auto"/>
          <w:lang w:val="en-CA"/>
        </w:rPr>
      </w:pPr>
      <w:r w:rsidRPr="00AA6144">
        <w:rPr>
          <w:color w:val="auto"/>
          <w:lang w:val="en-CA"/>
        </w:rPr>
        <w:t xml:space="preserve">After a long period of inaction following the Second World War, Canada’s efforts </w:t>
      </w:r>
      <w:r w:rsidR="007D7946" w:rsidRPr="00AA6144">
        <w:rPr>
          <w:color w:val="auto"/>
          <w:lang w:val="en-CA"/>
        </w:rPr>
        <w:t xml:space="preserve">to </w:t>
      </w:r>
      <w:r w:rsidRPr="00AA6144">
        <w:rPr>
          <w:color w:val="auto"/>
          <w:lang w:val="en-CA"/>
        </w:rPr>
        <w:t xml:space="preserve">prosecute </w:t>
      </w:r>
      <w:r w:rsidR="007D7946" w:rsidRPr="00AA6144">
        <w:rPr>
          <w:color w:val="auto"/>
          <w:lang w:val="en-CA"/>
        </w:rPr>
        <w:t>persons suspected of criminal responsibility for crimes under international law</w:t>
      </w:r>
      <w:r w:rsidRPr="00AA6144">
        <w:rPr>
          <w:color w:val="auto"/>
          <w:lang w:val="en-CA"/>
        </w:rPr>
        <w:t xml:space="preserve"> took an important step in 1987 when amendments were made to the </w:t>
      </w:r>
      <w:r w:rsidRPr="00AA6144">
        <w:rPr>
          <w:i/>
          <w:color w:val="auto"/>
          <w:lang w:val="en-CA"/>
        </w:rPr>
        <w:t>Criminal Code</w:t>
      </w:r>
      <w:r w:rsidRPr="00AA6144">
        <w:rPr>
          <w:color w:val="auto"/>
          <w:lang w:val="en-CA"/>
        </w:rPr>
        <w:t xml:space="preserve"> to allow Canada to exercise jurisdiction over crimes against humanity and war crimes committed outside Canada.  Four prosecutions were launched between 1987 and 1994 but none resulted in a conviction.</w:t>
      </w:r>
      <w:r w:rsidRPr="00AA6144">
        <w:rPr>
          <w:rStyle w:val="FootnoteReference"/>
          <w:color w:val="auto"/>
          <w:lang w:val="en-CA"/>
        </w:rPr>
        <w:footnoteReference w:id="715"/>
      </w:r>
      <w:r w:rsidRPr="00AA6144">
        <w:rPr>
          <w:color w:val="auto"/>
          <w:lang w:val="en-CA"/>
        </w:rPr>
        <w:t xml:space="preserve">  The most important case from this period with respect to </w:t>
      </w:r>
      <w:r w:rsidR="00475A37" w:rsidRPr="00AA6144">
        <w:rPr>
          <w:color w:val="auto"/>
          <w:lang w:val="en-CA"/>
        </w:rPr>
        <w:t>crimes under international law</w:t>
      </w:r>
      <w:r w:rsidRPr="00AA6144">
        <w:rPr>
          <w:color w:val="auto"/>
          <w:lang w:val="en-CA"/>
        </w:rPr>
        <w:t xml:space="preserve"> in Canada was the </w:t>
      </w:r>
      <w:proofErr w:type="spellStart"/>
      <w:r w:rsidRPr="00AA6144">
        <w:rPr>
          <w:i/>
          <w:color w:val="auto"/>
          <w:lang w:val="en-CA"/>
        </w:rPr>
        <w:t>Finta</w:t>
      </w:r>
      <w:proofErr w:type="spellEnd"/>
      <w:r w:rsidRPr="00AA6144">
        <w:rPr>
          <w:color w:val="auto"/>
          <w:lang w:val="en-CA"/>
        </w:rPr>
        <w:t xml:space="preserve"> decision, which resulted not only in an acquittal but also in an end to prosecutions and a preference for immigration measures in dealing with </w:t>
      </w:r>
      <w:r w:rsidR="00FC4E50">
        <w:rPr>
          <w:color w:val="auto"/>
          <w:lang w:val="en-CA"/>
        </w:rPr>
        <w:t xml:space="preserve">those suspected of </w:t>
      </w:r>
      <w:r w:rsidRPr="00AA6144">
        <w:rPr>
          <w:color w:val="auto"/>
          <w:lang w:val="en-CA"/>
        </w:rPr>
        <w:t>criminal</w:t>
      </w:r>
      <w:r w:rsidR="00FC4E50">
        <w:rPr>
          <w:color w:val="auto"/>
          <w:lang w:val="en-CA"/>
        </w:rPr>
        <w:t xml:space="preserve"> responsibility for crimes under international law</w:t>
      </w:r>
      <w:r w:rsidRPr="00AA6144">
        <w:rPr>
          <w:color w:val="auto"/>
          <w:lang w:val="en-CA"/>
        </w:rPr>
        <w:t xml:space="preserve"> in Canada. </w:t>
      </w:r>
    </w:p>
    <w:p w14:paraId="3E266CD7" w14:textId="77777777" w:rsidR="00881B84" w:rsidRPr="00AA6144" w:rsidRDefault="00881B84" w:rsidP="00881B84">
      <w:pPr>
        <w:pStyle w:val="AIBodyText"/>
        <w:rPr>
          <w:color w:val="auto"/>
          <w:lang w:val="en-CA"/>
        </w:rPr>
      </w:pPr>
      <w:r w:rsidRPr="00AA6144">
        <w:rPr>
          <w:color w:val="auto"/>
          <w:lang w:val="en-CA"/>
        </w:rPr>
        <w:t xml:space="preserve">The most problematic effects of the </w:t>
      </w:r>
      <w:proofErr w:type="spellStart"/>
      <w:r w:rsidRPr="00AA6144">
        <w:rPr>
          <w:i/>
          <w:color w:val="auto"/>
          <w:lang w:val="en-CA"/>
        </w:rPr>
        <w:t>Finta</w:t>
      </w:r>
      <w:proofErr w:type="spellEnd"/>
      <w:r w:rsidRPr="00AA6144">
        <w:rPr>
          <w:i/>
          <w:color w:val="auto"/>
          <w:lang w:val="en-CA"/>
        </w:rPr>
        <w:t xml:space="preserve"> </w:t>
      </w:r>
      <w:r w:rsidRPr="00AA6144">
        <w:rPr>
          <w:color w:val="auto"/>
          <w:lang w:val="en-CA"/>
        </w:rPr>
        <w:t xml:space="preserve">decision have been subsequently addressed by the adoption of the </w:t>
      </w:r>
      <w:r w:rsidRPr="00AA6144">
        <w:rPr>
          <w:i/>
          <w:color w:val="auto"/>
          <w:lang w:val="en-CA"/>
        </w:rPr>
        <w:t>Crimes Against Humanity and War Crimes Ac</w:t>
      </w:r>
      <w:r w:rsidRPr="00AA6144">
        <w:rPr>
          <w:color w:val="auto"/>
          <w:lang w:val="en-CA"/>
        </w:rPr>
        <w:t xml:space="preserve">t in 2000 and through the subsequent jurisprudence on </w:t>
      </w:r>
      <w:r w:rsidR="00475A37" w:rsidRPr="00AA6144">
        <w:rPr>
          <w:color w:val="auto"/>
          <w:lang w:val="en-CA"/>
        </w:rPr>
        <w:t>crimes under international law</w:t>
      </w:r>
      <w:r w:rsidRPr="00AA6144">
        <w:rPr>
          <w:color w:val="auto"/>
          <w:lang w:val="en-CA"/>
        </w:rPr>
        <w:t xml:space="preserve"> which began with the indictment of </w:t>
      </w:r>
      <w:proofErr w:type="spellStart"/>
      <w:r w:rsidRPr="00AA6144">
        <w:rPr>
          <w:color w:val="auto"/>
          <w:lang w:val="en-CA"/>
        </w:rPr>
        <w:t>Desiré</w:t>
      </w:r>
      <w:proofErr w:type="spellEnd"/>
      <w:r w:rsidRPr="00AA6144">
        <w:rPr>
          <w:color w:val="auto"/>
          <w:lang w:val="en-CA"/>
        </w:rPr>
        <w:t xml:space="preserve"> </w:t>
      </w:r>
      <w:proofErr w:type="spellStart"/>
      <w:r w:rsidRPr="00AA6144">
        <w:rPr>
          <w:color w:val="auto"/>
          <w:lang w:val="en-CA"/>
        </w:rPr>
        <w:t>Munyaneza</w:t>
      </w:r>
      <w:proofErr w:type="spellEnd"/>
      <w:r w:rsidRPr="00AA6144">
        <w:rPr>
          <w:color w:val="auto"/>
          <w:lang w:val="en-CA"/>
        </w:rPr>
        <w:t xml:space="preserve"> in 2005</w:t>
      </w:r>
      <w:r w:rsidR="000A616B" w:rsidRPr="00AA6144">
        <w:rPr>
          <w:color w:val="auto"/>
          <w:lang w:val="en-CA"/>
        </w:rPr>
        <w:t xml:space="preserve"> and Jacques </w:t>
      </w:r>
      <w:proofErr w:type="spellStart"/>
      <w:r w:rsidR="000A616B" w:rsidRPr="00AA6144">
        <w:rPr>
          <w:color w:val="auto"/>
          <w:lang w:val="en-CA"/>
        </w:rPr>
        <w:t>Mungwarere</w:t>
      </w:r>
      <w:proofErr w:type="spellEnd"/>
      <w:r w:rsidR="000A616B" w:rsidRPr="00AA6144">
        <w:rPr>
          <w:color w:val="auto"/>
          <w:lang w:val="en-CA"/>
        </w:rPr>
        <w:t xml:space="preserve"> in 2012</w:t>
      </w:r>
      <w:r w:rsidRPr="00AA6144">
        <w:rPr>
          <w:color w:val="auto"/>
          <w:lang w:val="en-CA"/>
        </w:rPr>
        <w:t xml:space="preserve">. </w:t>
      </w:r>
    </w:p>
    <w:p w14:paraId="632A5CB4" w14:textId="2B606D95" w:rsidR="00881B84" w:rsidRPr="00AA6144" w:rsidRDefault="00881B84" w:rsidP="00881B84">
      <w:pPr>
        <w:rPr>
          <w:color w:val="auto"/>
          <w:lang w:val="en-CA"/>
        </w:rPr>
      </w:pPr>
      <w:r w:rsidRPr="00AA6144">
        <w:rPr>
          <w:color w:val="auto"/>
          <w:lang w:val="en-CA"/>
        </w:rPr>
        <w:t>While Canada has revived criminal enforcement mechanisms since</w:t>
      </w:r>
      <w:r w:rsidRPr="00AA6144">
        <w:rPr>
          <w:i/>
          <w:color w:val="auto"/>
          <w:lang w:val="en-CA"/>
        </w:rPr>
        <w:t xml:space="preserve"> </w:t>
      </w:r>
      <w:proofErr w:type="spellStart"/>
      <w:r w:rsidRPr="00AA6144">
        <w:rPr>
          <w:i/>
          <w:color w:val="auto"/>
          <w:lang w:val="en-CA"/>
        </w:rPr>
        <w:t>Finta</w:t>
      </w:r>
      <w:proofErr w:type="spellEnd"/>
      <w:r w:rsidRPr="00AA6144">
        <w:rPr>
          <w:i/>
          <w:color w:val="auto"/>
          <w:lang w:val="en-CA"/>
        </w:rPr>
        <w:t xml:space="preserve"> </w:t>
      </w:r>
      <w:r w:rsidRPr="00AA6144">
        <w:rPr>
          <w:color w:val="auto"/>
          <w:lang w:val="en-CA"/>
        </w:rPr>
        <w:t>through the adoption of the</w:t>
      </w:r>
      <w:r w:rsidRPr="00AA6144">
        <w:rPr>
          <w:i/>
          <w:color w:val="auto"/>
          <w:lang w:val="en-CA"/>
        </w:rPr>
        <w:t xml:space="preserve"> CAHWCA </w:t>
      </w:r>
      <w:r w:rsidRPr="00AA6144">
        <w:rPr>
          <w:color w:val="auto"/>
          <w:lang w:val="en-CA"/>
        </w:rPr>
        <w:t>and subsequent jurisprudence</w:t>
      </w:r>
      <w:r w:rsidRPr="00AA6144">
        <w:rPr>
          <w:i/>
          <w:color w:val="auto"/>
          <w:lang w:val="en-CA"/>
        </w:rPr>
        <w:t xml:space="preserve">, </w:t>
      </w:r>
      <w:r w:rsidRPr="00AA6144">
        <w:rPr>
          <w:color w:val="auto"/>
          <w:lang w:val="en-CA"/>
        </w:rPr>
        <w:t>criminal prosecutions still represent a small proportion of the mechanisms used to deal with</w:t>
      </w:r>
      <w:r w:rsidR="000819C4" w:rsidRPr="00AA6144">
        <w:rPr>
          <w:color w:val="auto"/>
          <w:lang w:val="en-CA"/>
        </w:rPr>
        <w:t xml:space="preserve"> persons</w:t>
      </w:r>
      <w:r w:rsidRPr="00AA6144">
        <w:rPr>
          <w:color w:val="auto"/>
          <w:lang w:val="en-CA"/>
        </w:rPr>
        <w:t xml:space="preserve"> suspected </w:t>
      </w:r>
      <w:r w:rsidR="000819C4" w:rsidRPr="00AA6144">
        <w:rPr>
          <w:color w:val="auto"/>
          <w:lang w:val="en-CA"/>
        </w:rPr>
        <w:t>of having committed war crimes or crimes against humanity</w:t>
      </w:r>
      <w:r w:rsidRPr="00AA6144">
        <w:rPr>
          <w:color w:val="auto"/>
          <w:lang w:val="en-CA"/>
        </w:rPr>
        <w:t>.</w:t>
      </w:r>
      <w:r w:rsidR="000A616B" w:rsidRPr="00AA6144">
        <w:rPr>
          <w:color w:val="auto"/>
          <w:lang w:val="en-CA"/>
        </w:rPr>
        <w:t xml:space="preserve"> </w:t>
      </w:r>
      <w:r w:rsidRPr="00AA6144">
        <w:rPr>
          <w:color w:val="auto"/>
          <w:lang w:val="en-CA"/>
        </w:rPr>
        <w:t xml:space="preserve">Canada continues to rely </w:t>
      </w:r>
      <w:r w:rsidR="000A616B" w:rsidRPr="00AA6144">
        <w:rPr>
          <w:color w:val="auto"/>
          <w:lang w:val="en-CA"/>
        </w:rPr>
        <w:t xml:space="preserve">overwhelmingly </w:t>
      </w:r>
      <w:r w:rsidRPr="00AA6144">
        <w:rPr>
          <w:color w:val="auto"/>
          <w:lang w:val="en-CA"/>
        </w:rPr>
        <w:t xml:space="preserve">on administrative remedies such as deportation and removal. While this may be effective in limiting the entry of or continued residence of </w:t>
      </w:r>
      <w:r w:rsidR="0096050E">
        <w:rPr>
          <w:color w:val="auto"/>
          <w:lang w:val="en-CA"/>
        </w:rPr>
        <w:t xml:space="preserve">persons suspected of </w:t>
      </w:r>
      <w:r w:rsidRPr="00AA6144">
        <w:rPr>
          <w:color w:val="auto"/>
          <w:lang w:val="en-CA"/>
        </w:rPr>
        <w:t>criminal</w:t>
      </w:r>
      <w:r w:rsidR="0096050E">
        <w:rPr>
          <w:color w:val="auto"/>
          <w:lang w:val="en-CA"/>
        </w:rPr>
        <w:t xml:space="preserve"> responsibility</w:t>
      </w:r>
      <w:r w:rsidRPr="00AA6144">
        <w:rPr>
          <w:color w:val="auto"/>
          <w:lang w:val="en-CA"/>
        </w:rPr>
        <w:t xml:space="preserve"> in Canada, more work can be done in creating accountability for these crimes in Canada and in contributing to a broader regime of global justice.  Building on the jurisprudence of the cases discussed below, Canada should continue to strengthen its commitment to prosecuting </w:t>
      </w:r>
      <w:r w:rsidR="00F02F22">
        <w:rPr>
          <w:color w:val="auto"/>
          <w:lang w:val="en-CA"/>
        </w:rPr>
        <w:t xml:space="preserve">suspected </w:t>
      </w:r>
      <w:r w:rsidRPr="00AA6144">
        <w:rPr>
          <w:color w:val="auto"/>
          <w:lang w:val="en-CA"/>
        </w:rPr>
        <w:t xml:space="preserve">by committing greater resources and efforts to the use of enforcement mechanisms. </w:t>
      </w:r>
    </w:p>
    <w:p w14:paraId="6B33551B" w14:textId="77777777" w:rsidR="00881B84" w:rsidRPr="00AA6144" w:rsidRDefault="00881B84" w:rsidP="00881B84">
      <w:pPr>
        <w:pStyle w:val="Heading2"/>
        <w:numPr>
          <w:ilvl w:val="0"/>
          <w:numId w:val="0"/>
        </w:numPr>
        <w:rPr>
          <w:caps/>
          <w:color w:val="auto"/>
          <w:lang w:val="en-CA"/>
        </w:rPr>
      </w:pPr>
      <w:bookmarkStart w:id="320" w:name="_Toc43382810"/>
      <w:r w:rsidRPr="00AA6144">
        <w:rPr>
          <w:caps/>
          <w:color w:val="auto"/>
          <w:lang w:val="en-CA"/>
        </w:rPr>
        <w:t xml:space="preserve">9.2 </w:t>
      </w:r>
      <w:r w:rsidR="00092DFC" w:rsidRPr="00AA6144">
        <w:rPr>
          <w:caps/>
          <w:color w:val="auto"/>
          <w:lang w:val="en-CA"/>
        </w:rPr>
        <w:t>Cases prosecuted before the adoption of the War Crimes and Crimes Against Humanity Act</w:t>
      </w:r>
      <w:bookmarkEnd w:id="320"/>
    </w:p>
    <w:p w14:paraId="2B54E658" w14:textId="77777777" w:rsidR="00936E71" w:rsidRPr="00AA6144" w:rsidRDefault="00936E71" w:rsidP="00936E71">
      <w:pPr>
        <w:spacing w:after="0"/>
        <w:rPr>
          <w:lang w:val="en-CA"/>
        </w:rPr>
      </w:pPr>
    </w:p>
    <w:p w14:paraId="7315896B" w14:textId="77777777" w:rsidR="00881B84" w:rsidRPr="00AA6144" w:rsidRDefault="00881B84" w:rsidP="00881B84">
      <w:pPr>
        <w:pStyle w:val="Heading3"/>
        <w:numPr>
          <w:ilvl w:val="0"/>
          <w:numId w:val="0"/>
        </w:numPr>
        <w:spacing w:line="240" w:lineRule="auto"/>
        <w:rPr>
          <w:color w:val="auto"/>
          <w:lang w:val="en-CA"/>
        </w:rPr>
      </w:pPr>
      <w:bookmarkStart w:id="321" w:name="_Toc43382811"/>
      <w:r w:rsidRPr="00AA6144">
        <w:rPr>
          <w:color w:val="auto"/>
          <w:lang w:val="en-CA"/>
        </w:rPr>
        <w:t>9.2.1. R v. Finta</w:t>
      </w:r>
      <w:r w:rsidRPr="00AA6144">
        <w:rPr>
          <w:color w:val="auto"/>
          <w:vertAlign w:val="superscript"/>
          <w:lang w:val="en-CA"/>
        </w:rPr>
        <w:footnoteReference w:id="716"/>
      </w:r>
      <w:bookmarkEnd w:id="321"/>
    </w:p>
    <w:p w14:paraId="1C45CAB4" w14:textId="77777777" w:rsidR="00936E71" w:rsidRPr="00AA6144" w:rsidRDefault="00936E71" w:rsidP="00936E71">
      <w:pPr>
        <w:spacing w:after="0"/>
        <w:rPr>
          <w:lang w:val="en-CA"/>
        </w:rPr>
      </w:pPr>
    </w:p>
    <w:p w14:paraId="7EDD744C" w14:textId="77777777" w:rsidR="00FD1463" w:rsidRDefault="00881B84" w:rsidP="00881B84">
      <w:pPr>
        <w:pStyle w:val="AIBodyText"/>
        <w:rPr>
          <w:color w:val="auto"/>
          <w:lang w:val="en-CA"/>
        </w:rPr>
      </w:pPr>
      <w:r w:rsidRPr="00AA6144">
        <w:rPr>
          <w:color w:val="auto"/>
          <w:lang w:val="en-CA"/>
        </w:rPr>
        <w:t xml:space="preserve">In 1987, Canada’s </w:t>
      </w:r>
      <w:r w:rsidRPr="00AA6144">
        <w:rPr>
          <w:i/>
          <w:iCs/>
          <w:color w:val="auto"/>
          <w:lang w:val="en-CA"/>
        </w:rPr>
        <w:t>Criminal Code</w:t>
      </w:r>
      <w:r w:rsidRPr="00AA6144">
        <w:rPr>
          <w:color w:val="auto"/>
          <w:lang w:val="en-CA"/>
        </w:rPr>
        <w:t xml:space="preserve"> was amended to authorize the prosecution of war criminals, </w:t>
      </w:r>
      <w:proofErr w:type="gramStart"/>
      <w:r w:rsidRPr="00AA6144">
        <w:rPr>
          <w:color w:val="auto"/>
          <w:lang w:val="en-CA"/>
        </w:rPr>
        <w:t>including in particular, alleged</w:t>
      </w:r>
      <w:proofErr w:type="gramEnd"/>
      <w:r w:rsidRPr="00AA6144">
        <w:rPr>
          <w:color w:val="auto"/>
          <w:lang w:val="en-CA"/>
        </w:rPr>
        <w:t xml:space="preserve"> Nazi criminals.   Section 7(3.71) of the </w:t>
      </w:r>
      <w:r w:rsidRPr="00AA6144">
        <w:rPr>
          <w:i/>
          <w:color w:val="auto"/>
          <w:lang w:val="en-CA"/>
        </w:rPr>
        <w:t>Criminal Code</w:t>
      </w:r>
      <w:r w:rsidRPr="00AA6144">
        <w:rPr>
          <w:color w:val="auto"/>
          <w:lang w:val="en-CA"/>
        </w:rPr>
        <w:t xml:space="preserve"> conferred jurisdiction on Canadian courts to prosecute foreign acts amounting to war crimes or crimes against humanity according to Canadian criminal law in force at the time of their commission. </w:t>
      </w:r>
    </w:p>
    <w:p w14:paraId="4E998374" w14:textId="10C392D4" w:rsidR="00881B84" w:rsidRPr="00AA6144" w:rsidRDefault="00881B84" w:rsidP="00881B84">
      <w:pPr>
        <w:pStyle w:val="AIBodyText"/>
        <w:rPr>
          <w:color w:val="auto"/>
          <w:lang w:val="en-CA"/>
        </w:rPr>
      </w:pPr>
      <w:proofErr w:type="spellStart"/>
      <w:r w:rsidRPr="00AA6144">
        <w:rPr>
          <w:color w:val="auto"/>
          <w:lang w:val="en-CA"/>
        </w:rPr>
        <w:t>Imre</w:t>
      </w:r>
      <w:proofErr w:type="spellEnd"/>
      <w:r w:rsidRPr="00AA6144">
        <w:rPr>
          <w:color w:val="auto"/>
          <w:lang w:val="en-CA"/>
        </w:rPr>
        <w:t xml:space="preserve"> </w:t>
      </w:r>
      <w:proofErr w:type="spellStart"/>
      <w:r w:rsidRPr="00AA6144">
        <w:rPr>
          <w:color w:val="auto"/>
          <w:lang w:val="en-CA"/>
        </w:rPr>
        <w:t>Finta</w:t>
      </w:r>
      <w:proofErr w:type="spellEnd"/>
      <w:r w:rsidRPr="00AA6144">
        <w:rPr>
          <w:color w:val="auto"/>
          <w:lang w:val="en-CA"/>
        </w:rPr>
        <w:t xml:space="preserve"> was the first person prosecuted under this war crimes legislation</w:t>
      </w:r>
      <w:r w:rsidR="00FD1463">
        <w:rPr>
          <w:color w:val="auto"/>
          <w:lang w:val="en-CA"/>
        </w:rPr>
        <w:t xml:space="preserve">. </w:t>
      </w:r>
      <w:proofErr w:type="spellStart"/>
      <w:r w:rsidRPr="00AA6144">
        <w:rPr>
          <w:color w:val="auto"/>
          <w:lang w:val="en-CA"/>
        </w:rPr>
        <w:t>Finta</w:t>
      </w:r>
      <w:proofErr w:type="spellEnd"/>
      <w:r w:rsidRPr="00AA6144">
        <w:rPr>
          <w:color w:val="auto"/>
          <w:lang w:val="en-CA"/>
        </w:rPr>
        <w:t xml:space="preserve"> was a Hungarian-Canadian who was alleged to have been part of a Hungarian paramilitary force that was involved in committing war crimes and crimes against humanity during World War II.  He had immigrated to Canada in 1948 and became a Canadian citizen in 1956. In 1988, </w:t>
      </w:r>
      <w:proofErr w:type="spellStart"/>
      <w:r w:rsidRPr="00AA6144">
        <w:rPr>
          <w:color w:val="auto"/>
          <w:lang w:val="en-CA"/>
        </w:rPr>
        <w:t>Finta</w:t>
      </w:r>
      <w:proofErr w:type="spellEnd"/>
      <w:r w:rsidRPr="00AA6144">
        <w:rPr>
          <w:color w:val="auto"/>
          <w:lang w:val="en-CA"/>
        </w:rPr>
        <w:t xml:space="preserve"> was charged with unlawful confinement, robbery, </w:t>
      </w:r>
      <w:proofErr w:type="gramStart"/>
      <w:r w:rsidRPr="00AA6144">
        <w:rPr>
          <w:color w:val="auto"/>
          <w:lang w:val="en-CA"/>
        </w:rPr>
        <w:t>kidnapping</w:t>
      </w:r>
      <w:proofErr w:type="gramEnd"/>
      <w:r w:rsidRPr="00AA6144">
        <w:rPr>
          <w:color w:val="auto"/>
          <w:lang w:val="en-CA"/>
        </w:rPr>
        <w:t xml:space="preserve"> and manslaughter contrary to the </w:t>
      </w:r>
      <w:r w:rsidRPr="00AA6144">
        <w:rPr>
          <w:i/>
          <w:color w:val="auto"/>
          <w:lang w:val="en-CA"/>
        </w:rPr>
        <w:t>Criminal Code</w:t>
      </w:r>
      <w:r w:rsidRPr="00AA6144">
        <w:rPr>
          <w:color w:val="auto"/>
          <w:lang w:val="en-CA"/>
        </w:rPr>
        <w:t xml:space="preserve"> in relation to his alleged activities as a police officer assisting the Nazis in the forced deportation </w:t>
      </w:r>
      <w:r w:rsidR="009D44FE" w:rsidRPr="00AA6144">
        <w:rPr>
          <w:color w:val="auto"/>
          <w:lang w:val="en-CA"/>
        </w:rPr>
        <w:t xml:space="preserve">of </w:t>
      </w:r>
      <w:r w:rsidRPr="00AA6144">
        <w:rPr>
          <w:color w:val="auto"/>
          <w:lang w:val="en-CA"/>
        </w:rPr>
        <w:t xml:space="preserve">Jews during the Holocaust. The charges alleged that each of these offenses constituted a war crime and/or a crime against humanity </w:t>
      </w:r>
      <w:r w:rsidR="002D15BB" w:rsidRPr="00AA6144">
        <w:rPr>
          <w:color w:val="auto"/>
          <w:lang w:val="en-CA"/>
        </w:rPr>
        <w:t xml:space="preserve">according to sections </w:t>
      </w:r>
      <w:r w:rsidRPr="00AA6144">
        <w:rPr>
          <w:color w:val="auto"/>
          <w:lang w:val="en-CA"/>
        </w:rPr>
        <w:t>7(3.71)</w:t>
      </w:r>
      <w:r w:rsidR="00D65AC5" w:rsidRPr="00AA6144">
        <w:rPr>
          <w:color w:val="auto"/>
          <w:lang w:val="en-CA"/>
        </w:rPr>
        <w:t xml:space="preserve"> </w:t>
      </w:r>
      <w:r w:rsidRPr="00AA6144">
        <w:rPr>
          <w:color w:val="auto"/>
          <w:lang w:val="en-CA"/>
        </w:rPr>
        <w:t>-</w:t>
      </w:r>
      <w:r w:rsidR="00D65AC5" w:rsidRPr="00AA6144">
        <w:rPr>
          <w:color w:val="auto"/>
          <w:lang w:val="en-CA"/>
        </w:rPr>
        <w:t xml:space="preserve"> 7</w:t>
      </w:r>
      <w:r w:rsidRPr="00AA6144">
        <w:rPr>
          <w:color w:val="auto"/>
          <w:lang w:val="en-CA"/>
        </w:rPr>
        <w:t xml:space="preserve">(3.76) of the amended </w:t>
      </w:r>
      <w:r w:rsidRPr="00AA6144">
        <w:rPr>
          <w:i/>
          <w:color w:val="auto"/>
          <w:lang w:val="en-CA"/>
        </w:rPr>
        <w:t>Criminal Code</w:t>
      </w:r>
      <w:r w:rsidRPr="00AA6144">
        <w:rPr>
          <w:color w:val="auto"/>
          <w:lang w:val="en-CA"/>
        </w:rPr>
        <w:t xml:space="preserve">. </w:t>
      </w:r>
    </w:p>
    <w:p w14:paraId="7254D4A0" w14:textId="77777777" w:rsidR="00881B84" w:rsidRPr="00AA6144" w:rsidRDefault="00881B84" w:rsidP="00881B84">
      <w:pPr>
        <w:pStyle w:val="AIBodyText"/>
        <w:rPr>
          <w:color w:val="auto"/>
          <w:lang w:val="en-CA"/>
        </w:rPr>
      </w:pPr>
      <w:proofErr w:type="spellStart"/>
      <w:r w:rsidRPr="00AA6144">
        <w:rPr>
          <w:color w:val="auto"/>
          <w:lang w:val="en-CA"/>
        </w:rPr>
        <w:t>Finta’s</w:t>
      </w:r>
      <w:proofErr w:type="spellEnd"/>
      <w:r w:rsidRPr="00AA6144">
        <w:rPr>
          <w:color w:val="auto"/>
          <w:lang w:val="en-CA"/>
        </w:rPr>
        <w:t xml:space="preserve"> acquittal by the lower courts was upheld by the majority of a divided Supreme Court of Canada.  The significance of this decision was that the Supreme Court recognized the constitutionality of the impugned war crimes provisions of the </w:t>
      </w:r>
      <w:r w:rsidRPr="00AA6144">
        <w:rPr>
          <w:i/>
          <w:color w:val="auto"/>
          <w:lang w:val="en-CA"/>
        </w:rPr>
        <w:t>Criminal Code</w:t>
      </w:r>
      <w:r w:rsidRPr="00AA6144">
        <w:rPr>
          <w:color w:val="auto"/>
          <w:lang w:val="en-CA"/>
        </w:rPr>
        <w:t xml:space="preserve">, but also established a highly subjective standard of proof for the prosecution of war crimes and crimes against humanity that would make it more or less impossible for prosecutions of this nature to occur in Canada over the subsequent years.  </w:t>
      </w:r>
    </w:p>
    <w:p w14:paraId="3B6DF603" w14:textId="77777777" w:rsidR="00881B84" w:rsidRPr="00AA6144" w:rsidRDefault="00881B84" w:rsidP="00881B84">
      <w:pPr>
        <w:pStyle w:val="AIBodyText"/>
        <w:rPr>
          <w:color w:val="auto"/>
          <w:lang w:val="en-CA"/>
        </w:rPr>
      </w:pPr>
      <w:r w:rsidRPr="00AA6144">
        <w:rPr>
          <w:color w:val="auto"/>
          <w:lang w:val="en-CA"/>
        </w:rPr>
        <w:t xml:space="preserve">The Court found that the prosecution had to prove subjective intent on the part of the accused </w:t>
      </w:r>
      <w:r w:rsidR="0003607E" w:rsidRPr="00AA6144">
        <w:rPr>
          <w:color w:val="auto"/>
          <w:lang w:val="en-CA"/>
        </w:rPr>
        <w:t xml:space="preserve">to commit </w:t>
      </w:r>
      <w:r w:rsidRPr="00AA6144">
        <w:rPr>
          <w:color w:val="auto"/>
          <w:lang w:val="en-CA"/>
        </w:rPr>
        <w:t>war crimes and crimes against humanity</w:t>
      </w:r>
      <w:r w:rsidR="0003607E" w:rsidRPr="00AA6144">
        <w:rPr>
          <w:color w:val="auto"/>
          <w:lang w:val="en-CA"/>
        </w:rPr>
        <w:t>. Subjective intent meant</w:t>
      </w:r>
      <w:r w:rsidR="001D6A91" w:rsidRPr="00AA6144">
        <w:rPr>
          <w:color w:val="auto"/>
          <w:lang w:val="en-CA"/>
        </w:rPr>
        <w:t xml:space="preserve"> </w:t>
      </w:r>
      <w:r w:rsidRPr="00AA6144">
        <w:rPr>
          <w:color w:val="auto"/>
          <w:lang w:val="en-CA"/>
        </w:rPr>
        <w:t xml:space="preserve">that the perpetrator was aware of facts or circumstances, which would bring the acts with the definition of a crime against humanity or a war crime.  For </w:t>
      </w:r>
      <w:r w:rsidR="005F3E8F" w:rsidRPr="00AA6144">
        <w:rPr>
          <w:color w:val="auto"/>
          <w:lang w:val="en-CA"/>
        </w:rPr>
        <w:t>war crimes</w:t>
      </w:r>
      <w:r w:rsidRPr="00AA6144">
        <w:rPr>
          <w:color w:val="auto"/>
          <w:lang w:val="en-CA"/>
        </w:rPr>
        <w:t xml:space="preserve">, the accused would have to have known that their actions, even in a state of war, would “shock the conscience of all </w:t>
      </w:r>
      <w:proofErr w:type="gramStart"/>
      <w:r w:rsidRPr="00AA6144">
        <w:rPr>
          <w:color w:val="auto"/>
          <w:lang w:val="en-CA"/>
        </w:rPr>
        <w:t>right thinking</w:t>
      </w:r>
      <w:proofErr w:type="gramEnd"/>
      <w:r w:rsidRPr="00AA6144">
        <w:rPr>
          <w:color w:val="auto"/>
          <w:lang w:val="en-CA"/>
        </w:rPr>
        <w:t xml:space="preserve"> people.” Since this decision, the international criminal law jurisprudence has of course confirmed that there is no general requirement to show this subjective </w:t>
      </w:r>
      <w:proofErr w:type="spellStart"/>
      <w:r w:rsidR="00AE16A0" w:rsidRPr="00AA6144">
        <w:rPr>
          <w:i/>
          <w:color w:val="auto"/>
          <w:lang w:val="en-CA"/>
        </w:rPr>
        <w:t>mens</w:t>
      </w:r>
      <w:proofErr w:type="spellEnd"/>
      <w:r w:rsidR="00AE16A0" w:rsidRPr="00AA6144">
        <w:rPr>
          <w:i/>
          <w:color w:val="auto"/>
          <w:lang w:val="en-CA"/>
        </w:rPr>
        <w:t xml:space="preserve"> rea</w:t>
      </w:r>
      <w:r w:rsidRPr="00AA6144">
        <w:rPr>
          <w:color w:val="auto"/>
          <w:lang w:val="en-CA"/>
        </w:rPr>
        <w:t xml:space="preserve"> </w:t>
      </w:r>
      <w:r w:rsidR="00935306" w:rsidRPr="00AA6144">
        <w:rPr>
          <w:color w:val="auto"/>
          <w:lang w:val="en-CA"/>
        </w:rPr>
        <w:t xml:space="preserve">as the Court found </w:t>
      </w:r>
      <w:r w:rsidRPr="00AA6144">
        <w:rPr>
          <w:color w:val="auto"/>
          <w:lang w:val="en-CA"/>
        </w:rPr>
        <w:t xml:space="preserve">in </w:t>
      </w:r>
      <w:proofErr w:type="spellStart"/>
      <w:r w:rsidRPr="00AA6144">
        <w:rPr>
          <w:i/>
          <w:color w:val="auto"/>
          <w:lang w:val="en-CA"/>
        </w:rPr>
        <w:t>Finta</w:t>
      </w:r>
      <w:proofErr w:type="spellEnd"/>
      <w:r w:rsidR="00935306" w:rsidRPr="00AA6144">
        <w:rPr>
          <w:color w:val="auto"/>
          <w:lang w:val="en-CA"/>
        </w:rPr>
        <w:t xml:space="preserve">, </w:t>
      </w:r>
      <w:r w:rsidRPr="00AA6144">
        <w:rPr>
          <w:color w:val="auto"/>
          <w:lang w:val="en-CA"/>
        </w:rPr>
        <w:t xml:space="preserve">for a person accused of </w:t>
      </w:r>
      <w:r w:rsidR="00475A37" w:rsidRPr="00AA6144">
        <w:rPr>
          <w:color w:val="auto"/>
          <w:lang w:val="en-CA"/>
        </w:rPr>
        <w:t>crimes under international law</w:t>
      </w:r>
      <w:r w:rsidRPr="00AA6144">
        <w:rPr>
          <w:color w:val="auto"/>
          <w:lang w:val="en-CA"/>
        </w:rPr>
        <w:t xml:space="preserve"> (with the exception of the crime of persecution).</w:t>
      </w:r>
      <w:r w:rsidRPr="00AA6144">
        <w:rPr>
          <w:rStyle w:val="FootnoteReference"/>
          <w:color w:val="auto"/>
          <w:lang w:val="en-CA"/>
        </w:rPr>
        <w:footnoteReference w:id="717"/>
      </w:r>
      <w:r w:rsidRPr="00AA6144">
        <w:rPr>
          <w:color w:val="auto"/>
          <w:lang w:val="en-CA"/>
        </w:rPr>
        <w:t xml:space="preserve"> </w:t>
      </w:r>
    </w:p>
    <w:p w14:paraId="04839C8C" w14:textId="11434CDC" w:rsidR="00881B84" w:rsidRPr="00AA6144" w:rsidRDefault="00881B84" w:rsidP="00881B84">
      <w:pPr>
        <w:pStyle w:val="AIBodyText"/>
        <w:rPr>
          <w:color w:val="auto"/>
          <w:lang w:val="en-CA"/>
        </w:rPr>
      </w:pPr>
      <w:proofErr w:type="gramStart"/>
      <w:r w:rsidRPr="00AA6144">
        <w:rPr>
          <w:color w:val="auto"/>
          <w:lang w:val="en-CA"/>
        </w:rPr>
        <w:t>Also</w:t>
      </w:r>
      <w:proofErr w:type="gramEnd"/>
      <w:r w:rsidRPr="00AA6144">
        <w:rPr>
          <w:color w:val="auto"/>
          <w:lang w:val="en-CA"/>
        </w:rPr>
        <w:t xml:space="preserve"> of significance was the Court’s finding that the defence</w:t>
      </w:r>
      <w:r w:rsidR="00AD37C5" w:rsidRPr="00AA6144">
        <w:rPr>
          <w:color w:val="auto"/>
          <w:lang w:val="en-CA"/>
        </w:rPr>
        <w:t xml:space="preserve"> of superior orders</w:t>
      </w:r>
      <w:r w:rsidRPr="00AA6144">
        <w:rPr>
          <w:color w:val="auto"/>
          <w:lang w:val="en-CA"/>
        </w:rPr>
        <w:t xml:space="preserve"> was available in prosecutions for war crimes and crimes against humanity. The Court found that since </w:t>
      </w:r>
      <w:proofErr w:type="spellStart"/>
      <w:r w:rsidRPr="00AA6144">
        <w:rPr>
          <w:color w:val="auto"/>
          <w:lang w:val="en-CA"/>
        </w:rPr>
        <w:t>Finta</w:t>
      </w:r>
      <w:proofErr w:type="spellEnd"/>
      <w:r w:rsidRPr="00AA6144">
        <w:rPr>
          <w:color w:val="auto"/>
          <w:lang w:val="en-CA"/>
        </w:rPr>
        <w:t xml:space="preserve"> was merely following orders he should not be entirely responsible for his actions.  The Court held that this defence would be available where the accused had no “moral choice” as to whether to follow the orders and </w:t>
      </w:r>
      <w:r w:rsidR="00157B09" w:rsidRPr="00AA6144">
        <w:rPr>
          <w:color w:val="auto"/>
          <w:lang w:val="en-CA"/>
        </w:rPr>
        <w:t xml:space="preserve">that </w:t>
      </w:r>
      <w:r w:rsidRPr="00AA6144">
        <w:rPr>
          <w:color w:val="auto"/>
          <w:lang w:val="en-CA"/>
        </w:rPr>
        <w:t>there can be no moral choice where there was “such an air of compulsion and threat to the accused that he or she had no alternative but to obey the orders”.</w:t>
      </w:r>
      <w:r w:rsidRPr="00AA6144">
        <w:rPr>
          <w:rStyle w:val="FootnoteReference"/>
          <w:color w:val="auto"/>
          <w:lang w:val="en-CA"/>
        </w:rPr>
        <w:footnoteReference w:id="718"/>
      </w:r>
      <w:r w:rsidRPr="00AA6144">
        <w:rPr>
          <w:color w:val="auto"/>
          <w:lang w:val="en-CA"/>
        </w:rPr>
        <w:t xml:space="preserve">  Since this decision, international humanitarian law has </w:t>
      </w:r>
      <w:r w:rsidR="00792C3A">
        <w:rPr>
          <w:color w:val="auto"/>
          <w:lang w:val="en-CA"/>
        </w:rPr>
        <w:t>evolved</w:t>
      </w:r>
      <w:r w:rsidRPr="00AA6144">
        <w:rPr>
          <w:color w:val="auto"/>
          <w:lang w:val="en-CA"/>
        </w:rPr>
        <w:t xml:space="preserve"> substantially </w:t>
      </w:r>
      <w:r w:rsidR="00AD37C5" w:rsidRPr="00AA6144">
        <w:rPr>
          <w:color w:val="auto"/>
          <w:lang w:val="en-CA"/>
        </w:rPr>
        <w:t xml:space="preserve">such that </w:t>
      </w:r>
      <w:r w:rsidRPr="00AA6144">
        <w:rPr>
          <w:color w:val="auto"/>
          <w:lang w:val="en-CA"/>
        </w:rPr>
        <w:t xml:space="preserve">this defence can no longer shield an individual from accountability. The international </w:t>
      </w:r>
      <w:r w:rsidRPr="00AA6144">
        <w:rPr>
          <w:i/>
          <w:color w:val="auto"/>
          <w:lang w:val="en-CA"/>
        </w:rPr>
        <w:t>ad hoc</w:t>
      </w:r>
      <w:r w:rsidRPr="00AA6144">
        <w:rPr>
          <w:color w:val="auto"/>
          <w:lang w:val="en-CA"/>
        </w:rPr>
        <w:t xml:space="preserve"> tribunals and the International Criminal Court have clearly set out individual criminal responsibility for one’s actions during armed conflict. </w:t>
      </w:r>
    </w:p>
    <w:p w14:paraId="481956F7" w14:textId="5DE84440" w:rsidR="00881B84" w:rsidRPr="00AA6144" w:rsidRDefault="00881B84" w:rsidP="00881B84">
      <w:pPr>
        <w:pStyle w:val="AIBodyText"/>
        <w:rPr>
          <w:color w:val="auto"/>
          <w:lang w:val="en-CA"/>
        </w:rPr>
      </w:pPr>
      <w:r w:rsidRPr="00AA6144">
        <w:rPr>
          <w:color w:val="auto"/>
          <w:lang w:val="en-CA"/>
        </w:rPr>
        <w:t xml:space="preserve">The decision by the Supreme Court of Canada in </w:t>
      </w:r>
      <w:proofErr w:type="spellStart"/>
      <w:r w:rsidRPr="00AA6144">
        <w:rPr>
          <w:i/>
          <w:color w:val="auto"/>
          <w:lang w:val="en-CA"/>
        </w:rPr>
        <w:t>Finta</w:t>
      </w:r>
      <w:proofErr w:type="spellEnd"/>
      <w:r w:rsidRPr="00AA6144">
        <w:rPr>
          <w:color w:val="auto"/>
          <w:lang w:val="en-CA"/>
        </w:rPr>
        <w:t xml:space="preserve"> essentially ended prosecutions under Canada’s war crimes legislation. The failure to convict </w:t>
      </w:r>
      <w:proofErr w:type="spellStart"/>
      <w:r w:rsidRPr="00AA6144">
        <w:rPr>
          <w:color w:val="auto"/>
          <w:lang w:val="en-CA"/>
        </w:rPr>
        <w:t>Finta</w:t>
      </w:r>
      <w:proofErr w:type="spellEnd"/>
      <w:r w:rsidRPr="00AA6144">
        <w:rPr>
          <w:color w:val="auto"/>
          <w:lang w:val="en-CA"/>
        </w:rPr>
        <w:t xml:space="preserve"> likely led to the government’s subsequent reliance on immigration law and deportation proceedings to remove alleged war criminals from Canada rather than</w:t>
      </w:r>
      <w:r w:rsidR="00E64FE6" w:rsidRPr="00AA6144">
        <w:rPr>
          <w:color w:val="auto"/>
          <w:lang w:val="en-CA"/>
        </w:rPr>
        <w:t xml:space="preserve"> resort</w:t>
      </w:r>
      <w:r w:rsidRPr="00AA6144">
        <w:rPr>
          <w:color w:val="auto"/>
          <w:lang w:val="en-CA"/>
        </w:rPr>
        <w:t xml:space="preserve"> to prosecuting them for their crimes in Canada. In the years following </w:t>
      </w:r>
      <w:proofErr w:type="spellStart"/>
      <w:r w:rsidRPr="00AA6144">
        <w:rPr>
          <w:i/>
          <w:color w:val="auto"/>
          <w:lang w:val="en-CA"/>
        </w:rPr>
        <w:t>Finta</w:t>
      </w:r>
      <w:proofErr w:type="spellEnd"/>
      <w:r w:rsidRPr="00AA6144">
        <w:rPr>
          <w:color w:val="auto"/>
          <w:lang w:val="en-CA"/>
        </w:rPr>
        <w:t xml:space="preserve"> and until the adoption of the </w:t>
      </w:r>
      <w:r w:rsidRPr="00AA6144">
        <w:rPr>
          <w:i/>
          <w:color w:val="auto"/>
          <w:lang w:val="en-CA"/>
        </w:rPr>
        <w:t xml:space="preserve">War Crimes and Crimes Against Humanity Act </w:t>
      </w:r>
      <w:r w:rsidRPr="00AA6144">
        <w:rPr>
          <w:color w:val="auto"/>
          <w:lang w:val="en-CA"/>
        </w:rPr>
        <w:t>in 2000, alleged war criminals were dealt with administratively, either by stripping them of their Canadian citizenship or deporting them to the country in which the alleged crime occurred</w:t>
      </w:r>
      <w:r w:rsidR="00AD37C5" w:rsidRPr="00AA6144">
        <w:rPr>
          <w:color w:val="auto"/>
          <w:lang w:val="en-CA"/>
        </w:rPr>
        <w:t xml:space="preserve"> or the country of nationality</w:t>
      </w:r>
      <w:r w:rsidRPr="00AA6144">
        <w:rPr>
          <w:color w:val="auto"/>
          <w:lang w:val="en-CA"/>
        </w:rPr>
        <w:t xml:space="preserve">. </w:t>
      </w:r>
    </w:p>
    <w:p w14:paraId="0F2A0CBD" w14:textId="77777777" w:rsidR="00881B84" w:rsidRPr="00AA6144" w:rsidRDefault="00881B84" w:rsidP="00881B84">
      <w:pPr>
        <w:pStyle w:val="Heading2"/>
        <w:numPr>
          <w:ilvl w:val="0"/>
          <w:numId w:val="0"/>
        </w:numPr>
        <w:rPr>
          <w:caps/>
          <w:color w:val="auto"/>
          <w:lang w:val="en-CA"/>
        </w:rPr>
      </w:pPr>
      <w:bookmarkStart w:id="322" w:name="_Toc43382812"/>
      <w:r w:rsidRPr="00AA6144">
        <w:rPr>
          <w:caps/>
          <w:color w:val="auto"/>
          <w:lang w:val="en-CA"/>
        </w:rPr>
        <w:t xml:space="preserve">9.3 </w:t>
      </w:r>
      <w:r w:rsidR="00092DFC" w:rsidRPr="00AA6144">
        <w:rPr>
          <w:caps/>
          <w:color w:val="auto"/>
          <w:lang w:val="en-CA"/>
        </w:rPr>
        <w:t>Cases prosecuted after the adoption of the War Crimes and Crimes Against Humanity act</w:t>
      </w:r>
      <w:bookmarkEnd w:id="322"/>
    </w:p>
    <w:p w14:paraId="5B375B51" w14:textId="77777777" w:rsidR="00881B84" w:rsidRPr="00AA6144" w:rsidRDefault="00881B84" w:rsidP="00936E71">
      <w:pPr>
        <w:pStyle w:val="AIBodyText"/>
        <w:spacing w:after="0"/>
        <w:rPr>
          <w:b/>
          <w:caps/>
          <w:color w:val="auto"/>
          <w:lang w:val="en-CA"/>
        </w:rPr>
      </w:pPr>
    </w:p>
    <w:p w14:paraId="75B71627" w14:textId="77777777" w:rsidR="00881B84" w:rsidRPr="00AA6144" w:rsidRDefault="00092DFC" w:rsidP="00936E71">
      <w:pPr>
        <w:pStyle w:val="Heading3"/>
        <w:rPr>
          <w:lang w:val="en-CA"/>
        </w:rPr>
      </w:pPr>
      <w:bookmarkStart w:id="323" w:name="_Toc43382813"/>
      <w:r w:rsidRPr="00AA6144">
        <w:rPr>
          <w:lang w:val="en-CA"/>
        </w:rPr>
        <w:t>9.3.1 R v. M</w:t>
      </w:r>
      <w:r w:rsidR="00881B84" w:rsidRPr="00AA6144">
        <w:rPr>
          <w:lang w:val="en-CA"/>
        </w:rPr>
        <w:t>unyaneza</w:t>
      </w:r>
      <w:r w:rsidR="00881B84" w:rsidRPr="00AA6144">
        <w:rPr>
          <w:i/>
          <w:vertAlign w:val="superscript"/>
          <w:lang w:val="en-CA"/>
        </w:rPr>
        <w:footnoteReference w:id="719"/>
      </w:r>
      <w:bookmarkEnd w:id="323"/>
    </w:p>
    <w:p w14:paraId="0BD9CD4F" w14:textId="77777777" w:rsidR="00936E71" w:rsidRPr="00AA6144" w:rsidRDefault="00936E71" w:rsidP="00936E71">
      <w:pPr>
        <w:spacing w:after="0"/>
        <w:rPr>
          <w:lang w:val="en-CA"/>
        </w:rPr>
      </w:pPr>
    </w:p>
    <w:p w14:paraId="3DA5FBFB" w14:textId="77777777" w:rsidR="00881B84" w:rsidRPr="00AA6144" w:rsidRDefault="00881B84" w:rsidP="00881B84">
      <w:pPr>
        <w:pStyle w:val="AIBodyText"/>
        <w:rPr>
          <w:color w:val="auto"/>
          <w:lang w:val="en-CA"/>
        </w:rPr>
      </w:pPr>
      <w:proofErr w:type="spellStart"/>
      <w:r w:rsidRPr="00AA6144">
        <w:rPr>
          <w:color w:val="auto"/>
          <w:lang w:val="en-CA"/>
        </w:rPr>
        <w:t>Desiré</w:t>
      </w:r>
      <w:proofErr w:type="spellEnd"/>
      <w:r w:rsidRPr="00AA6144">
        <w:rPr>
          <w:color w:val="auto"/>
          <w:lang w:val="en-CA"/>
        </w:rPr>
        <w:t xml:space="preserve"> </w:t>
      </w:r>
      <w:proofErr w:type="spellStart"/>
      <w:r w:rsidRPr="00AA6144">
        <w:rPr>
          <w:color w:val="auto"/>
          <w:lang w:val="en-CA"/>
        </w:rPr>
        <w:t>Munyaneza</w:t>
      </w:r>
      <w:proofErr w:type="spellEnd"/>
      <w:r w:rsidRPr="00AA6144">
        <w:rPr>
          <w:color w:val="auto"/>
          <w:lang w:val="en-CA"/>
        </w:rPr>
        <w:t xml:space="preserve">, a Rwandan national resident in Canada, helped organize and perpetrate the mass-murder of Tutsis in the </w:t>
      </w:r>
      <w:proofErr w:type="spellStart"/>
      <w:r w:rsidRPr="00AA6144">
        <w:rPr>
          <w:color w:val="auto"/>
          <w:lang w:val="en-CA"/>
        </w:rPr>
        <w:t>Butare</w:t>
      </w:r>
      <w:proofErr w:type="spellEnd"/>
      <w:r w:rsidRPr="00AA6144">
        <w:rPr>
          <w:color w:val="auto"/>
          <w:lang w:val="en-CA"/>
        </w:rPr>
        <w:t xml:space="preserve"> area</w:t>
      </w:r>
      <w:r w:rsidR="00E64FE6" w:rsidRPr="00AA6144">
        <w:rPr>
          <w:color w:val="auto"/>
          <w:lang w:val="en-CA"/>
        </w:rPr>
        <w:t xml:space="preserve"> during the Rwandan genocide of 1994</w:t>
      </w:r>
      <w:r w:rsidRPr="00AA6144">
        <w:rPr>
          <w:color w:val="auto"/>
          <w:lang w:val="en-CA"/>
        </w:rPr>
        <w:t xml:space="preserve">.  </w:t>
      </w:r>
      <w:proofErr w:type="spellStart"/>
      <w:r w:rsidRPr="00AA6144">
        <w:rPr>
          <w:color w:val="auto"/>
          <w:lang w:val="en-CA"/>
        </w:rPr>
        <w:t>Munyaneza</w:t>
      </w:r>
      <w:proofErr w:type="spellEnd"/>
      <w:r w:rsidRPr="00AA6144">
        <w:rPr>
          <w:color w:val="auto"/>
          <w:lang w:val="en-CA"/>
        </w:rPr>
        <w:t xml:space="preserve"> was the first person to be arrested in Canada on charges of war crimes and crimes against humanity for his alleged role in the Rwandan genocide. The </w:t>
      </w:r>
      <w:proofErr w:type="spellStart"/>
      <w:r w:rsidRPr="00AA6144">
        <w:rPr>
          <w:i/>
          <w:color w:val="auto"/>
          <w:lang w:val="en-CA"/>
        </w:rPr>
        <w:t>Munyaneza</w:t>
      </w:r>
      <w:proofErr w:type="spellEnd"/>
      <w:r w:rsidRPr="00AA6144">
        <w:rPr>
          <w:i/>
          <w:color w:val="auto"/>
          <w:lang w:val="en-CA"/>
        </w:rPr>
        <w:t xml:space="preserve"> </w:t>
      </w:r>
      <w:r w:rsidRPr="00AA6144">
        <w:rPr>
          <w:color w:val="auto"/>
          <w:lang w:val="en-CA"/>
        </w:rPr>
        <w:t>case was the first prosecution under</w:t>
      </w:r>
      <w:r w:rsidR="00DD42A7" w:rsidRPr="00AA6144">
        <w:rPr>
          <w:color w:val="auto"/>
          <w:lang w:val="en-CA"/>
        </w:rPr>
        <w:t xml:space="preserve"> </w:t>
      </w:r>
      <w:r w:rsidRPr="00AA6144">
        <w:rPr>
          <w:i/>
          <w:color w:val="auto"/>
          <w:lang w:val="en-CA"/>
        </w:rPr>
        <w:t>CAHWCA</w:t>
      </w:r>
      <w:r w:rsidRPr="00AA6144">
        <w:rPr>
          <w:color w:val="auto"/>
          <w:lang w:val="en-CA"/>
        </w:rPr>
        <w:t xml:space="preserve"> and the </w:t>
      </w:r>
      <w:r w:rsidR="00BE212D" w:rsidRPr="00AA6144">
        <w:rPr>
          <w:color w:val="auto"/>
          <w:lang w:val="en-CA"/>
        </w:rPr>
        <w:t xml:space="preserve">first </w:t>
      </w:r>
      <w:r w:rsidRPr="00AA6144">
        <w:rPr>
          <w:color w:val="auto"/>
          <w:lang w:val="en-CA"/>
        </w:rPr>
        <w:t>attempt</w:t>
      </w:r>
      <w:r w:rsidR="00E60E53" w:rsidRPr="00AA6144">
        <w:rPr>
          <w:color w:val="auto"/>
          <w:lang w:val="en-CA"/>
        </w:rPr>
        <w:t xml:space="preserve"> in Canada (</w:t>
      </w:r>
      <w:r w:rsidRPr="00AA6144">
        <w:rPr>
          <w:color w:val="auto"/>
          <w:lang w:val="en-CA"/>
        </w:rPr>
        <w:t xml:space="preserve">after </w:t>
      </w:r>
      <w:proofErr w:type="spellStart"/>
      <w:r w:rsidRPr="00AA6144">
        <w:rPr>
          <w:i/>
          <w:color w:val="auto"/>
          <w:lang w:val="en-CA"/>
        </w:rPr>
        <w:t>Finta</w:t>
      </w:r>
      <w:proofErr w:type="spellEnd"/>
      <w:r w:rsidR="00E60E53" w:rsidRPr="00AA6144">
        <w:rPr>
          <w:color w:val="auto"/>
          <w:lang w:val="en-CA"/>
        </w:rPr>
        <w:t xml:space="preserve">) </w:t>
      </w:r>
      <w:r w:rsidRPr="00AA6144">
        <w:rPr>
          <w:color w:val="auto"/>
          <w:lang w:val="en-CA"/>
        </w:rPr>
        <w:t>to prosecute someone for crimes against humanity committed abroad during armed conflict.</w:t>
      </w:r>
    </w:p>
    <w:p w14:paraId="23C0B370" w14:textId="77777777" w:rsidR="00881B84" w:rsidRPr="00AA6144" w:rsidRDefault="00881B84" w:rsidP="00881B84">
      <w:pPr>
        <w:pStyle w:val="AIBodyText"/>
        <w:rPr>
          <w:color w:val="auto"/>
          <w:lang w:val="en-CA"/>
        </w:rPr>
      </w:pPr>
      <w:proofErr w:type="spellStart"/>
      <w:r w:rsidRPr="00AA6144">
        <w:rPr>
          <w:color w:val="auto"/>
          <w:lang w:val="en-CA"/>
        </w:rPr>
        <w:t>Munyaneza</w:t>
      </w:r>
      <w:proofErr w:type="spellEnd"/>
      <w:r w:rsidRPr="00AA6144">
        <w:rPr>
          <w:color w:val="auto"/>
          <w:lang w:val="en-CA"/>
        </w:rPr>
        <w:t xml:space="preserve"> moved to Canada in 1997 and sought refugee status but his request was denied because of his suspected involvement in the genocide.  In October 2005, he was indicted on seven counts related to genocide (murder, causing physical and mental harm), crimes against humanity (murder, sexual violence) and war crimes (murder, sexual violence, pillage). Among other atrocities, </w:t>
      </w:r>
      <w:proofErr w:type="spellStart"/>
      <w:r w:rsidRPr="00AA6144">
        <w:rPr>
          <w:color w:val="auto"/>
          <w:lang w:val="en-CA"/>
        </w:rPr>
        <w:t>Munyaneza</w:t>
      </w:r>
      <w:proofErr w:type="spellEnd"/>
      <w:r w:rsidRPr="00AA6144">
        <w:rPr>
          <w:color w:val="auto"/>
          <w:lang w:val="en-CA"/>
        </w:rPr>
        <w:t xml:space="preserve"> </w:t>
      </w:r>
      <w:r w:rsidR="0068399A" w:rsidRPr="00AA6144">
        <w:rPr>
          <w:color w:val="auto"/>
          <w:lang w:val="en-CA"/>
        </w:rPr>
        <w:t xml:space="preserve">was </w:t>
      </w:r>
      <w:r w:rsidRPr="00AA6144">
        <w:rPr>
          <w:color w:val="auto"/>
          <w:lang w:val="en-CA"/>
        </w:rPr>
        <w:t>alleged to have participated in a mass slaughter of as many as 500 Tutsis seeking shelter in a church and having played a significant role in</w:t>
      </w:r>
      <w:r w:rsidR="00C54B74" w:rsidRPr="00AA6144">
        <w:rPr>
          <w:color w:val="auto"/>
          <w:lang w:val="en-CA"/>
        </w:rPr>
        <w:t xml:space="preserve"> committing</w:t>
      </w:r>
      <w:r w:rsidRPr="00AA6144">
        <w:rPr>
          <w:color w:val="auto"/>
          <w:lang w:val="en-CA"/>
        </w:rPr>
        <w:t xml:space="preserve"> rape and sexual violence, having personally raped many women and girls and encouraged militia under his command to do the same.</w:t>
      </w:r>
    </w:p>
    <w:p w14:paraId="32B08EB4" w14:textId="20B252B0" w:rsidR="00881B84" w:rsidRPr="00AA6144" w:rsidRDefault="00881B84" w:rsidP="00881B84">
      <w:pPr>
        <w:pStyle w:val="AIBodyText"/>
        <w:rPr>
          <w:color w:val="auto"/>
          <w:lang w:val="en-CA"/>
        </w:rPr>
      </w:pPr>
      <w:r w:rsidRPr="00AA6144">
        <w:rPr>
          <w:color w:val="auto"/>
          <w:lang w:val="en-CA"/>
        </w:rPr>
        <w:t xml:space="preserve">Justice Denis of the Quebec Superior Court found </w:t>
      </w:r>
      <w:proofErr w:type="spellStart"/>
      <w:r w:rsidRPr="00AA6144">
        <w:rPr>
          <w:color w:val="auto"/>
          <w:lang w:val="en-CA"/>
        </w:rPr>
        <w:t>Munyaneza</w:t>
      </w:r>
      <w:proofErr w:type="spellEnd"/>
      <w:r w:rsidRPr="00AA6144">
        <w:rPr>
          <w:color w:val="auto"/>
          <w:lang w:val="en-CA"/>
        </w:rPr>
        <w:t xml:space="preserve"> guilty of seven counts of genocide, crimes against humanity and war crimes. He was sentenced to the maximum penalty available under Canadian law: life imprisonment with no chance of parole for 25 years.  The lengthy judgement focuses primarily on the evidence substantiating the indictment with the </w:t>
      </w:r>
      <w:r w:rsidR="000E4F20" w:rsidRPr="00AA6144">
        <w:rPr>
          <w:color w:val="auto"/>
          <w:lang w:val="en-CA"/>
        </w:rPr>
        <w:t>j</w:t>
      </w:r>
      <w:r w:rsidRPr="00AA6144">
        <w:rPr>
          <w:color w:val="auto"/>
          <w:lang w:val="en-CA"/>
        </w:rPr>
        <w:t xml:space="preserve">udge carefully summarizing and weighing the credibility of the 66 testimonies heard over the course of the trial. In terms of legal analysis, Justice Denis relied on customary international law, international treaties, including the </w:t>
      </w:r>
      <w:r w:rsidR="005C5FF0" w:rsidRPr="00AA6144">
        <w:rPr>
          <w:i/>
          <w:color w:val="auto"/>
          <w:lang w:val="en-CA"/>
        </w:rPr>
        <w:t>Rome Statute</w:t>
      </w:r>
      <w:r w:rsidRPr="00AA6144">
        <w:rPr>
          <w:color w:val="auto"/>
          <w:lang w:val="en-CA"/>
        </w:rPr>
        <w:t xml:space="preserve">, and the jurisprudence of the ad hoc tribunals to reach his findings on the status of international criminal law at the time of </w:t>
      </w:r>
      <w:proofErr w:type="spellStart"/>
      <w:r w:rsidRPr="00AA6144">
        <w:rPr>
          <w:color w:val="auto"/>
          <w:lang w:val="en-CA"/>
        </w:rPr>
        <w:t>Munyaneza’s</w:t>
      </w:r>
      <w:proofErr w:type="spellEnd"/>
      <w:r w:rsidRPr="00AA6144">
        <w:rPr>
          <w:color w:val="auto"/>
          <w:lang w:val="en-CA"/>
        </w:rPr>
        <w:t xml:space="preserve"> crimes. The legal analysis </w:t>
      </w:r>
      <w:proofErr w:type="gramStart"/>
      <w:r w:rsidR="002876F4" w:rsidRPr="00AA6144">
        <w:rPr>
          <w:color w:val="auto"/>
          <w:lang w:val="en-CA"/>
        </w:rPr>
        <w:t xml:space="preserve">with </w:t>
      </w:r>
      <w:r w:rsidRPr="00AA6144">
        <w:rPr>
          <w:color w:val="auto"/>
          <w:lang w:val="en-CA"/>
        </w:rPr>
        <w:t>regard to</w:t>
      </w:r>
      <w:proofErr w:type="gramEnd"/>
      <w:r w:rsidRPr="00AA6144">
        <w:rPr>
          <w:color w:val="auto"/>
          <w:lang w:val="en-CA"/>
        </w:rPr>
        <w:t xml:space="preserve"> the substantive </w:t>
      </w:r>
      <w:r w:rsidR="00475A37" w:rsidRPr="00AA6144">
        <w:rPr>
          <w:color w:val="auto"/>
          <w:lang w:val="en-CA"/>
        </w:rPr>
        <w:t>crimes under international law</w:t>
      </w:r>
      <w:r w:rsidRPr="00AA6144">
        <w:rPr>
          <w:color w:val="auto"/>
          <w:lang w:val="en-CA"/>
        </w:rPr>
        <w:t xml:space="preserve"> defines the offences and does so </w:t>
      </w:r>
      <w:r w:rsidR="00FD1463">
        <w:rPr>
          <w:color w:val="auto"/>
          <w:lang w:val="en-CA"/>
        </w:rPr>
        <w:t>in</w:t>
      </w:r>
      <w:r w:rsidRPr="00AA6144">
        <w:rPr>
          <w:color w:val="auto"/>
          <w:lang w:val="en-CA"/>
        </w:rPr>
        <w:t xml:space="preserve"> conformity with international law.</w:t>
      </w:r>
      <w:r w:rsidRPr="00AA6144">
        <w:rPr>
          <w:rStyle w:val="FootnoteReference"/>
          <w:color w:val="auto"/>
          <w:lang w:val="en-CA"/>
        </w:rPr>
        <w:footnoteReference w:id="720"/>
      </w:r>
      <w:r w:rsidRPr="00AA6144">
        <w:rPr>
          <w:color w:val="auto"/>
          <w:lang w:val="en-CA"/>
        </w:rPr>
        <w:t xml:space="preserve">  </w:t>
      </w:r>
    </w:p>
    <w:p w14:paraId="3A5F6004" w14:textId="1F7F3D6A" w:rsidR="00881B84" w:rsidRPr="00AA6144" w:rsidRDefault="00881B84" w:rsidP="00881B84">
      <w:pPr>
        <w:pStyle w:val="AIBodyText"/>
        <w:rPr>
          <w:color w:val="auto"/>
          <w:lang w:val="en-CA"/>
        </w:rPr>
      </w:pPr>
      <w:r w:rsidRPr="00AA6144">
        <w:rPr>
          <w:color w:val="auto"/>
          <w:lang w:val="en-CA"/>
        </w:rPr>
        <w:t xml:space="preserve">For example, in considering crimes against humanity, Justice Denis observed that article 6(3) of the </w:t>
      </w:r>
      <w:r w:rsidRPr="00AA6144">
        <w:rPr>
          <w:i/>
          <w:color w:val="auto"/>
          <w:lang w:val="en-CA"/>
        </w:rPr>
        <w:t>CAHWCA</w:t>
      </w:r>
      <w:r w:rsidRPr="00AA6144">
        <w:rPr>
          <w:color w:val="auto"/>
          <w:lang w:val="en-CA"/>
        </w:rPr>
        <w:t xml:space="preserve"> defines a crime against humanity in accordance with customary international law or conventional international law. He found that established international criminal law criminalizes </w:t>
      </w:r>
      <w:proofErr w:type="gramStart"/>
      <w:r w:rsidRPr="00AA6144">
        <w:rPr>
          <w:color w:val="auto"/>
          <w:lang w:val="en-CA"/>
        </w:rPr>
        <w:t>a number of</w:t>
      </w:r>
      <w:proofErr w:type="gramEnd"/>
      <w:r w:rsidRPr="00AA6144">
        <w:rPr>
          <w:color w:val="auto"/>
          <w:lang w:val="en-CA"/>
        </w:rPr>
        <w:t xml:space="preserve"> acts when committed as part of a widespread or systematic attack against any civilian population or identifiable group. Crimes against humanity were prohibited by customary international law before 1945 and</w:t>
      </w:r>
      <w:r w:rsidR="00704B71">
        <w:rPr>
          <w:color w:val="auto"/>
          <w:lang w:val="en-CA"/>
        </w:rPr>
        <w:t>,</w:t>
      </w:r>
      <w:r w:rsidRPr="00AA6144">
        <w:rPr>
          <w:color w:val="auto"/>
          <w:lang w:val="en-CA"/>
        </w:rPr>
        <w:t xml:space="preserve"> therefore</w:t>
      </w:r>
      <w:r w:rsidR="00704B71">
        <w:rPr>
          <w:color w:val="auto"/>
          <w:lang w:val="en-CA"/>
        </w:rPr>
        <w:t>,</w:t>
      </w:r>
      <w:r w:rsidRPr="00AA6144">
        <w:rPr>
          <w:color w:val="auto"/>
          <w:lang w:val="en-CA"/>
        </w:rPr>
        <w:t xml:space="preserve"> were illegal in Rwanda in 1994 when </w:t>
      </w:r>
      <w:proofErr w:type="spellStart"/>
      <w:r w:rsidRPr="00AA6144">
        <w:rPr>
          <w:color w:val="auto"/>
          <w:lang w:val="en-CA"/>
        </w:rPr>
        <w:t>Munyaneza</w:t>
      </w:r>
      <w:proofErr w:type="spellEnd"/>
      <w:r w:rsidRPr="00AA6144">
        <w:rPr>
          <w:color w:val="auto"/>
          <w:lang w:val="en-CA"/>
        </w:rPr>
        <w:t xml:space="preserve"> was committing his crimes.</w:t>
      </w:r>
      <w:r w:rsidRPr="00AA6144">
        <w:rPr>
          <w:rStyle w:val="FootnoteReference"/>
          <w:color w:val="auto"/>
          <w:lang w:val="en-CA"/>
        </w:rPr>
        <w:footnoteReference w:id="721"/>
      </w:r>
    </w:p>
    <w:p w14:paraId="77F33E02" w14:textId="77777777" w:rsidR="00881B84" w:rsidRPr="00AA6144" w:rsidRDefault="00881B84" w:rsidP="00881B84">
      <w:pPr>
        <w:pStyle w:val="AIBodyText"/>
        <w:rPr>
          <w:color w:val="auto"/>
          <w:lang w:val="en-CA"/>
        </w:rPr>
      </w:pPr>
      <w:proofErr w:type="spellStart"/>
      <w:r w:rsidRPr="00AA6144">
        <w:rPr>
          <w:color w:val="auto"/>
          <w:lang w:val="en-CA"/>
        </w:rPr>
        <w:t>Munyaneza</w:t>
      </w:r>
      <w:r w:rsidR="00E907F8" w:rsidRPr="00AA6144">
        <w:rPr>
          <w:color w:val="auto"/>
          <w:lang w:val="en-CA"/>
        </w:rPr>
        <w:t>’s</w:t>
      </w:r>
      <w:proofErr w:type="spellEnd"/>
      <w:r w:rsidRPr="00AA6144">
        <w:rPr>
          <w:color w:val="auto"/>
          <w:lang w:val="en-CA"/>
        </w:rPr>
        <w:t xml:space="preserve"> conviction and sentence </w:t>
      </w:r>
      <w:r w:rsidR="00E907F8" w:rsidRPr="00AA6144">
        <w:rPr>
          <w:color w:val="auto"/>
          <w:lang w:val="en-CA"/>
        </w:rPr>
        <w:t xml:space="preserve">have been upheld by </w:t>
      </w:r>
      <w:r w:rsidRPr="00AA6144">
        <w:rPr>
          <w:color w:val="auto"/>
          <w:lang w:val="en-CA"/>
        </w:rPr>
        <w:t xml:space="preserve">the </w:t>
      </w:r>
      <w:r w:rsidR="00CB2619" w:rsidRPr="00AA6144">
        <w:rPr>
          <w:color w:val="auto"/>
          <w:lang w:val="en-CA"/>
        </w:rPr>
        <w:t xml:space="preserve">Quebec </w:t>
      </w:r>
      <w:r w:rsidRPr="00AA6144">
        <w:rPr>
          <w:color w:val="auto"/>
          <w:lang w:val="en-CA"/>
        </w:rPr>
        <w:t>Court</w:t>
      </w:r>
      <w:r w:rsidR="00CB2619" w:rsidRPr="00AA6144">
        <w:rPr>
          <w:color w:val="auto"/>
          <w:lang w:val="en-CA"/>
        </w:rPr>
        <w:t xml:space="preserve"> of Appeal</w:t>
      </w:r>
      <w:r w:rsidRPr="00AA6144">
        <w:rPr>
          <w:color w:val="auto"/>
          <w:lang w:val="en-CA"/>
        </w:rPr>
        <w:t xml:space="preserve"> </w:t>
      </w:r>
      <w:r w:rsidR="00E907F8" w:rsidRPr="00AA6144">
        <w:rPr>
          <w:rStyle w:val="FootnoteReference"/>
          <w:color w:val="auto"/>
          <w:lang w:val="en-CA"/>
        </w:rPr>
        <w:footnoteReference w:id="722"/>
      </w:r>
      <w:r w:rsidRPr="00AA6144">
        <w:rPr>
          <w:color w:val="auto"/>
          <w:lang w:val="en-CA"/>
        </w:rPr>
        <w:t xml:space="preserve">. </w:t>
      </w:r>
      <w:r w:rsidR="00E907F8" w:rsidRPr="00AA6144">
        <w:rPr>
          <w:color w:val="auto"/>
          <w:lang w:val="en-CA"/>
        </w:rPr>
        <w:t xml:space="preserve">The Court rejected </w:t>
      </w:r>
      <w:proofErr w:type="gramStart"/>
      <w:r w:rsidR="00E907F8" w:rsidRPr="00AA6144">
        <w:rPr>
          <w:color w:val="auto"/>
          <w:lang w:val="en-CA"/>
        </w:rPr>
        <w:t>all of</w:t>
      </w:r>
      <w:proofErr w:type="gramEnd"/>
      <w:r w:rsidR="00E907F8" w:rsidRPr="00AA6144">
        <w:rPr>
          <w:color w:val="auto"/>
          <w:lang w:val="en-CA"/>
        </w:rPr>
        <w:t xml:space="preserve"> the grounds of appeal, including allegedly poorly defined charges, irregularities and misrepresentations by the trial judge and a lack of credibility in Crown witnesses. The Court affirmed that “the evidence establishes that the appellant had the intent to attack Tutsis specifically and that he was at the forefront of the armed conflict in the </w:t>
      </w:r>
      <w:proofErr w:type="spellStart"/>
      <w:r w:rsidR="00E907F8" w:rsidRPr="00AA6144">
        <w:rPr>
          <w:color w:val="auto"/>
          <w:lang w:val="en-CA"/>
        </w:rPr>
        <w:t>Butare</w:t>
      </w:r>
      <w:proofErr w:type="spellEnd"/>
      <w:r w:rsidR="00E907F8" w:rsidRPr="00AA6144">
        <w:rPr>
          <w:color w:val="auto"/>
          <w:lang w:val="en-CA"/>
        </w:rPr>
        <w:t xml:space="preserve"> prefecture.”</w:t>
      </w:r>
      <w:r w:rsidR="00E907F8" w:rsidRPr="00AA6144">
        <w:rPr>
          <w:rStyle w:val="FootnoteReference"/>
          <w:color w:val="auto"/>
          <w:lang w:val="en-CA"/>
        </w:rPr>
        <w:footnoteReference w:id="723"/>
      </w:r>
    </w:p>
    <w:p w14:paraId="499EDAA5" w14:textId="77777777" w:rsidR="00881B84" w:rsidRPr="00AA6144" w:rsidRDefault="00881B84" w:rsidP="00881B84">
      <w:pPr>
        <w:pStyle w:val="AIBodyText"/>
        <w:rPr>
          <w:color w:val="auto"/>
          <w:lang w:val="en-CA"/>
        </w:rPr>
      </w:pPr>
      <w:r w:rsidRPr="00AA6144">
        <w:rPr>
          <w:color w:val="auto"/>
          <w:lang w:val="en-CA"/>
        </w:rPr>
        <w:t xml:space="preserve">The </w:t>
      </w:r>
      <w:proofErr w:type="spellStart"/>
      <w:r w:rsidRPr="00AA6144">
        <w:rPr>
          <w:i/>
          <w:color w:val="auto"/>
          <w:lang w:val="en-CA"/>
        </w:rPr>
        <w:t>Munyaneza</w:t>
      </w:r>
      <w:proofErr w:type="spellEnd"/>
      <w:r w:rsidRPr="00AA6144">
        <w:rPr>
          <w:i/>
          <w:color w:val="auto"/>
          <w:lang w:val="en-CA"/>
        </w:rPr>
        <w:t xml:space="preserve"> </w:t>
      </w:r>
      <w:r w:rsidRPr="00AA6144">
        <w:rPr>
          <w:color w:val="auto"/>
          <w:lang w:val="en-CA"/>
        </w:rPr>
        <w:t xml:space="preserve">trial was a critical case for Canada in demonstrating the strength of the </w:t>
      </w:r>
      <w:r w:rsidRPr="00AA6144">
        <w:rPr>
          <w:i/>
          <w:color w:val="auto"/>
          <w:lang w:val="en-CA"/>
        </w:rPr>
        <w:t xml:space="preserve">CAHWCA </w:t>
      </w:r>
      <w:r w:rsidRPr="00AA6144">
        <w:rPr>
          <w:color w:val="auto"/>
          <w:lang w:val="en-CA"/>
        </w:rPr>
        <w:t>framework and Canada’s willingness to hold war criminals accountable for their actions despite the difficulties resulting from the</w:t>
      </w:r>
      <w:r w:rsidRPr="00AA6144">
        <w:rPr>
          <w:i/>
          <w:color w:val="auto"/>
          <w:lang w:val="en-CA"/>
        </w:rPr>
        <w:t xml:space="preserve"> </w:t>
      </w:r>
      <w:proofErr w:type="spellStart"/>
      <w:r w:rsidRPr="00AA6144">
        <w:rPr>
          <w:i/>
          <w:color w:val="auto"/>
          <w:lang w:val="en-CA"/>
        </w:rPr>
        <w:t>Finta</w:t>
      </w:r>
      <w:proofErr w:type="spellEnd"/>
      <w:r w:rsidRPr="00AA6144">
        <w:rPr>
          <w:color w:val="auto"/>
          <w:lang w:val="en-CA"/>
        </w:rPr>
        <w:t xml:space="preserve"> decision.  The legal reasoning of the decision also demonstrates compliance with obligations under the </w:t>
      </w:r>
      <w:r w:rsidR="005C5FF0" w:rsidRPr="00AA6144">
        <w:rPr>
          <w:i/>
          <w:color w:val="auto"/>
          <w:lang w:val="en-CA"/>
        </w:rPr>
        <w:t>Rome Statute</w:t>
      </w:r>
      <w:r w:rsidRPr="00AA6144">
        <w:rPr>
          <w:color w:val="auto"/>
          <w:lang w:val="en-CA"/>
        </w:rPr>
        <w:t xml:space="preserve"> and customary international law and raises the prospect of Canada’s continued efficacy in prosecuting international criminals in line with its international obligations. </w:t>
      </w:r>
    </w:p>
    <w:p w14:paraId="6E36D8F6" w14:textId="77777777" w:rsidR="00881B84" w:rsidRPr="00AA6144" w:rsidRDefault="00881B84" w:rsidP="00936E71">
      <w:pPr>
        <w:pStyle w:val="Heading3"/>
        <w:rPr>
          <w:lang w:val="en-CA"/>
        </w:rPr>
      </w:pPr>
      <w:bookmarkStart w:id="324" w:name="_Toc43382814"/>
      <w:r w:rsidRPr="00AA6144">
        <w:rPr>
          <w:lang w:val="en-CA"/>
        </w:rPr>
        <w:t>9.3.2 R v. Mungwarere</w:t>
      </w:r>
      <w:bookmarkEnd w:id="324"/>
    </w:p>
    <w:p w14:paraId="492E3A38" w14:textId="77777777" w:rsidR="00936E71" w:rsidRPr="00AA6144" w:rsidRDefault="00936E71" w:rsidP="00936E71">
      <w:pPr>
        <w:spacing w:after="0"/>
        <w:rPr>
          <w:lang w:val="en-CA"/>
        </w:rPr>
      </w:pPr>
    </w:p>
    <w:p w14:paraId="0D7C6311" w14:textId="77777777" w:rsidR="00881B84" w:rsidRPr="00AA6144" w:rsidRDefault="00881B84" w:rsidP="00881B84">
      <w:pPr>
        <w:pStyle w:val="AIBodyText"/>
        <w:rPr>
          <w:color w:val="auto"/>
          <w:lang w:val="en-CA"/>
        </w:rPr>
      </w:pPr>
      <w:r w:rsidRPr="00AA6144">
        <w:rPr>
          <w:color w:val="auto"/>
          <w:lang w:val="en-CA"/>
        </w:rPr>
        <w:t xml:space="preserve">Jacques </w:t>
      </w:r>
      <w:proofErr w:type="spellStart"/>
      <w:r w:rsidRPr="00AA6144">
        <w:rPr>
          <w:color w:val="auto"/>
          <w:lang w:val="en-CA"/>
        </w:rPr>
        <w:t>Mungwarere</w:t>
      </w:r>
      <w:proofErr w:type="spellEnd"/>
      <w:r w:rsidRPr="00AA6144">
        <w:rPr>
          <w:color w:val="auto"/>
          <w:lang w:val="en-CA"/>
        </w:rPr>
        <w:t xml:space="preserve">, a former teacher from Rwanda, claimed asylum in Canada in 2001 and was granted refugee status in 2002.  Members of the Rwandan community in Canada had gone to police with reports that </w:t>
      </w:r>
      <w:proofErr w:type="spellStart"/>
      <w:r w:rsidRPr="00AA6144">
        <w:rPr>
          <w:color w:val="auto"/>
          <w:lang w:val="en-CA"/>
        </w:rPr>
        <w:t>Mungwarere</w:t>
      </w:r>
      <w:proofErr w:type="spellEnd"/>
      <w:r w:rsidRPr="00AA6144">
        <w:rPr>
          <w:color w:val="auto"/>
          <w:lang w:val="en-CA"/>
        </w:rPr>
        <w:t xml:space="preserve"> had participated in the 1994 Rwandan genocide and an investigation leading to his arrest began in 2003.  On November 6th, 2009, he was arrested on suspicion of involvement in the Rwandan genocide and was officially indicted on May 26</w:t>
      </w:r>
      <w:r w:rsidR="00C63EB4" w:rsidRPr="00AA6144">
        <w:rPr>
          <w:color w:val="auto"/>
          <w:lang w:val="en-CA"/>
        </w:rPr>
        <w:t xml:space="preserve">, </w:t>
      </w:r>
      <w:r w:rsidRPr="00AA6144">
        <w:rPr>
          <w:color w:val="auto"/>
          <w:lang w:val="en-CA"/>
        </w:rPr>
        <w:t>2010.</w:t>
      </w:r>
      <w:r w:rsidR="009851AD" w:rsidRPr="00AA6144">
        <w:rPr>
          <w:rStyle w:val="FootnoteReference"/>
          <w:color w:val="auto"/>
          <w:lang w:val="en-CA"/>
        </w:rPr>
        <w:footnoteReference w:id="724"/>
      </w:r>
      <w:r w:rsidRPr="00AA6144">
        <w:rPr>
          <w:color w:val="auto"/>
          <w:lang w:val="en-CA"/>
        </w:rPr>
        <w:t xml:space="preserve"> </w:t>
      </w:r>
      <w:r w:rsidR="00365413" w:rsidRPr="00AA6144">
        <w:rPr>
          <w:color w:val="auto"/>
          <w:lang w:val="en-CA"/>
        </w:rPr>
        <w:t xml:space="preserve">The </w:t>
      </w:r>
      <w:r w:rsidR="009851AD" w:rsidRPr="00AA6144">
        <w:rPr>
          <w:color w:val="auto"/>
          <w:lang w:val="en-CA"/>
        </w:rPr>
        <w:t>indictment</w:t>
      </w:r>
      <w:r w:rsidR="00365413" w:rsidRPr="00AA6144">
        <w:rPr>
          <w:color w:val="auto"/>
          <w:lang w:val="en-CA"/>
        </w:rPr>
        <w:t xml:space="preserve"> was </w:t>
      </w:r>
      <w:r w:rsidR="009851AD" w:rsidRPr="00AA6144">
        <w:rPr>
          <w:color w:val="auto"/>
          <w:lang w:val="en-CA"/>
        </w:rPr>
        <w:t>amended</w:t>
      </w:r>
      <w:r w:rsidR="00365413" w:rsidRPr="00AA6144">
        <w:rPr>
          <w:color w:val="auto"/>
          <w:lang w:val="en-CA"/>
        </w:rPr>
        <w:t xml:space="preserve"> </w:t>
      </w:r>
      <w:r w:rsidR="009851AD" w:rsidRPr="00AA6144">
        <w:rPr>
          <w:color w:val="auto"/>
          <w:lang w:val="en-CA"/>
        </w:rPr>
        <w:t>on</w:t>
      </w:r>
      <w:r w:rsidR="00365413" w:rsidRPr="00AA6144">
        <w:rPr>
          <w:color w:val="auto"/>
          <w:lang w:val="en-CA"/>
        </w:rPr>
        <w:t xml:space="preserve"> </w:t>
      </w:r>
      <w:r w:rsidR="009851AD" w:rsidRPr="00AA6144">
        <w:rPr>
          <w:color w:val="auto"/>
          <w:lang w:val="en-CA"/>
        </w:rPr>
        <w:t xml:space="preserve">April 16, </w:t>
      </w:r>
      <w:r w:rsidR="00365413" w:rsidRPr="00AA6144">
        <w:rPr>
          <w:color w:val="auto"/>
          <w:lang w:val="en-CA"/>
        </w:rPr>
        <w:t xml:space="preserve">2012 </w:t>
      </w:r>
      <w:r w:rsidR="00BC4BAC" w:rsidRPr="00AA6144">
        <w:rPr>
          <w:color w:val="auto"/>
          <w:lang w:val="en-CA"/>
        </w:rPr>
        <w:t>and reduced to</w:t>
      </w:r>
      <w:r w:rsidR="009851AD" w:rsidRPr="00AA6144">
        <w:rPr>
          <w:color w:val="auto"/>
          <w:lang w:val="en-CA"/>
        </w:rPr>
        <w:t xml:space="preserve"> one count of genocide and one count of crimes against humanity</w:t>
      </w:r>
      <w:r w:rsidR="00F358AC" w:rsidRPr="00AA6144">
        <w:rPr>
          <w:color w:val="auto"/>
          <w:lang w:val="en-CA"/>
        </w:rPr>
        <w:t xml:space="preserve"> (murder and sexual violence)</w:t>
      </w:r>
      <w:r w:rsidR="009851AD" w:rsidRPr="00AA6144">
        <w:rPr>
          <w:color w:val="auto"/>
          <w:lang w:val="en-CA"/>
        </w:rPr>
        <w:t xml:space="preserve">. </w:t>
      </w:r>
      <w:r w:rsidRPr="00AA6144">
        <w:rPr>
          <w:color w:val="auto"/>
          <w:lang w:val="en-CA"/>
        </w:rPr>
        <w:t xml:space="preserve">He is the second person charged under the </w:t>
      </w:r>
      <w:r w:rsidRPr="00AA6144">
        <w:rPr>
          <w:i/>
          <w:color w:val="auto"/>
          <w:lang w:val="en-CA"/>
        </w:rPr>
        <w:t xml:space="preserve">Crimes Against Humanity and War Crimes Act. </w:t>
      </w:r>
    </w:p>
    <w:p w14:paraId="77F14C27" w14:textId="7D753DC9" w:rsidR="00881B84" w:rsidRPr="00AA6144" w:rsidRDefault="00881B84" w:rsidP="00881B84">
      <w:pPr>
        <w:pStyle w:val="AIBodyText"/>
        <w:rPr>
          <w:color w:val="auto"/>
          <w:lang w:val="en-CA"/>
        </w:rPr>
      </w:pPr>
      <w:proofErr w:type="spellStart"/>
      <w:r w:rsidRPr="00AA6144">
        <w:rPr>
          <w:color w:val="auto"/>
          <w:lang w:val="en-CA"/>
        </w:rPr>
        <w:t>Mungwarere</w:t>
      </w:r>
      <w:proofErr w:type="spellEnd"/>
      <w:r w:rsidRPr="00AA6144">
        <w:rPr>
          <w:color w:val="auto"/>
          <w:lang w:val="en-CA"/>
        </w:rPr>
        <w:t xml:space="preserve"> is accused of having committed the murder of persons of the Tutsi ethnicity in the </w:t>
      </w:r>
      <w:proofErr w:type="spellStart"/>
      <w:r w:rsidRPr="00AA6144">
        <w:rPr>
          <w:color w:val="auto"/>
          <w:lang w:val="en-CA"/>
        </w:rPr>
        <w:t>Kibuye</w:t>
      </w:r>
      <w:proofErr w:type="spellEnd"/>
      <w:r w:rsidRPr="00AA6144">
        <w:rPr>
          <w:color w:val="auto"/>
          <w:lang w:val="en-CA"/>
        </w:rPr>
        <w:t xml:space="preserve"> Prefecture of Rwanda. In particular, he is alleged to have participated in the attack on the </w:t>
      </w:r>
      <w:proofErr w:type="spellStart"/>
      <w:r w:rsidRPr="00AA6144">
        <w:rPr>
          <w:color w:val="auto"/>
          <w:lang w:val="en-CA"/>
        </w:rPr>
        <w:t>Mugonero</w:t>
      </w:r>
      <w:proofErr w:type="spellEnd"/>
      <w:r w:rsidRPr="00AA6144">
        <w:rPr>
          <w:color w:val="auto"/>
          <w:lang w:val="en-CA"/>
        </w:rPr>
        <w:t xml:space="preserve"> church and hospital complex on April 16, 1994 where Tutsis that had taken refuge there were massacred. He is also alleged to have </w:t>
      </w:r>
      <w:r w:rsidR="00D64402" w:rsidRPr="00AA6144">
        <w:rPr>
          <w:color w:val="auto"/>
          <w:lang w:val="en-CA"/>
        </w:rPr>
        <w:t xml:space="preserve">participated </w:t>
      </w:r>
      <w:r w:rsidRPr="00AA6144">
        <w:rPr>
          <w:color w:val="auto"/>
          <w:lang w:val="en-CA"/>
        </w:rPr>
        <w:t xml:space="preserve">in subsequent persecution of surviving Tutsis in the hills of </w:t>
      </w:r>
      <w:proofErr w:type="spellStart"/>
      <w:r w:rsidRPr="00AA6144">
        <w:rPr>
          <w:color w:val="auto"/>
          <w:lang w:val="en-CA"/>
        </w:rPr>
        <w:t>Bisesero</w:t>
      </w:r>
      <w:proofErr w:type="spellEnd"/>
      <w:r w:rsidRPr="00AA6144">
        <w:rPr>
          <w:color w:val="auto"/>
          <w:lang w:val="en-CA"/>
        </w:rPr>
        <w:t xml:space="preserve">. </w:t>
      </w:r>
    </w:p>
    <w:p w14:paraId="7F037138" w14:textId="71784F93" w:rsidR="00881B84" w:rsidRPr="00AA6144" w:rsidRDefault="00881B84" w:rsidP="00881B84">
      <w:pPr>
        <w:pStyle w:val="AIBodyText"/>
        <w:rPr>
          <w:color w:val="auto"/>
          <w:lang w:val="en-CA"/>
        </w:rPr>
      </w:pPr>
      <w:r w:rsidRPr="00AA6144">
        <w:rPr>
          <w:color w:val="auto"/>
          <w:lang w:val="en-CA"/>
        </w:rPr>
        <w:t xml:space="preserve">The indictment was filed under section 577 of the </w:t>
      </w:r>
      <w:r w:rsidRPr="00AA6144">
        <w:rPr>
          <w:i/>
          <w:color w:val="auto"/>
          <w:lang w:val="en-CA"/>
        </w:rPr>
        <w:t>Criminal Code</w:t>
      </w:r>
      <w:r w:rsidRPr="00AA6144">
        <w:rPr>
          <w:color w:val="auto"/>
          <w:lang w:val="en-CA"/>
        </w:rPr>
        <w:t xml:space="preserve">, which permits a case to be sent straight to trial without a preliminary inquiry in cases where the public interest would be served.  </w:t>
      </w:r>
      <w:proofErr w:type="spellStart"/>
      <w:r w:rsidRPr="00AA6144">
        <w:rPr>
          <w:color w:val="auto"/>
          <w:lang w:val="en-CA"/>
        </w:rPr>
        <w:t>Mungwarere’s</w:t>
      </w:r>
      <w:proofErr w:type="spellEnd"/>
      <w:r w:rsidRPr="00AA6144">
        <w:rPr>
          <w:color w:val="auto"/>
          <w:lang w:val="en-CA"/>
        </w:rPr>
        <w:t xml:space="preserve"> trial began in Ottawa in April 2012.  </w:t>
      </w:r>
      <w:r w:rsidR="002B4B3E" w:rsidRPr="00AA6144">
        <w:rPr>
          <w:color w:val="auto"/>
          <w:lang w:val="en-CA"/>
        </w:rPr>
        <w:t>In July 2013</w:t>
      </w:r>
      <w:r w:rsidR="00123C71" w:rsidRPr="00AA6144">
        <w:rPr>
          <w:color w:val="auto"/>
          <w:lang w:val="en-CA"/>
        </w:rPr>
        <w:t xml:space="preserve">, </w:t>
      </w:r>
      <w:proofErr w:type="spellStart"/>
      <w:r w:rsidR="00123C71" w:rsidRPr="00AA6144">
        <w:rPr>
          <w:color w:val="auto"/>
          <w:lang w:val="en-CA"/>
        </w:rPr>
        <w:t>Mungwarere</w:t>
      </w:r>
      <w:proofErr w:type="spellEnd"/>
      <w:r w:rsidR="00123C71" w:rsidRPr="00AA6144">
        <w:rPr>
          <w:color w:val="auto"/>
          <w:lang w:val="en-CA"/>
        </w:rPr>
        <w:t xml:space="preserve"> was acquitted and the government </w:t>
      </w:r>
      <w:r w:rsidR="00FB0897">
        <w:rPr>
          <w:color w:val="auto"/>
          <w:lang w:val="en-CA"/>
        </w:rPr>
        <w:t>did</w:t>
      </w:r>
      <w:r w:rsidR="00123C71" w:rsidRPr="00AA6144">
        <w:rPr>
          <w:color w:val="auto"/>
          <w:lang w:val="en-CA"/>
        </w:rPr>
        <w:t xml:space="preserve"> not pursu</w:t>
      </w:r>
      <w:r w:rsidR="00FB0897">
        <w:rPr>
          <w:color w:val="auto"/>
          <w:lang w:val="en-CA"/>
        </w:rPr>
        <w:t>e</w:t>
      </w:r>
      <w:r w:rsidR="00123C71" w:rsidRPr="00AA6144">
        <w:rPr>
          <w:color w:val="auto"/>
          <w:lang w:val="en-CA"/>
        </w:rPr>
        <w:t xml:space="preserve"> an appeal. </w:t>
      </w:r>
    </w:p>
    <w:p w14:paraId="421B77B1" w14:textId="77777777" w:rsidR="00881B84" w:rsidRPr="00AA6144" w:rsidRDefault="00881B84" w:rsidP="00881B84">
      <w:pPr>
        <w:pStyle w:val="AIBodyText"/>
        <w:rPr>
          <w:color w:val="auto"/>
          <w:lang w:val="en-CA"/>
        </w:rPr>
      </w:pPr>
      <w:r w:rsidRPr="00AA6144">
        <w:rPr>
          <w:color w:val="auto"/>
          <w:lang w:val="en-CA"/>
        </w:rPr>
        <w:t xml:space="preserve">As with the </w:t>
      </w:r>
      <w:proofErr w:type="spellStart"/>
      <w:r w:rsidRPr="00AA6144">
        <w:rPr>
          <w:i/>
          <w:color w:val="auto"/>
          <w:lang w:val="en-CA"/>
        </w:rPr>
        <w:t>Munyaneza</w:t>
      </w:r>
      <w:proofErr w:type="spellEnd"/>
      <w:r w:rsidRPr="00AA6144">
        <w:rPr>
          <w:i/>
          <w:color w:val="auto"/>
          <w:lang w:val="en-CA"/>
        </w:rPr>
        <w:t xml:space="preserve"> </w:t>
      </w:r>
      <w:r w:rsidRPr="00AA6144">
        <w:rPr>
          <w:color w:val="auto"/>
          <w:lang w:val="en-CA"/>
        </w:rPr>
        <w:t>case,</w:t>
      </w:r>
      <w:r w:rsidR="00A64D11" w:rsidRPr="00AA6144">
        <w:rPr>
          <w:color w:val="auto"/>
          <w:lang w:val="en-CA"/>
        </w:rPr>
        <w:t xml:space="preserve"> </w:t>
      </w:r>
      <w:r w:rsidRPr="00AA6144">
        <w:rPr>
          <w:color w:val="auto"/>
          <w:lang w:val="en-CA"/>
        </w:rPr>
        <w:t xml:space="preserve">the </w:t>
      </w:r>
      <w:r w:rsidRPr="00AA6144">
        <w:rPr>
          <w:i/>
          <w:color w:val="auto"/>
          <w:lang w:val="en-CA"/>
        </w:rPr>
        <w:t>CAHWCA</w:t>
      </w:r>
      <w:r w:rsidRPr="00AA6144">
        <w:rPr>
          <w:color w:val="auto"/>
          <w:lang w:val="en-CA"/>
        </w:rPr>
        <w:t xml:space="preserve"> has provided a solid framework from which Canada can exercise custodial universal jurisdiction.  </w:t>
      </w:r>
    </w:p>
    <w:p w14:paraId="32CB8F01" w14:textId="77777777" w:rsidR="00881B84" w:rsidRPr="00AA6144" w:rsidRDefault="00881B84" w:rsidP="00881B84">
      <w:pPr>
        <w:pStyle w:val="Heading2"/>
        <w:numPr>
          <w:ilvl w:val="0"/>
          <w:numId w:val="0"/>
        </w:numPr>
        <w:rPr>
          <w:b/>
          <w:caps/>
          <w:color w:val="auto"/>
          <w:lang w:val="en-CA"/>
        </w:rPr>
      </w:pPr>
    </w:p>
    <w:p w14:paraId="4639DAB3" w14:textId="77777777" w:rsidR="00881B84" w:rsidRPr="00AA6144" w:rsidRDefault="00881B84" w:rsidP="00881B84">
      <w:pPr>
        <w:pStyle w:val="Heading2"/>
        <w:numPr>
          <w:ilvl w:val="0"/>
          <w:numId w:val="0"/>
        </w:numPr>
        <w:rPr>
          <w:caps/>
          <w:color w:val="auto"/>
          <w:lang w:val="en-CA"/>
        </w:rPr>
      </w:pPr>
      <w:bookmarkStart w:id="325" w:name="_Toc43382815"/>
      <w:r w:rsidRPr="00AA6144">
        <w:rPr>
          <w:caps/>
          <w:color w:val="auto"/>
          <w:lang w:val="en-CA"/>
        </w:rPr>
        <w:t>9.4 O</w:t>
      </w:r>
      <w:r w:rsidR="00092DFC" w:rsidRPr="00AA6144">
        <w:rPr>
          <w:caps/>
          <w:color w:val="auto"/>
          <w:lang w:val="en-CA"/>
        </w:rPr>
        <w:t>ther important cases</w:t>
      </w:r>
      <w:bookmarkEnd w:id="325"/>
    </w:p>
    <w:p w14:paraId="3487EDDA" w14:textId="77777777" w:rsidR="00881B84" w:rsidRPr="00AA6144" w:rsidRDefault="00881B84" w:rsidP="00936E71">
      <w:pPr>
        <w:pStyle w:val="AIBodyText"/>
        <w:spacing w:after="0"/>
        <w:rPr>
          <w:color w:val="auto"/>
          <w:lang w:val="en-CA"/>
        </w:rPr>
      </w:pPr>
    </w:p>
    <w:p w14:paraId="5DBCA274" w14:textId="77777777" w:rsidR="00881B84" w:rsidRPr="00AA6144" w:rsidRDefault="00092DFC" w:rsidP="00936E71">
      <w:pPr>
        <w:pStyle w:val="Heading3"/>
        <w:rPr>
          <w:lang w:val="en-CA"/>
        </w:rPr>
      </w:pPr>
      <w:bookmarkStart w:id="326" w:name="_Toc43382816"/>
      <w:r w:rsidRPr="00AA6144">
        <w:rPr>
          <w:lang w:val="en-CA"/>
        </w:rPr>
        <w:t>9.4.1 R. v. Muge</w:t>
      </w:r>
      <w:r w:rsidR="00881B84" w:rsidRPr="00AA6144">
        <w:rPr>
          <w:lang w:val="en-CA"/>
        </w:rPr>
        <w:t>sera</w:t>
      </w:r>
      <w:r w:rsidR="00881B84" w:rsidRPr="00AA6144">
        <w:rPr>
          <w:rStyle w:val="FootnoteReference"/>
          <w:caps w:val="0"/>
          <w:color w:val="auto"/>
          <w:lang w:val="en-CA"/>
        </w:rPr>
        <w:footnoteReference w:id="725"/>
      </w:r>
      <w:bookmarkEnd w:id="326"/>
    </w:p>
    <w:p w14:paraId="28B12950" w14:textId="77777777" w:rsidR="00936E71" w:rsidRPr="00AA6144" w:rsidRDefault="00936E71" w:rsidP="00936E71">
      <w:pPr>
        <w:spacing w:after="0"/>
        <w:rPr>
          <w:lang w:val="en-CA"/>
        </w:rPr>
      </w:pPr>
    </w:p>
    <w:p w14:paraId="2F8AAE7E" w14:textId="77777777" w:rsidR="00881B84" w:rsidRPr="00AA6144" w:rsidRDefault="00881B84" w:rsidP="00A64D11">
      <w:pPr>
        <w:pStyle w:val="AIBodyText"/>
        <w:rPr>
          <w:color w:val="auto"/>
          <w:lang w:val="en-CA"/>
        </w:rPr>
      </w:pPr>
      <w:r w:rsidRPr="00AA6144">
        <w:rPr>
          <w:color w:val="auto"/>
          <w:lang w:val="en-CA"/>
        </w:rPr>
        <w:t xml:space="preserve">On 22 November 1992, Léon </w:t>
      </w:r>
      <w:proofErr w:type="spellStart"/>
      <w:r w:rsidRPr="00AA6144">
        <w:rPr>
          <w:color w:val="auto"/>
          <w:lang w:val="en-CA"/>
        </w:rPr>
        <w:t>Mugesera</w:t>
      </w:r>
      <w:proofErr w:type="spellEnd"/>
      <w:r w:rsidRPr="00AA6144">
        <w:rPr>
          <w:color w:val="auto"/>
          <w:lang w:val="en-CA"/>
        </w:rPr>
        <w:t xml:space="preserve">, a politician from Rwanda, delivered a speech to a gathering of approximately one thousand people at a political party meeting in Rwanda. The speech was believed to have included language inciting racial hatred and led Rwandan authorities to issue an arrest warrant against him.  </w:t>
      </w:r>
      <w:proofErr w:type="spellStart"/>
      <w:r w:rsidRPr="00AA6144">
        <w:rPr>
          <w:color w:val="auto"/>
          <w:lang w:val="en-CA"/>
        </w:rPr>
        <w:t>Mugesera</w:t>
      </w:r>
      <w:proofErr w:type="spellEnd"/>
      <w:r w:rsidRPr="00AA6144">
        <w:rPr>
          <w:color w:val="auto"/>
          <w:lang w:val="en-CA"/>
        </w:rPr>
        <w:t xml:space="preserve"> fled the country shortly thereafter and applied for permanent residence in Canada. The proceedings against </w:t>
      </w:r>
      <w:proofErr w:type="spellStart"/>
      <w:r w:rsidRPr="00AA6144">
        <w:rPr>
          <w:color w:val="auto"/>
          <w:lang w:val="en-CA"/>
        </w:rPr>
        <w:t>Mugesera</w:t>
      </w:r>
      <w:proofErr w:type="spellEnd"/>
      <w:r w:rsidRPr="00AA6144">
        <w:rPr>
          <w:color w:val="auto"/>
          <w:lang w:val="en-CA"/>
        </w:rPr>
        <w:t xml:space="preserve"> invoked the inadmissibility and removal process as opposed to criminal prosecution.  </w:t>
      </w:r>
    </w:p>
    <w:p w14:paraId="7654D5BC" w14:textId="77777777" w:rsidR="00881B84" w:rsidRPr="00AA6144" w:rsidRDefault="00881B84" w:rsidP="00881B84">
      <w:pPr>
        <w:pStyle w:val="AIBodyText"/>
        <w:rPr>
          <w:color w:val="auto"/>
          <w:lang w:val="en-CA"/>
        </w:rPr>
      </w:pPr>
      <w:r w:rsidRPr="00AA6144">
        <w:rPr>
          <w:color w:val="auto"/>
          <w:lang w:val="en-CA"/>
        </w:rPr>
        <w:t xml:space="preserve">A permanent resident in Canada may be deported if it is established, among other things, that they committed criminal acts or offences before or after obtaining permanent residence.  In 1995, Canadian authorities commenced proceedings to deport </w:t>
      </w:r>
      <w:proofErr w:type="spellStart"/>
      <w:r w:rsidRPr="00AA6144">
        <w:rPr>
          <w:color w:val="auto"/>
          <w:lang w:val="en-CA"/>
        </w:rPr>
        <w:t>Mugesera</w:t>
      </w:r>
      <w:proofErr w:type="spellEnd"/>
      <w:r w:rsidRPr="00AA6144">
        <w:rPr>
          <w:color w:val="auto"/>
          <w:lang w:val="en-CA"/>
        </w:rPr>
        <w:t xml:space="preserve"> on the basis that he had committed incitement to murder, </w:t>
      </w:r>
      <w:proofErr w:type="gramStart"/>
      <w:r w:rsidRPr="00AA6144">
        <w:rPr>
          <w:color w:val="auto"/>
          <w:lang w:val="en-CA"/>
        </w:rPr>
        <w:t>genocide</w:t>
      </w:r>
      <w:proofErr w:type="gramEnd"/>
      <w:r w:rsidRPr="00AA6144">
        <w:rPr>
          <w:color w:val="auto"/>
          <w:lang w:val="en-CA"/>
        </w:rPr>
        <w:t xml:space="preserve"> and hatred, and had committed a crime against humanity and was therefore inadmissible pursuant to Canadian immigration law. </w:t>
      </w:r>
    </w:p>
    <w:p w14:paraId="2F9895D1" w14:textId="77777777" w:rsidR="00881B84" w:rsidRPr="00AA6144" w:rsidRDefault="00881B84" w:rsidP="00881B84">
      <w:pPr>
        <w:pStyle w:val="AIBodyText"/>
        <w:rPr>
          <w:color w:val="auto"/>
          <w:lang w:val="en-CA"/>
        </w:rPr>
      </w:pPr>
      <w:proofErr w:type="spellStart"/>
      <w:r w:rsidRPr="00AA6144">
        <w:rPr>
          <w:color w:val="auto"/>
          <w:lang w:val="en-CA"/>
        </w:rPr>
        <w:t>Mugesera</w:t>
      </w:r>
      <w:proofErr w:type="spellEnd"/>
      <w:r w:rsidRPr="00AA6144">
        <w:rPr>
          <w:color w:val="auto"/>
          <w:lang w:val="en-CA"/>
        </w:rPr>
        <w:t xml:space="preserve"> remained in Canada for many years despite the deportation order and requests from the Rwandan government that he be returned to stand trial, as he filed petitions challenging the order. </w:t>
      </w:r>
      <w:r w:rsidR="009D274B" w:rsidRPr="00AA6144">
        <w:rPr>
          <w:color w:val="auto"/>
          <w:lang w:val="en-CA"/>
        </w:rPr>
        <w:t>T</w:t>
      </w:r>
      <w:r w:rsidRPr="00AA6144">
        <w:rPr>
          <w:color w:val="auto"/>
          <w:lang w:val="en-CA"/>
        </w:rPr>
        <w:t xml:space="preserve">he Minister of Citizenship and Immigration, Immigration and Refugee Board, and the Federal Court approved </w:t>
      </w:r>
      <w:proofErr w:type="spellStart"/>
      <w:r w:rsidR="009D274B" w:rsidRPr="00AA6144">
        <w:rPr>
          <w:color w:val="auto"/>
          <w:lang w:val="en-CA"/>
        </w:rPr>
        <w:t>Mugesera’s</w:t>
      </w:r>
      <w:proofErr w:type="spellEnd"/>
      <w:r w:rsidR="009D274B" w:rsidRPr="00AA6144">
        <w:rPr>
          <w:color w:val="auto"/>
          <w:lang w:val="en-CA"/>
        </w:rPr>
        <w:t xml:space="preserve"> </w:t>
      </w:r>
      <w:r w:rsidRPr="00AA6144">
        <w:rPr>
          <w:color w:val="auto"/>
          <w:lang w:val="en-CA"/>
        </w:rPr>
        <w:t xml:space="preserve">deportation order on the basis that </w:t>
      </w:r>
      <w:r w:rsidR="009D274B" w:rsidRPr="00AA6144">
        <w:rPr>
          <w:color w:val="auto"/>
          <w:lang w:val="en-CA"/>
        </w:rPr>
        <w:t>his</w:t>
      </w:r>
      <w:r w:rsidR="007C720C" w:rsidRPr="00AA6144">
        <w:rPr>
          <w:color w:val="auto"/>
          <w:lang w:val="en-CA"/>
        </w:rPr>
        <w:t xml:space="preserve"> alleged</w:t>
      </w:r>
      <w:r w:rsidR="009D274B" w:rsidRPr="00AA6144">
        <w:rPr>
          <w:color w:val="auto"/>
          <w:lang w:val="en-CA"/>
        </w:rPr>
        <w:t xml:space="preserve"> </w:t>
      </w:r>
      <w:r w:rsidRPr="00AA6144">
        <w:rPr>
          <w:color w:val="auto"/>
          <w:lang w:val="en-CA"/>
        </w:rPr>
        <w:t xml:space="preserve">crimes in Rwanda made him inadmissible in Canada before he was admitted in 1993.  In a unanimous judgment of an appeal to the Supreme Court of Canada, the Court upheld the deportation order and found that there were reasonable grounds to believe that </w:t>
      </w:r>
      <w:proofErr w:type="spellStart"/>
      <w:r w:rsidRPr="00AA6144">
        <w:rPr>
          <w:color w:val="auto"/>
          <w:lang w:val="en-CA"/>
        </w:rPr>
        <w:t>Mugesera</w:t>
      </w:r>
      <w:proofErr w:type="spellEnd"/>
      <w:r w:rsidRPr="00AA6144">
        <w:rPr>
          <w:color w:val="auto"/>
          <w:lang w:val="en-CA"/>
        </w:rPr>
        <w:t xml:space="preserve"> had committed a crime against humanity.</w:t>
      </w:r>
      <w:r w:rsidR="00174869" w:rsidRPr="00AA6144">
        <w:rPr>
          <w:rStyle w:val="FootnoteReference"/>
          <w:color w:val="auto"/>
          <w:lang w:val="en-CA"/>
        </w:rPr>
        <w:footnoteReference w:id="726"/>
      </w:r>
    </w:p>
    <w:p w14:paraId="0BB84AF8" w14:textId="77777777" w:rsidR="00881B84" w:rsidRPr="00AA6144" w:rsidRDefault="00881B84" w:rsidP="00881B84">
      <w:pPr>
        <w:pStyle w:val="AIBodyText"/>
        <w:rPr>
          <w:color w:val="auto"/>
          <w:lang w:val="en-CA"/>
        </w:rPr>
      </w:pPr>
      <w:r w:rsidRPr="00AA6144">
        <w:rPr>
          <w:color w:val="auto"/>
          <w:lang w:val="en-CA"/>
        </w:rPr>
        <w:t xml:space="preserve">Although this case was primarily an administrative law case, it is notable for </w:t>
      </w:r>
      <w:r w:rsidR="007C720C" w:rsidRPr="00AA6144">
        <w:rPr>
          <w:color w:val="auto"/>
          <w:lang w:val="en-CA"/>
        </w:rPr>
        <w:t xml:space="preserve">having </w:t>
      </w:r>
      <w:r w:rsidRPr="00AA6144">
        <w:rPr>
          <w:color w:val="auto"/>
          <w:lang w:val="en-CA"/>
        </w:rPr>
        <w:t>giv</w:t>
      </w:r>
      <w:r w:rsidR="007C720C" w:rsidRPr="00AA6144">
        <w:rPr>
          <w:color w:val="auto"/>
          <w:lang w:val="en-CA"/>
        </w:rPr>
        <w:t>en</w:t>
      </w:r>
      <w:r w:rsidRPr="00AA6144">
        <w:rPr>
          <w:color w:val="auto"/>
          <w:lang w:val="en-CA"/>
        </w:rPr>
        <w:t xml:space="preserve"> the Supreme Court </w:t>
      </w:r>
      <w:r w:rsidR="004A6D10" w:rsidRPr="00AA6144">
        <w:rPr>
          <w:color w:val="auto"/>
          <w:lang w:val="en-CA"/>
        </w:rPr>
        <w:t xml:space="preserve">of Canada </w:t>
      </w:r>
      <w:r w:rsidRPr="00AA6144">
        <w:rPr>
          <w:color w:val="auto"/>
          <w:lang w:val="en-CA"/>
        </w:rPr>
        <w:t xml:space="preserve">the opportunity to consider the manner in which Canadian courts should view the </w:t>
      </w:r>
      <w:r w:rsidR="000B240E" w:rsidRPr="00AA6144">
        <w:rPr>
          <w:color w:val="auto"/>
          <w:lang w:val="en-CA"/>
        </w:rPr>
        <w:t>jurisprudence</w:t>
      </w:r>
      <w:r w:rsidRPr="00AA6144">
        <w:rPr>
          <w:color w:val="auto"/>
          <w:lang w:val="en-CA"/>
        </w:rPr>
        <w:t xml:space="preserve"> of international criminal courts, treaty obligations and customary international law when deciding questions of international criminal law. In </w:t>
      </w:r>
      <w:r w:rsidR="00F358AC" w:rsidRPr="00AA6144">
        <w:rPr>
          <w:color w:val="auto"/>
          <w:lang w:val="en-CA"/>
        </w:rPr>
        <w:t xml:space="preserve">determining </w:t>
      </w:r>
      <w:r w:rsidRPr="00AA6144">
        <w:rPr>
          <w:color w:val="auto"/>
          <w:lang w:val="en-CA"/>
        </w:rPr>
        <w:t>the elements of a crime against humanity, the Court decided to defer to the expertise of the international criminal tribunals, recogni</w:t>
      </w:r>
      <w:r w:rsidR="007C720C" w:rsidRPr="00AA6144">
        <w:rPr>
          <w:color w:val="auto"/>
          <w:lang w:val="en-CA"/>
        </w:rPr>
        <w:t>z</w:t>
      </w:r>
      <w:r w:rsidRPr="00AA6144">
        <w:rPr>
          <w:color w:val="auto"/>
          <w:lang w:val="en-CA"/>
        </w:rPr>
        <w:t xml:space="preserve">ing the developments in jurisprudence since its decision in </w:t>
      </w:r>
      <w:proofErr w:type="spellStart"/>
      <w:r w:rsidRPr="00AA6144">
        <w:rPr>
          <w:i/>
          <w:color w:val="auto"/>
          <w:lang w:val="en-CA"/>
        </w:rPr>
        <w:t>Finta</w:t>
      </w:r>
      <w:proofErr w:type="spellEnd"/>
      <w:r w:rsidRPr="00AA6144">
        <w:rPr>
          <w:color w:val="auto"/>
          <w:lang w:val="en-CA"/>
        </w:rPr>
        <w:t xml:space="preserve"> in 1994.  Specifically, the Court reversed the point made in </w:t>
      </w:r>
      <w:proofErr w:type="spellStart"/>
      <w:r w:rsidRPr="00AA6144">
        <w:rPr>
          <w:i/>
          <w:color w:val="auto"/>
          <w:lang w:val="en-CA"/>
        </w:rPr>
        <w:t>Finta</w:t>
      </w:r>
      <w:proofErr w:type="spellEnd"/>
      <w:r w:rsidRPr="00AA6144">
        <w:rPr>
          <w:i/>
          <w:color w:val="auto"/>
          <w:lang w:val="en-CA"/>
        </w:rPr>
        <w:t xml:space="preserve"> </w:t>
      </w:r>
      <w:r w:rsidRPr="00AA6144">
        <w:rPr>
          <w:color w:val="auto"/>
          <w:lang w:val="en-CA"/>
        </w:rPr>
        <w:t xml:space="preserve">that a discriminatory </w:t>
      </w:r>
      <w:proofErr w:type="spellStart"/>
      <w:r w:rsidRPr="00AA6144">
        <w:rPr>
          <w:i/>
          <w:color w:val="auto"/>
          <w:lang w:val="en-CA"/>
        </w:rPr>
        <w:t>mens</w:t>
      </w:r>
      <w:proofErr w:type="spellEnd"/>
      <w:r w:rsidRPr="00AA6144">
        <w:rPr>
          <w:i/>
          <w:color w:val="auto"/>
          <w:lang w:val="en-CA"/>
        </w:rPr>
        <w:t xml:space="preserve"> rea</w:t>
      </w:r>
      <w:r w:rsidRPr="00AA6144">
        <w:rPr>
          <w:color w:val="auto"/>
          <w:lang w:val="en-CA"/>
        </w:rPr>
        <w:t xml:space="preserve"> was required for conviction for all crimes against humanity</w:t>
      </w:r>
      <w:r w:rsidR="000B240E" w:rsidRPr="00AA6144">
        <w:rPr>
          <w:color w:val="auto"/>
          <w:lang w:val="en-CA"/>
        </w:rPr>
        <w:t>:</w:t>
      </w:r>
    </w:p>
    <w:p w14:paraId="3820CFFB" w14:textId="77777777" w:rsidR="00881B84" w:rsidRPr="00AA6144" w:rsidRDefault="00881B84" w:rsidP="007709ED">
      <w:pPr>
        <w:pStyle w:val="AIBodyText"/>
        <w:ind w:left="357" w:right="567"/>
        <w:rPr>
          <w:color w:val="auto"/>
          <w:lang w:val="en-CA"/>
        </w:rPr>
      </w:pPr>
      <w:r w:rsidRPr="00AA6144">
        <w:rPr>
          <w:color w:val="auto"/>
          <w:lang w:val="en-CA"/>
        </w:rPr>
        <w:t xml:space="preserve">It is important to stress that the person committing the act need only be cognizant of the link between his or her act and the attack. The person need not intend that the act be directed against the targeted population, and motive is irrelevant once knowledge of the attack has been established together with knowledge that the act forms a part of the  attack or with recklessness in this regard: </w:t>
      </w:r>
      <w:proofErr w:type="spellStart"/>
      <w:r w:rsidRPr="00AA6144">
        <w:rPr>
          <w:color w:val="auto"/>
          <w:lang w:val="en-CA"/>
        </w:rPr>
        <w:t>Kunarac</w:t>
      </w:r>
      <w:proofErr w:type="spellEnd"/>
      <w:r w:rsidRPr="00AA6144">
        <w:rPr>
          <w:color w:val="auto"/>
          <w:lang w:val="en-CA"/>
        </w:rPr>
        <w:t>,  Appeals Chamber, at para. 103. Even if the person’s motive is purely personal, the act may be a crime against humanity if the relevant knowledge is made out.</w:t>
      </w:r>
      <w:r w:rsidRPr="00AA6144">
        <w:rPr>
          <w:rStyle w:val="FootnoteReference"/>
          <w:color w:val="auto"/>
          <w:lang w:val="en-CA"/>
        </w:rPr>
        <w:footnoteReference w:id="727"/>
      </w:r>
      <w:r w:rsidRPr="00AA6144">
        <w:rPr>
          <w:color w:val="auto"/>
          <w:lang w:val="en-CA"/>
        </w:rPr>
        <w:t xml:space="preserve"> </w:t>
      </w:r>
    </w:p>
    <w:p w14:paraId="5DD79963" w14:textId="77777777" w:rsidR="00881B84" w:rsidRPr="00AA6144" w:rsidRDefault="00881B84" w:rsidP="00881B84">
      <w:pPr>
        <w:pStyle w:val="AIBodyText"/>
        <w:rPr>
          <w:color w:val="auto"/>
          <w:lang w:val="en-CA"/>
        </w:rPr>
      </w:pPr>
      <w:r w:rsidRPr="00AA6144">
        <w:rPr>
          <w:color w:val="auto"/>
          <w:lang w:val="en-CA"/>
        </w:rPr>
        <w:t xml:space="preserve">The Court </w:t>
      </w:r>
      <w:r w:rsidR="00A812F1" w:rsidRPr="00AA6144">
        <w:rPr>
          <w:color w:val="auto"/>
          <w:lang w:val="en-CA"/>
        </w:rPr>
        <w:t xml:space="preserve">in </w:t>
      </w:r>
      <w:proofErr w:type="spellStart"/>
      <w:r w:rsidR="00A812F1" w:rsidRPr="00AA6144">
        <w:rPr>
          <w:i/>
          <w:color w:val="auto"/>
          <w:lang w:val="en-CA"/>
        </w:rPr>
        <w:t>Mugesera</w:t>
      </w:r>
      <w:proofErr w:type="spellEnd"/>
      <w:r w:rsidR="00A812F1" w:rsidRPr="00AA6144">
        <w:rPr>
          <w:i/>
          <w:color w:val="auto"/>
          <w:lang w:val="en-CA"/>
        </w:rPr>
        <w:t xml:space="preserve"> </w:t>
      </w:r>
      <w:r w:rsidR="00A812F1" w:rsidRPr="00AA6144">
        <w:rPr>
          <w:color w:val="auto"/>
          <w:lang w:val="en-CA"/>
        </w:rPr>
        <w:t>established</w:t>
      </w:r>
      <w:r w:rsidRPr="00AA6144">
        <w:rPr>
          <w:color w:val="auto"/>
          <w:lang w:val="en-CA"/>
        </w:rPr>
        <w:t xml:space="preserve"> four elements to </w:t>
      </w:r>
      <w:r w:rsidR="00A812F1" w:rsidRPr="00AA6144">
        <w:rPr>
          <w:color w:val="auto"/>
          <w:lang w:val="en-CA"/>
        </w:rPr>
        <w:t xml:space="preserve">conclude that </w:t>
      </w:r>
      <w:r w:rsidRPr="00AA6144">
        <w:rPr>
          <w:color w:val="auto"/>
          <w:lang w:val="en-CA"/>
        </w:rPr>
        <w:t>a crime against humanity</w:t>
      </w:r>
      <w:r w:rsidR="00A812F1" w:rsidRPr="00AA6144">
        <w:rPr>
          <w:color w:val="auto"/>
          <w:lang w:val="en-CA"/>
        </w:rPr>
        <w:t xml:space="preserve"> has occu</w:t>
      </w:r>
      <w:r w:rsidR="008C4FA9" w:rsidRPr="00AA6144">
        <w:rPr>
          <w:color w:val="auto"/>
          <w:lang w:val="en-CA"/>
        </w:rPr>
        <w:t>r</w:t>
      </w:r>
      <w:r w:rsidR="00A812F1" w:rsidRPr="00AA6144">
        <w:rPr>
          <w:color w:val="auto"/>
          <w:lang w:val="en-CA"/>
        </w:rPr>
        <w:t>red</w:t>
      </w:r>
      <w:r w:rsidRPr="00AA6144">
        <w:rPr>
          <w:color w:val="auto"/>
          <w:lang w:val="en-CA"/>
        </w:rPr>
        <w:t xml:space="preserve">, inspired by the </w:t>
      </w:r>
      <w:r w:rsidRPr="00AA6144">
        <w:rPr>
          <w:i/>
          <w:iCs/>
          <w:color w:val="auto"/>
          <w:lang w:val="en-CA"/>
        </w:rPr>
        <w:t>Criminal Code</w:t>
      </w:r>
      <w:r w:rsidRPr="00AA6144">
        <w:rPr>
          <w:color w:val="auto"/>
          <w:lang w:val="en-CA"/>
        </w:rPr>
        <w:t xml:space="preserve"> and international law:</w:t>
      </w:r>
    </w:p>
    <w:p w14:paraId="33245690" w14:textId="77777777" w:rsidR="00881B84" w:rsidRPr="00AA6144" w:rsidRDefault="00A852F2" w:rsidP="00C04C74">
      <w:pPr>
        <w:pStyle w:val="AIBodyText"/>
        <w:spacing w:line="240" w:lineRule="auto"/>
        <w:ind w:left="357" w:right="567"/>
        <w:rPr>
          <w:color w:val="auto"/>
          <w:lang w:val="en-CA"/>
        </w:rPr>
      </w:pPr>
      <w:r w:rsidRPr="00AA6144">
        <w:rPr>
          <w:color w:val="auto"/>
          <w:lang w:val="en-CA"/>
        </w:rPr>
        <w:t>(a)</w:t>
      </w:r>
      <w:r w:rsidR="00881B84" w:rsidRPr="00AA6144">
        <w:rPr>
          <w:color w:val="auto"/>
          <w:lang w:val="en-CA"/>
        </w:rPr>
        <w:t xml:space="preserve"> An enumerated proscribed act was committed (inclusive is the applicant committed the criminal act and had the requisite guilty state of mind for the underlying act); </w:t>
      </w:r>
      <w:r w:rsidRPr="00AA6144">
        <w:rPr>
          <w:color w:val="auto"/>
          <w:lang w:val="en-CA"/>
        </w:rPr>
        <w:br/>
        <w:t>(b)</w:t>
      </w:r>
      <w:r w:rsidR="00881B84" w:rsidRPr="00AA6144">
        <w:rPr>
          <w:color w:val="auto"/>
          <w:lang w:val="en-CA"/>
        </w:rPr>
        <w:t xml:space="preserve"> The act was committed as part of a widespread or systematic attack; </w:t>
      </w:r>
      <w:r w:rsidRPr="00AA6144">
        <w:rPr>
          <w:color w:val="auto"/>
          <w:lang w:val="en-CA"/>
        </w:rPr>
        <w:br/>
        <w:t>(c)</w:t>
      </w:r>
      <w:r w:rsidR="00881B84" w:rsidRPr="00AA6144">
        <w:rPr>
          <w:color w:val="auto"/>
          <w:lang w:val="en-CA"/>
        </w:rPr>
        <w:t xml:space="preserve"> The attack was directed against any civilian population or any identifiable group of persons; and</w:t>
      </w:r>
      <w:r w:rsidRPr="00AA6144">
        <w:rPr>
          <w:color w:val="auto"/>
          <w:lang w:val="en-CA"/>
        </w:rPr>
        <w:br/>
        <w:t>(d)</w:t>
      </w:r>
      <w:r w:rsidR="00881B84" w:rsidRPr="00AA6144">
        <w:rPr>
          <w:color w:val="auto"/>
          <w:lang w:val="en-CA"/>
        </w:rPr>
        <w:t xml:space="preserve"> The applicant committing the proscribed act knew of the attack and knew or took the risk that his or her act comprised a part of that attack.</w:t>
      </w:r>
      <w:r w:rsidR="008C4FA9" w:rsidRPr="00AA6144">
        <w:rPr>
          <w:color w:val="auto"/>
          <w:vertAlign w:val="superscript"/>
          <w:lang w:val="en-CA"/>
        </w:rPr>
        <w:t xml:space="preserve"> </w:t>
      </w:r>
      <w:r w:rsidR="008C4FA9" w:rsidRPr="00AA6144">
        <w:rPr>
          <w:color w:val="auto"/>
          <w:vertAlign w:val="superscript"/>
          <w:lang w:val="en-CA"/>
        </w:rPr>
        <w:footnoteReference w:id="728"/>
      </w:r>
    </w:p>
    <w:p w14:paraId="1419A5DC" w14:textId="514AE727" w:rsidR="00365197" w:rsidRPr="00AA6144" w:rsidRDefault="00881B84" w:rsidP="00881B84">
      <w:pPr>
        <w:rPr>
          <w:color w:val="auto"/>
          <w:lang w:val="en-CA"/>
        </w:rPr>
      </w:pPr>
      <w:r w:rsidRPr="00AA6144">
        <w:rPr>
          <w:color w:val="auto"/>
          <w:lang w:val="en-CA"/>
        </w:rPr>
        <w:t xml:space="preserve">The Court concluded that there were reasonable grounds to believe that </w:t>
      </w:r>
      <w:proofErr w:type="spellStart"/>
      <w:r w:rsidRPr="00AA6144">
        <w:rPr>
          <w:color w:val="auto"/>
          <w:lang w:val="en-CA"/>
        </w:rPr>
        <w:t>Mugesera</w:t>
      </w:r>
      <w:proofErr w:type="spellEnd"/>
      <w:r w:rsidRPr="00AA6144">
        <w:rPr>
          <w:color w:val="auto"/>
          <w:lang w:val="en-CA"/>
        </w:rPr>
        <w:t xml:space="preserve"> committed a crime against humanity and was therefore inadmissible to Canada. On January 24th</w:t>
      </w:r>
      <w:proofErr w:type="gramStart"/>
      <w:r w:rsidRPr="00AA6144">
        <w:rPr>
          <w:color w:val="auto"/>
          <w:lang w:val="en-CA"/>
        </w:rPr>
        <w:t xml:space="preserve"> 2012</w:t>
      </w:r>
      <w:proofErr w:type="gramEnd"/>
      <w:r w:rsidRPr="00AA6144">
        <w:rPr>
          <w:color w:val="auto"/>
          <w:lang w:val="en-CA"/>
        </w:rPr>
        <w:t>, after a 16</w:t>
      </w:r>
      <w:r w:rsidR="007A6C58" w:rsidRPr="00AA6144">
        <w:rPr>
          <w:color w:val="auto"/>
          <w:lang w:val="en-CA"/>
        </w:rPr>
        <w:t>-</w:t>
      </w:r>
      <w:r w:rsidRPr="00AA6144">
        <w:rPr>
          <w:color w:val="auto"/>
          <w:lang w:val="en-CA"/>
        </w:rPr>
        <w:t>year legal battle, including final appeals to avoid deportation on the principle of non-refoulement,</w:t>
      </w:r>
      <w:r w:rsidRPr="00AA6144">
        <w:rPr>
          <w:rStyle w:val="FootnoteReference"/>
          <w:color w:val="auto"/>
          <w:lang w:val="en-CA"/>
        </w:rPr>
        <w:footnoteReference w:id="729"/>
      </w:r>
      <w:r w:rsidRPr="00AA6144">
        <w:rPr>
          <w:color w:val="auto"/>
          <w:lang w:val="en-CA"/>
        </w:rPr>
        <w:t xml:space="preserve"> </w:t>
      </w:r>
      <w:proofErr w:type="spellStart"/>
      <w:r w:rsidRPr="00AA6144">
        <w:rPr>
          <w:color w:val="auto"/>
          <w:lang w:val="en-CA"/>
        </w:rPr>
        <w:t>Mugesera</w:t>
      </w:r>
      <w:proofErr w:type="spellEnd"/>
      <w:r w:rsidRPr="00AA6144">
        <w:rPr>
          <w:color w:val="auto"/>
          <w:lang w:val="en-CA"/>
        </w:rPr>
        <w:t xml:space="preserve"> was finally deported from Canada and is now in custody in Kigali</w:t>
      </w:r>
      <w:r w:rsidR="000B240E" w:rsidRPr="00AA6144">
        <w:rPr>
          <w:color w:val="auto"/>
          <w:lang w:val="en-CA"/>
        </w:rPr>
        <w:t>. He</w:t>
      </w:r>
      <w:r w:rsidRPr="00AA6144">
        <w:rPr>
          <w:color w:val="auto"/>
          <w:lang w:val="en-CA"/>
        </w:rPr>
        <w:t xml:space="preserve"> is charged with, among other things, incitement to commit genocide.</w:t>
      </w:r>
      <w:r w:rsidR="00892E64" w:rsidRPr="00AA6144">
        <w:rPr>
          <w:rStyle w:val="FootnoteReference"/>
          <w:color w:val="auto"/>
          <w:lang w:val="en-CA"/>
        </w:rPr>
        <w:footnoteReference w:id="730"/>
      </w:r>
    </w:p>
    <w:p w14:paraId="1C04B80C" w14:textId="5AC43912" w:rsidR="0081425A" w:rsidRPr="00AA6144" w:rsidRDefault="0081425A" w:rsidP="0081425A">
      <w:pPr>
        <w:pStyle w:val="Heading3"/>
        <w:rPr>
          <w:lang w:val="en-CA"/>
        </w:rPr>
      </w:pPr>
      <w:bookmarkStart w:id="327" w:name="_Toc43382817"/>
      <w:r w:rsidRPr="00AA6144">
        <w:rPr>
          <w:lang w:val="en-CA"/>
        </w:rPr>
        <w:t>9.4.2 Ezokola v Canada (Citizenship and immigraiton), 2013 SCC 40</w:t>
      </w:r>
      <w:r w:rsidRPr="00AA6144">
        <w:rPr>
          <w:rStyle w:val="FootnoteReference"/>
          <w:lang w:val="en-CA"/>
        </w:rPr>
        <w:footnoteReference w:id="731"/>
      </w:r>
      <w:bookmarkEnd w:id="327"/>
    </w:p>
    <w:p w14:paraId="58353569" w14:textId="77777777" w:rsidR="00CD4A58" w:rsidRPr="00AA6144" w:rsidRDefault="00CD4A58" w:rsidP="00CD4A58">
      <w:pPr>
        <w:widowControl/>
        <w:suppressAutoHyphens w:val="0"/>
        <w:spacing w:after="0" w:line="240" w:lineRule="auto"/>
        <w:rPr>
          <w:rFonts w:ascii="Times New Roman" w:hAnsi="Times New Roman"/>
          <w:sz w:val="24"/>
          <w:lang w:val="en-CA" w:eastAsia="en-US"/>
        </w:rPr>
      </w:pPr>
    </w:p>
    <w:p w14:paraId="4068BBFB" w14:textId="558CA9EA" w:rsidR="0069186E" w:rsidRPr="000D6C42" w:rsidRDefault="00CD4A58" w:rsidP="000D6C42">
      <w:pPr>
        <w:rPr>
          <w:color w:val="auto"/>
          <w:lang w:val="en-CA"/>
        </w:rPr>
      </w:pPr>
      <w:proofErr w:type="spellStart"/>
      <w:r w:rsidRPr="000D6C42">
        <w:rPr>
          <w:color w:val="auto"/>
          <w:lang w:val="en-CA"/>
        </w:rPr>
        <w:t>Rachidi</w:t>
      </w:r>
      <w:proofErr w:type="spellEnd"/>
      <w:r w:rsidRPr="000D6C42">
        <w:rPr>
          <w:color w:val="auto"/>
          <w:lang w:val="en-CA"/>
        </w:rPr>
        <w:t xml:space="preserve"> </w:t>
      </w:r>
      <w:proofErr w:type="spellStart"/>
      <w:r w:rsidRPr="000D6C42">
        <w:rPr>
          <w:color w:val="auto"/>
          <w:lang w:val="en-CA"/>
        </w:rPr>
        <w:t>Ekanza</w:t>
      </w:r>
      <w:proofErr w:type="spellEnd"/>
      <w:r w:rsidRPr="000D6C42">
        <w:rPr>
          <w:color w:val="auto"/>
          <w:lang w:val="en-CA"/>
        </w:rPr>
        <w:t xml:space="preserve"> </w:t>
      </w:r>
      <w:proofErr w:type="spellStart"/>
      <w:r w:rsidRPr="000D6C42">
        <w:rPr>
          <w:color w:val="auto"/>
          <w:lang w:val="en-CA"/>
        </w:rPr>
        <w:t>Ezokola</w:t>
      </w:r>
      <w:proofErr w:type="spellEnd"/>
      <w:r w:rsidRPr="000D6C42">
        <w:rPr>
          <w:color w:val="auto"/>
          <w:lang w:val="en-CA"/>
        </w:rPr>
        <w:t xml:space="preserve"> worked as an attaché for the Ministry of Finance of the </w:t>
      </w:r>
      <w:r w:rsidR="009F19A5" w:rsidRPr="000D6C42">
        <w:rPr>
          <w:color w:val="auto"/>
          <w:lang w:val="en-CA"/>
        </w:rPr>
        <w:t xml:space="preserve">Democratic Republic of Congo (DRC), </w:t>
      </w:r>
      <w:r w:rsidRPr="000D6C42">
        <w:rPr>
          <w:color w:val="auto"/>
          <w:lang w:val="en-CA"/>
        </w:rPr>
        <w:t xml:space="preserve">and </w:t>
      </w:r>
      <w:r w:rsidR="009F19A5" w:rsidRPr="000D6C42">
        <w:rPr>
          <w:color w:val="auto"/>
          <w:lang w:val="en-CA"/>
        </w:rPr>
        <w:t>eventually lead the Permanent Mission of the DRC at the United Nations in New York City. In 2008, he resigned from his position</w:t>
      </w:r>
      <w:r w:rsidRPr="000D6C42">
        <w:rPr>
          <w:color w:val="auto"/>
          <w:lang w:val="en-CA"/>
        </w:rPr>
        <w:t xml:space="preserve">, </w:t>
      </w:r>
      <w:r w:rsidR="009F19A5" w:rsidRPr="000D6C42">
        <w:rPr>
          <w:color w:val="auto"/>
          <w:lang w:val="en-CA"/>
        </w:rPr>
        <w:t>fled to Canada with his famil</w:t>
      </w:r>
      <w:r w:rsidR="0069186E" w:rsidRPr="000D6C42">
        <w:rPr>
          <w:color w:val="auto"/>
          <w:lang w:val="en-CA"/>
        </w:rPr>
        <w:t xml:space="preserve">y to </w:t>
      </w:r>
      <w:r w:rsidR="009F19A5" w:rsidRPr="000D6C42">
        <w:rPr>
          <w:color w:val="auto"/>
          <w:lang w:val="en-CA"/>
        </w:rPr>
        <w:t xml:space="preserve">see refugee protection. </w:t>
      </w:r>
      <w:r w:rsidRPr="000D6C42">
        <w:rPr>
          <w:color w:val="auto"/>
          <w:lang w:val="en-CA"/>
        </w:rPr>
        <w:t xml:space="preserve">Mr. </w:t>
      </w:r>
      <w:proofErr w:type="spellStart"/>
      <w:r w:rsidRPr="000D6C42">
        <w:rPr>
          <w:color w:val="auto"/>
          <w:lang w:val="en-CA"/>
        </w:rPr>
        <w:t>Ezokola</w:t>
      </w:r>
      <w:proofErr w:type="spellEnd"/>
      <w:r w:rsidRPr="000D6C42">
        <w:rPr>
          <w:color w:val="auto"/>
          <w:lang w:val="en-CA"/>
        </w:rPr>
        <w:t xml:space="preserve"> claimed that he </w:t>
      </w:r>
      <w:r w:rsidR="009F19A5" w:rsidRPr="000D6C42">
        <w:rPr>
          <w:color w:val="auto"/>
          <w:lang w:val="en-CA"/>
        </w:rPr>
        <w:t>could no longer work for a government he considered corrupt, violent, and antidemocratic.</w:t>
      </w:r>
    </w:p>
    <w:p w14:paraId="71060DE4" w14:textId="49C327E5" w:rsidR="009F19A5" w:rsidRPr="000C2340" w:rsidRDefault="009F19A5" w:rsidP="00AA6144">
      <w:pPr>
        <w:widowControl/>
        <w:suppressAutoHyphens w:val="0"/>
        <w:spacing w:after="0" w:line="240" w:lineRule="auto"/>
        <w:rPr>
          <w:rFonts w:ascii="Times New Roman" w:hAnsi="Times New Roman"/>
          <w:color w:val="000000" w:themeColor="text1"/>
          <w:szCs w:val="18"/>
          <w:lang w:val="en-CA" w:eastAsia="en-US"/>
        </w:rPr>
      </w:pPr>
      <w:r w:rsidRPr="000D6C42">
        <w:rPr>
          <w:color w:val="auto"/>
          <w:lang w:val="en-CA"/>
        </w:rPr>
        <w:t xml:space="preserve">The Immigration and Refugee Board of Canada (IRB) </w:t>
      </w:r>
      <w:r w:rsidR="0069186E" w:rsidRPr="000D6C42">
        <w:rPr>
          <w:color w:val="auto"/>
          <w:lang w:val="en-CA"/>
        </w:rPr>
        <w:t>barred</w:t>
      </w:r>
      <w:r w:rsidR="00CD4A58" w:rsidRPr="000D6C42">
        <w:rPr>
          <w:color w:val="auto"/>
          <w:lang w:val="en-CA"/>
        </w:rPr>
        <w:t xml:space="preserve"> </w:t>
      </w:r>
      <w:r w:rsidRPr="000D6C42">
        <w:rPr>
          <w:color w:val="auto"/>
          <w:lang w:val="en-CA"/>
        </w:rPr>
        <w:t xml:space="preserve">Mr. </w:t>
      </w:r>
      <w:proofErr w:type="spellStart"/>
      <w:r w:rsidRPr="000D6C42">
        <w:rPr>
          <w:color w:val="auto"/>
          <w:lang w:val="en-CA"/>
        </w:rPr>
        <w:t>Ezokola</w:t>
      </w:r>
      <w:proofErr w:type="spellEnd"/>
      <w:r w:rsidRPr="000D6C42">
        <w:rPr>
          <w:color w:val="auto"/>
          <w:lang w:val="en-CA"/>
        </w:rPr>
        <w:t xml:space="preserve"> </w:t>
      </w:r>
      <w:r w:rsidR="00CD4A58" w:rsidRPr="000D6C42">
        <w:rPr>
          <w:color w:val="auto"/>
          <w:lang w:val="en-CA"/>
        </w:rPr>
        <w:t xml:space="preserve">from </w:t>
      </w:r>
      <w:r w:rsidR="0069186E" w:rsidRPr="000D6C42">
        <w:rPr>
          <w:color w:val="auto"/>
          <w:lang w:val="en-CA"/>
        </w:rPr>
        <w:t>making a cl</w:t>
      </w:r>
      <w:r w:rsidR="00DE3452" w:rsidRPr="000D6C42">
        <w:rPr>
          <w:color w:val="auto"/>
          <w:lang w:val="en-CA"/>
        </w:rPr>
        <w:t>ai</w:t>
      </w:r>
      <w:r w:rsidR="0069186E" w:rsidRPr="000D6C42">
        <w:rPr>
          <w:color w:val="auto"/>
          <w:lang w:val="en-CA"/>
        </w:rPr>
        <w:t>m for refugee status,</w:t>
      </w:r>
      <w:r w:rsidR="00CD4A58" w:rsidRPr="000D6C42">
        <w:rPr>
          <w:color w:val="auto"/>
          <w:lang w:val="en-CA"/>
        </w:rPr>
        <w:t xml:space="preserve"> </w:t>
      </w:r>
      <w:r w:rsidRPr="000D6C42">
        <w:rPr>
          <w:color w:val="auto"/>
          <w:lang w:val="en-CA"/>
        </w:rPr>
        <w:t xml:space="preserve">finding him complicit in the crimes against humanity committed by the </w:t>
      </w:r>
      <w:r w:rsidR="0069186E" w:rsidRPr="000D6C42">
        <w:rPr>
          <w:color w:val="auto"/>
          <w:lang w:val="en-CA"/>
        </w:rPr>
        <w:t xml:space="preserve">DRC </w:t>
      </w:r>
      <w:r w:rsidRPr="000D6C42">
        <w:rPr>
          <w:color w:val="auto"/>
          <w:lang w:val="en-CA"/>
        </w:rPr>
        <w:t>government</w:t>
      </w:r>
      <w:r w:rsidR="00CD4A58" w:rsidRPr="000D6C42">
        <w:rPr>
          <w:color w:val="auto"/>
          <w:lang w:val="en-CA"/>
        </w:rPr>
        <w:t xml:space="preserve"> because of his work</w:t>
      </w:r>
      <w:r w:rsidRPr="000D6C42">
        <w:rPr>
          <w:color w:val="auto"/>
          <w:lang w:val="en-CA"/>
        </w:rPr>
        <w:t xml:space="preserve">. </w:t>
      </w:r>
      <w:r w:rsidR="00CD4A58" w:rsidRPr="000D6C42">
        <w:rPr>
          <w:color w:val="auto"/>
          <w:lang w:val="en-CA"/>
        </w:rPr>
        <w:t>The Federal Court of Appeal held that</w:t>
      </w:r>
      <w:r w:rsidR="002D72D4" w:rsidRPr="000D6C42">
        <w:rPr>
          <w:color w:val="auto"/>
          <w:lang w:val="en-CA"/>
        </w:rPr>
        <w:t xml:space="preserve"> someone working in the government could demonstrate complicity by remaining in their position despite knowing of the crimes of the government yet without protest or defence</w:t>
      </w:r>
      <w:r w:rsidR="00CD4A58" w:rsidRPr="000D6C42">
        <w:rPr>
          <w:color w:val="auto"/>
          <w:lang w:val="en-CA"/>
        </w:rPr>
        <w:t>.</w:t>
      </w:r>
      <w:r w:rsidR="00CD4A58" w:rsidRPr="000C2340">
        <w:rPr>
          <w:rStyle w:val="FootnoteReference"/>
          <w:rFonts w:ascii="Times New Roman" w:hAnsi="Times New Roman"/>
          <w:color w:val="000000" w:themeColor="text1"/>
          <w:szCs w:val="18"/>
          <w:lang w:val="en-CA" w:eastAsia="en-US"/>
        </w:rPr>
        <w:footnoteReference w:id="732"/>
      </w:r>
    </w:p>
    <w:p w14:paraId="104FC9CF" w14:textId="45D31D9F" w:rsidR="009F19A5" w:rsidRPr="000D6C42" w:rsidRDefault="0069186E" w:rsidP="00AA6144">
      <w:pPr>
        <w:widowControl/>
        <w:shd w:val="clear" w:color="auto" w:fill="FFFFFF"/>
        <w:suppressAutoHyphens w:val="0"/>
        <w:spacing w:before="300" w:after="300" w:line="240" w:lineRule="auto"/>
        <w:rPr>
          <w:color w:val="auto"/>
          <w:lang w:val="en-CA"/>
        </w:rPr>
      </w:pPr>
      <w:r w:rsidRPr="000D6C42">
        <w:rPr>
          <w:color w:val="auto"/>
          <w:lang w:val="en-CA"/>
        </w:rPr>
        <w:t>The</w:t>
      </w:r>
      <w:r w:rsidR="009F19A5" w:rsidRPr="000D6C42">
        <w:rPr>
          <w:color w:val="auto"/>
          <w:lang w:val="en-CA"/>
        </w:rPr>
        <w:t xml:space="preserve"> Supreme Court of Canad</w:t>
      </w:r>
      <w:r w:rsidR="0081425A" w:rsidRPr="000D6C42">
        <w:rPr>
          <w:color w:val="auto"/>
          <w:lang w:val="en-CA"/>
        </w:rPr>
        <w:t>a</w:t>
      </w:r>
      <w:r w:rsidRPr="000D6C42">
        <w:rPr>
          <w:color w:val="auto"/>
          <w:lang w:val="en-CA"/>
        </w:rPr>
        <w:t xml:space="preserve"> undertook the challenge of</w:t>
      </w:r>
      <w:r w:rsidR="009F19A5" w:rsidRPr="000D6C42">
        <w:rPr>
          <w:color w:val="auto"/>
          <w:lang w:val="en-CA"/>
        </w:rPr>
        <w:t xml:space="preserve"> determining the proper meaning of Article 1(F)(a) of the </w:t>
      </w:r>
      <w:r w:rsidR="009F19A5" w:rsidRPr="000D6C42">
        <w:rPr>
          <w:i/>
          <w:iCs/>
          <w:color w:val="auto"/>
          <w:lang w:val="en-CA"/>
        </w:rPr>
        <w:t>Convention Relating to the Status of Refugees (Refugee Convention),</w:t>
      </w:r>
      <w:r w:rsidR="009F19A5" w:rsidRPr="000D6C42">
        <w:rPr>
          <w:color w:val="auto"/>
          <w:lang w:val="en-CA"/>
        </w:rPr>
        <w:t xml:space="preserve"> which provides that </w:t>
      </w:r>
      <w:r w:rsidR="0000691E" w:rsidRPr="000D6C42">
        <w:rPr>
          <w:color w:val="auto"/>
          <w:lang w:val="en-CA"/>
        </w:rPr>
        <w:t>“</w:t>
      </w:r>
      <w:r w:rsidR="009F19A5" w:rsidRPr="000D6C42">
        <w:rPr>
          <w:color w:val="auto"/>
          <w:lang w:val="en-CA"/>
        </w:rPr>
        <w:t>when there are serious reasons for considering that a person has committed a serious international crime, that person will be excluded from being able to receive refugee protection</w:t>
      </w:r>
      <w:r w:rsidR="0000691E" w:rsidRPr="000D6C42">
        <w:rPr>
          <w:color w:val="auto"/>
          <w:lang w:val="en-CA"/>
        </w:rPr>
        <w:t>”</w:t>
      </w:r>
      <w:r w:rsidR="009F19A5" w:rsidRPr="000D6C42">
        <w:rPr>
          <w:color w:val="auto"/>
          <w:lang w:val="en-CA"/>
        </w:rPr>
        <w:t>.</w:t>
      </w:r>
      <w:r w:rsidR="0000691E" w:rsidRPr="000D6C42">
        <w:rPr>
          <w:color w:val="auto"/>
          <w:vertAlign w:val="superscript"/>
        </w:rPr>
        <w:footnoteReference w:id="733"/>
      </w:r>
      <w:r w:rsidR="009F19A5" w:rsidRPr="000D6C42">
        <w:rPr>
          <w:color w:val="auto"/>
          <w:vertAlign w:val="superscript"/>
          <w:lang w:val="en-CA"/>
        </w:rPr>
        <w:t xml:space="preserve"> </w:t>
      </w:r>
      <w:r w:rsidR="009F19A5" w:rsidRPr="000D6C42">
        <w:rPr>
          <w:color w:val="auto"/>
          <w:lang w:val="en-CA"/>
        </w:rPr>
        <w:t>Article 1(F)(a) is incorporated into Canadian law through section 98 of the </w:t>
      </w:r>
      <w:r w:rsidR="009F19A5" w:rsidRPr="000D6C42">
        <w:rPr>
          <w:i/>
          <w:iCs/>
          <w:color w:val="auto"/>
          <w:lang w:val="en-CA"/>
        </w:rPr>
        <w:t>Immigration and Refugee Protection Act (IRPA).</w:t>
      </w:r>
      <w:r w:rsidR="0000691E" w:rsidRPr="000D6C42">
        <w:rPr>
          <w:color w:val="auto"/>
        </w:rPr>
        <w:t xml:space="preserve"> </w:t>
      </w:r>
      <w:r w:rsidR="0000691E" w:rsidRPr="000D6C42">
        <w:rPr>
          <w:color w:val="auto"/>
          <w:vertAlign w:val="superscript"/>
        </w:rPr>
        <w:footnoteReference w:id="734"/>
      </w:r>
      <w:r w:rsidR="009F19A5" w:rsidRPr="000D6C42">
        <w:rPr>
          <w:color w:val="auto"/>
          <w:vertAlign w:val="superscript"/>
          <w:lang w:val="en-CA"/>
        </w:rPr>
        <w:t xml:space="preserve"> </w:t>
      </w:r>
      <w:r w:rsidR="0000691E" w:rsidRPr="000D6C42">
        <w:rPr>
          <w:color w:val="auto"/>
          <w:lang w:val="en-CA"/>
        </w:rPr>
        <w:t xml:space="preserve">In this case, the </w:t>
      </w:r>
      <w:r w:rsidR="008E666C" w:rsidRPr="000D6C42">
        <w:rPr>
          <w:color w:val="auto"/>
          <w:lang w:val="en-CA"/>
        </w:rPr>
        <w:t>C</w:t>
      </w:r>
      <w:r w:rsidR="0000691E" w:rsidRPr="000D6C42">
        <w:rPr>
          <w:color w:val="auto"/>
          <w:lang w:val="en-CA"/>
        </w:rPr>
        <w:t xml:space="preserve">ourt considered whether Mr. </w:t>
      </w:r>
      <w:proofErr w:type="spellStart"/>
      <w:r w:rsidR="0000691E" w:rsidRPr="000D6C42">
        <w:rPr>
          <w:color w:val="auto"/>
          <w:lang w:val="en-CA"/>
        </w:rPr>
        <w:t>Ezokola’s</w:t>
      </w:r>
      <w:proofErr w:type="spellEnd"/>
      <w:r w:rsidR="0000691E" w:rsidRPr="000D6C42">
        <w:rPr>
          <w:color w:val="auto"/>
          <w:lang w:val="en-CA"/>
        </w:rPr>
        <w:t xml:space="preserve"> work for the DRC made him complicit </w:t>
      </w:r>
      <w:proofErr w:type="gramStart"/>
      <w:r w:rsidR="0000691E" w:rsidRPr="000D6C42">
        <w:rPr>
          <w:color w:val="auto"/>
          <w:lang w:val="en-CA"/>
        </w:rPr>
        <w:t>so as to</w:t>
      </w:r>
      <w:proofErr w:type="gramEnd"/>
      <w:r w:rsidR="0000691E" w:rsidRPr="000D6C42">
        <w:rPr>
          <w:color w:val="auto"/>
          <w:lang w:val="en-CA"/>
        </w:rPr>
        <w:t xml:space="preserve"> be excluded from refugee protection in Canada. </w:t>
      </w:r>
    </w:p>
    <w:p w14:paraId="69E9C9CD" w14:textId="09BC385C" w:rsidR="0081425A" w:rsidRPr="000D6C42" w:rsidRDefault="008E666C" w:rsidP="00AA6144">
      <w:pPr>
        <w:widowControl/>
        <w:shd w:val="clear" w:color="auto" w:fill="FFFFFF"/>
        <w:suppressAutoHyphens w:val="0"/>
        <w:spacing w:before="300" w:after="300" w:line="240" w:lineRule="auto"/>
        <w:rPr>
          <w:color w:val="auto"/>
          <w:lang w:val="en-CA"/>
        </w:rPr>
      </w:pPr>
      <w:r w:rsidRPr="000D6C42">
        <w:rPr>
          <w:color w:val="auto"/>
          <w:lang w:val="en-CA"/>
        </w:rPr>
        <w:t>The</w:t>
      </w:r>
      <w:r w:rsidR="0081425A" w:rsidRPr="000D6C42">
        <w:rPr>
          <w:color w:val="auto"/>
          <w:lang w:val="en-CA"/>
        </w:rPr>
        <w:t xml:space="preserve"> </w:t>
      </w:r>
      <w:r w:rsidR="0069186E" w:rsidRPr="000D6C42">
        <w:rPr>
          <w:color w:val="auto"/>
          <w:lang w:val="en-CA"/>
        </w:rPr>
        <w:t>SCC</w:t>
      </w:r>
      <w:r w:rsidRPr="000D6C42">
        <w:rPr>
          <w:color w:val="auto"/>
          <w:lang w:val="en-CA"/>
        </w:rPr>
        <w:t xml:space="preserve"> determined that</w:t>
      </w:r>
      <w:r w:rsidR="0081425A" w:rsidRPr="000D6C42">
        <w:rPr>
          <w:color w:val="auto"/>
          <w:lang w:val="en-CA"/>
        </w:rPr>
        <w:t xml:space="preserve"> that the I</w:t>
      </w:r>
      <w:r w:rsidR="0000691E" w:rsidRPr="000D6C42">
        <w:rPr>
          <w:color w:val="auto"/>
          <w:lang w:val="en-CA"/>
        </w:rPr>
        <w:t xml:space="preserve">mmigration and </w:t>
      </w:r>
      <w:r w:rsidR="0081425A" w:rsidRPr="000D6C42">
        <w:rPr>
          <w:color w:val="auto"/>
          <w:lang w:val="en-CA"/>
        </w:rPr>
        <w:t>R</w:t>
      </w:r>
      <w:r w:rsidR="0000691E" w:rsidRPr="000D6C42">
        <w:rPr>
          <w:color w:val="auto"/>
          <w:lang w:val="en-CA"/>
        </w:rPr>
        <w:t xml:space="preserve">efugee </w:t>
      </w:r>
      <w:r w:rsidR="0081425A" w:rsidRPr="000D6C42">
        <w:rPr>
          <w:color w:val="auto"/>
          <w:lang w:val="en-CA"/>
        </w:rPr>
        <w:t>B</w:t>
      </w:r>
      <w:r w:rsidR="0000691E" w:rsidRPr="000D6C42">
        <w:rPr>
          <w:color w:val="auto"/>
          <w:lang w:val="en-CA"/>
        </w:rPr>
        <w:t>oard</w:t>
      </w:r>
      <w:r w:rsidR="0081425A" w:rsidRPr="000D6C42">
        <w:rPr>
          <w:color w:val="auto"/>
          <w:lang w:val="en-CA"/>
        </w:rPr>
        <w:t xml:space="preserve"> had “overextended the concept of complicity to capture individuals based on mere association or passive acquiescence.”  </w:t>
      </w:r>
      <w:r w:rsidR="0000691E" w:rsidRPr="000D6C42">
        <w:rPr>
          <w:color w:val="auto"/>
          <w:lang w:val="en-CA"/>
        </w:rPr>
        <w:t xml:space="preserve">The Court asserted that </w:t>
      </w:r>
      <w:r w:rsidR="0081425A" w:rsidRPr="000D6C42">
        <w:rPr>
          <w:color w:val="auto"/>
          <w:lang w:val="en-CA"/>
        </w:rPr>
        <w:t>individuals can only be excluded for complicity in international crimes if there are “serious reasons for considering that he or she voluntarily made a knowing and significant contribution to the crimes” alleged to have been committed by the group or organizatio</w:t>
      </w:r>
      <w:r w:rsidR="000909A5" w:rsidRPr="000D6C42">
        <w:rPr>
          <w:color w:val="auto"/>
          <w:lang w:val="en-CA"/>
        </w:rPr>
        <w:t>n</w:t>
      </w:r>
      <w:r w:rsidR="0000691E" w:rsidRPr="000D6C42">
        <w:rPr>
          <w:color w:val="auto"/>
          <w:lang w:val="en-CA"/>
        </w:rPr>
        <w:t>, in effect, raising the threshold for exclusion.</w:t>
      </w:r>
      <w:r w:rsidR="0000691E" w:rsidRPr="000D6C42">
        <w:rPr>
          <w:color w:val="auto"/>
        </w:rPr>
        <w:t xml:space="preserve"> </w:t>
      </w:r>
      <w:r w:rsidR="0000691E" w:rsidRPr="000D6C42">
        <w:rPr>
          <w:color w:val="auto"/>
          <w:vertAlign w:val="superscript"/>
        </w:rPr>
        <w:footnoteReference w:id="735"/>
      </w:r>
      <w:r w:rsidR="0000691E" w:rsidRPr="000D6C42">
        <w:rPr>
          <w:color w:val="auto"/>
          <w:vertAlign w:val="superscript"/>
          <w:lang w:val="en-CA"/>
        </w:rPr>
        <w:t xml:space="preserve"> </w:t>
      </w:r>
      <w:r w:rsidR="0000691E" w:rsidRPr="000D6C42">
        <w:rPr>
          <w:color w:val="auto"/>
          <w:lang w:val="en-CA"/>
        </w:rPr>
        <w:t xml:space="preserve">  </w:t>
      </w:r>
    </w:p>
    <w:p w14:paraId="77B0765E" w14:textId="18B739D3" w:rsidR="0069186E" w:rsidRPr="000D6C42" w:rsidRDefault="0081425A" w:rsidP="0069186E">
      <w:pPr>
        <w:widowControl/>
        <w:shd w:val="clear" w:color="auto" w:fill="FFFFFF"/>
        <w:suppressAutoHyphens w:val="0"/>
        <w:spacing w:before="300" w:after="300" w:line="240" w:lineRule="auto"/>
        <w:rPr>
          <w:color w:val="auto"/>
          <w:lang w:val="en-CA"/>
        </w:rPr>
      </w:pPr>
      <w:r w:rsidRPr="000D6C42">
        <w:rPr>
          <w:color w:val="auto"/>
          <w:lang w:val="en-CA"/>
        </w:rPr>
        <w:t xml:space="preserve">The decision </w:t>
      </w:r>
      <w:r w:rsidR="00574E6D" w:rsidRPr="000D6C42">
        <w:rPr>
          <w:color w:val="auto"/>
          <w:lang w:val="en-CA"/>
        </w:rPr>
        <w:t>aligned</w:t>
      </w:r>
      <w:r w:rsidRPr="000D6C42">
        <w:rPr>
          <w:color w:val="auto"/>
          <w:lang w:val="en-CA"/>
        </w:rPr>
        <w:t xml:space="preserve"> Canada’s interpretation of the </w:t>
      </w:r>
      <w:r w:rsidRPr="000D6C42">
        <w:rPr>
          <w:i/>
          <w:iCs/>
          <w:color w:val="auto"/>
          <w:lang w:val="en-CA"/>
        </w:rPr>
        <w:t>Refugee Convention in the IRPA</w:t>
      </w:r>
      <w:r w:rsidRPr="000D6C42">
        <w:rPr>
          <w:color w:val="auto"/>
          <w:lang w:val="en-CA"/>
        </w:rPr>
        <w:t> </w:t>
      </w:r>
      <w:r w:rsidR="008E666C" w:rsidRPr="000D6C42">
        <w:rPr>
          <w:color w:val="auto"/>
          <w:lang w:val="en-CA"/>
        </w:rPr>
        <w:t>with international law</w:t>
      </w:r>
      <w:r w:rsidR="00574E6D" w:rsidRPr="000D6C42">
        <w:rPr>
          <w:color w:val="auto"/>
          <w:lang w:val="en-CA"/>
        </w:rPr>
        <w:t>. Both now maintain that</w:t>
      </w:r>
      <w:r w:rsidR="008E666C" w:rsidRPr="000D6C42">
        <w:rPr>
          <w:color w:val="auto"/>
          <w:lang w:val="en-CA"/>
        </w:rPr>
        <w:t xml:space="preserve"> </w:t>
      </w:r>
      <w:r w:rsidR="00574E6D" w:rsidRPr="000D6C42">
        <w:rPr>
          <w:color w:val="auto"/>
          <w:lang w:val="en-CA"/>
        </w:rPr>
        <w:t>“</w:t>
      </w:r>
      <w:r w:rsidRPr="000D6C42">
        <w:rPr>
          <w:color w:val="auto"/>
          <w:lang w:val="en-CA"/>
        </w:rPr>
        <w:t>it is not enough to simply belong to a group that commits criminal offences; it is necessary to voluntarily and knowingly make significant contributions to those crimes</w:t>
      </w:r>
      <w:r w:rsidR="00574E6D" w:rsidRPr="000D6C42">
        <w:rPr>
          <w:color w:val="auto"/>
          <w:lang w:val="en-CA"/>
        </w:rPr>
        <w:t>”</w:t>
      </w:r>
      <w:r w:rsidRPr="000D6C42">
        <w:rPr>
          <w:color w:val="auto"/>
          <w:lang w:val="en-CA"/>
        </w:rPr>
        <w:t>.</w:t>
      </w:r>
      <w:r w:rsidRPr="000D6C42">
        <w:rPr>
          <w:color w:val="auto"/>
          <w:vertAlign w:val="superscript"/>
        </w:rPr>
        <w:footnoteReference w:id="736"/>
      </w:r>
      <w:r w:rsidR="0000691E" w:rsidRPr="000D6C42">
        <w:rPr>
          <w:color w:val="auto"/>
          <w:vertAlign w:val="superscript"/>
          <w:lang w:val="en-CA"/>
        </w:rPr>
        <w:t xml:space="preserve"> </w:t>
      </w:r>
    </w:p>
    <w:p w14:paraId="104D7D23" w14:textId="6E9D3959" w:rsidR="00D73198" w:rsidRPr="000D6C42" w:rsidRDefault="0081425A" w:rsidP="00AA6144">
      <w:pPr>
        <w:widowControl/>
        <w:shd w:val="clear" w:color="auto" w:fill="FFFFFF"/>
        <w:suppressAutoHyphens w:val="0"/>
        <w:spacing w:before="300" w:after="300" w:line="240" w:lineRule="auto"/>
        <w:rPr>
          <w:color w:val="auto"/>
          <w:lang w:val="en-CA"/>
        </w:rPr>
      </w:pPr>
      <w:r w:rsidRPr="000D6C42">
        <w:rPr>
          <w:color w:val="auto"/>
          <w:lang w:val="en-CA"/>
        </w:rPr>
        <w:t>Specifically, t</w:t>
      </w:r>
      <w:r w:rsidR="00D73198" w:rsidRPr="000D6C42">
        <w:rPr>
          <w:color w:val="auto"/>
          <w:lang w:val="en-CA"/>
        </w:rPr>
        <w:t xml:space="preserve">he Supreme Court </w:t>
      </w:r>
      <w:r w:rsidR="00DE3452" w:rsidRPr="000D6C42">
        <w:rPr>
          <w:color w:val="auto"/>
          <w:lang w:val="en-CA"/>
        </w:rPr>
        <w:t>found the following</w:t>
      </w:r>
      <w:r w:rsidR="00D73198" w:rsidRPr="000D6C42">
        <w:rPr>
          <w:color w:val="auto"/>
          <w:lang w:val="en-CA"/>
        </w:rPr>
        <w:t xml:space="preserve">: </w:t>
      </w:r>
    </w:p>
    <w:p w14:paraId="6455B6AE" w14:textId="77777777" w:rsidR="000D6C42" w:rsidRDefault="000D6C42" w:rsidP="000D6C42">
      <w:pPr>
        <w:pStyle w:val="ListParagraph"/>
        <w:numPr>
          <w:ilvl w:val="0"/>
          <w:numId w:val="23"/>
        </w:numPr>
        <w:rPr>
          <w:rFonts w:ascii="Amnesty Trade Gothic" w:hAnsi="Amnesty Trade Gothic"/>
          <w:sz w:val="18"/>
          <w:szCs w:val="18"/>
          <w:lang w:val="en-CA"/>
        </w:rPr>
      </w:pPr>
      <w:r w:rsidRPr="000D6C42">
        <w:rPr>
          <w:rFonts w:ascii="Amnesty Trade Gothic" w:hAnsi="Amnesty Trade Gothic"/>
          <w:sz w:val="18"/>
          <w:szCs w:val="18"/>
          <w:lang w:val="en-CA"/>
        </w:rPr>
        <w:t>g</w:t>
      </w:r>
      <w:r w:rsidR="00D73198" w:rsidRPr="000D6C42">
        <w:rPr>
          <w:rFonts w:ascii="Amnesty Trade Gothic" w:hAnsi="Amnesty Trade Gothic"/>
          <w:sz w:val="18"/>
          <w:szCs w:val="18"/>
          <w:lang w:val="en-CA"/>
        </w:rPr>
        <w:t xml:space="preserve">uilt by association or mere membership in brutal, limited purpose organization is no longer an independent head of </w:t>
      </w:r>
      <w:proofErr w:type="gramStart"/>
      <w:r w:rsidR="00D73198" w:rsidRPr="000D6C42">
        <w:rPr>
          <w:rFonts w:ascii="Amnesty Trade Gothic" w:hAnsi="Amnesty Trade Gothic"/>
          <w:sz w:val="18"/>
          <w:szCs w:val="18"/>
          <w:lang w:val="en-CA"/>
        </w:rPr>
        <w:t>liability;</w:t>
      </w:r>
      <w:proofErr w:type="gramEnd"/>
    </w:p>
    <w:p w14:paraId="1EEAABD1" w14:textId="77777777" w:rsidR="000D6C42" w:rsidRPr="000D6C42" w:rsidRDefault="00D73198" w:rsidP="000D6C42">
      <w:pPr>
        <w:pStyle w:val="ListParagraph"/>
        <w:numPr>
          <w:ilvl w:val="0"/>
          <w:numId w:val="23"/>
        </w:numPr>
        <w:rPr>
          <w:rFonts w:ascii="Amnesty Trade Gothic" w:hAnsi="Amnesty Trade Gothic"/>
          <w:sz w:val="18"/>
          <w:szCs w:val="18"/>
          <w:lang w:val="en-CA"/>
        </w:rPr>
      </w:pPr>
      <w:r w:rsidRPr="000D6C42">
        <w:rPr>
          <w:rFonts w:ascii="Amnesty Trade Gothic" w:hAnsi="Amnesty Trade Gothic"/>
          <w:sz w:val="18"/>
          <w:szCs w:val="18"/>
          <w:lang w:val="en-CA"/>
        </w:rPr>
        <w:t xml:space="preserve">the overarching test for establishing complicity is no longer “personal and knowing participation” but, instead, whether a person made a “voluntary, knowing and significant contribution” to the crime or criminal purpose of a group carrying out international </w:t>
      </w:r>
      <w:proofErr w:type="gramStart"/>
      <w:r w:rsidRPr="000D6C42">
        <w:rPr>
          <w:rFonts w:ascii="Amnesty Trade Gothic" w:hAnsi="Amnesty Trade Gothic"/>
          <w:sz w:val="18"/>
          <w:szCs w:val="18"/>
          <w:lang w:val="en-CA"/>
        </w:rPr>
        <w:t>crimes;</w:t>
      </w:r>
      <w:proofErr w:type="gramEnd"/>
    </w:p>
    <w:p w14:paraId="13992668" w14:textId="77777777" w:rsidR="000D6C42" w:rsidRDefault="00D73198" w:rsidP="000D6C42">
      <w:pPr>
        <w:pStyle w:val="ListParagraph"/>
        <w:numPr>
          <w:ilvl w:val="0"/>
          <w:numId w:val="23"/>
        </w:numPr>
        <w:rPr>
          <w:rFonts w:ascii="Amnesty Trade Gothic" w:hAnsi="Amnesty Trade Gothic"/>
          <w:sz w:val="18"/>
          <w:szCs w:val="18"/>
          <w:lang w:val="en-CA"/>
        </w:rPr>
      </w:pPr>
      <w:r w:rsidRPr="000D6C42">
        <w:rPr>
          <w:rFonts w:ascii="Amnesty Trade Gothic" w:hAnsi="Amnesty Trade Gothic"/>
          <w:sz w:val="18"/>
          <w:szCs w:val="18"/>
          <w:lang w:val="en-CA"/>
        </w:rPr>
        <w:t xml:space="preserve">guidance for determining this test can be found in assessing several factors, six of which are specifically set out by the Supreme Court: </w:t>
      </w:r>
    </w:p>
    <w:p w14:paraId="08DEEBEE" w14:textId="7893AD36" w:rsidR="000D6C42" w:rsidRPr="000D6C42" w:rsidRDefault="000D6C42" w:rsidP="000D6C42">
      <w:pPr>
        <w:pStyle w:val="ListParagraph"/>
        <w:numPr>
          <w:ilvl w:val="1"/>
          <w:numId w:val="23"/>
        </w:numPr>
        <w:rPr>
          <w:rFonts w:ascii="Amnesty Trade Gothic" w:hAnsi="Amnesty Trade Gothic"/>
          <w:sz w:val="18"/>
          <w:szCs w:val="18"/>
          <w:lang w:val="en-CA"/>
        </w:rPr>
      </w:pPr>
      <w:r>
        <w:rPr>
          <w:rFonts w:ascii="Amnesty Trade Gothic" w:hAnsi="Amnesty Trade Gothic"/>
          <w:sz w:val="18"/>
          <w:szCs w:val="18"/>
          <w:lang w:val="en-CA"/>
        </w:rPr>
        <w:t>(</w:t>
      </w:r>
      <w:proofErr w:type="spellStart"/>
      <w:r>
        <w:rPr>
          <w:rFonts w:ascii="Amnesty Trade Gothic" w:hAnsi="Amnesty Trade Gothic"/>
          <w:sz w:val="18"/>
          <w:szCs w:val="18"/>
          <w:lang w:val="en-CA"/>
        </w:rPr>
        <w:t>i</w:t>
      </w:r>
      <w:proofErr w:type="spellEnd"/>
      <w:r w:rsidR="00D73198" w:rsidRPr="000D6C42">
        <w:rPr>
          <w:rFonts w:ascii="Amnesty Trade Gothic" w:hAnsi="Amnesty Trade Gothic"/>
          <w:sz w:val="18"/>
          <w:szCs w:val="18"/>
          <w:lang w:val="en-CA"/>
        </w:rPr>
        <w:t xml:space="preserve">) the size and nature of the </w:t>
      </w:r>
      <w:proofErr w:type="gramStart"/>
      <w:r w:rsidR="00D73198" w:rsidRPr="000D6C42">
        <w:rPr>
          <w:rFonts w:ascii="Amnesty Trade Gothic" w:hAnsi="Amnesty Trade Gothic"/>
          <w:sz w:val="18"/>
          <w:szCs w:val="18"/>
          <w:lang w:val="en-CA"/>
        </w:rPr>
        <w:t>organization;</w:t>
      </w:r>
      <w:proofErr w:type="gramEnd"/>
      <w:r w:rsidR="00D73198" w:rsidRPr="000D6C42">
        <w:rPr>
          <w:rFonts w:ascii="Amnesty Trade Gothic" w:hAnsi="Amnesty Trade Gothic"/>
          <w:sz w:val="18"/>
          <w:szCs w:val="18"/>
          <w:lang w:val="en-CA"/>
        </w:rPr>
        <w:t xml:space="preserve"> </w:t>
      </w:r>
    </w:p>
    <w:p w14:paraId="2DA7C69B" w14:textId="77777777" w:rsidR="000D6C42" w:rsidRPr="000D6C42" w:rsidRDefault="00D73198" w:rsidP="000D6C42">
      <w:pPr>
        <w:pStyle w:val="ListParagraph"/>
        <w:numPr>
          <w:ilvl w:val="1"/>
          <w:numId w:val="23"/>
        </w:numPr>
        <w:rPr>
          <w:rFonts w:ascii="Amnesty Trade Gothic" w:hAnsi="Amnesty Trade Gothic"/>
          <w:sz w:val="18"/>
          <w:szCs w:val="18"/>
          <w:lang w:val="en-CA"/>
        </w:rPr>
      </w:pPr>
      <w:r w:rsidRPr="000D6C42">
        <w:rPr>
          <w:rFonts w:ascii="Amnesty Trade Gothic" w:hAnsi="Amnesty Trade Gothic"/>
          <w:sz w:val="18"/>
          <w:szCs w:val="18"/>
          <w:lang w:val="en-CA"/>
        </w:rPr>
        <w:t xml:space="preserve">(ii) the part of the organization with which the refugee claimant was most directly </w:t>
      </w:r>
      <w:proofErr w:type="gramStart"/>
      <w:r w:rsidRPr="000D6C42">
        <w:rPr>
          <w:rFonts w:ascii="Amnesty Trade Gothic" w:hAnsi="Amnesty Trade Gothic"/>
          <w:sz w:val="18"/>
          <w:szCs w:val="18"/>
          <w:lang w:val="en-CA"/>
        </w:rPr>
        <w:t>concerned;</w:t>
      </w:r>
      <w:proofErr w:type="gramEnd"/>
      <w:r w:rsidRPr="000D6C42">
        <w:rPr>
          <w:rFonts w:ascii="Amnesty Trade Gothic" w:hAnsi="Amnesty Trade Gothic"/>
          <w:sz w:val="18"/>
          <w:szCs w:val="18"/>
          <w:lang w:val="en-CA"/>
        </w:rPr>
        <w:t xml:space="preserve"> </w:t>
      </w:r>
    </w:p>
    <w:p w14:paraId="43E8E421" w14:textId="77777777" w:rsidR="000D6C42" w:rsidRPr="000D6C42" w:rsidRDefault="00D73198" w:rsidP="000D6C42">
      <w:pPr>
        <w:pStyle w:val="ListParagraph"/>
        <w:numPr>
          <w:ilvl w:val="1"/>
          <w:numId w:val="23"/>
        </w:numPr>
        <w:rPr>
          <w:rFonts w:ascii="Amnesty Trade Gothic" w:hAnsi="Amnesty Trade Gothic"/>
          <w:sz w:val="18"/>
          <w:szCs w:val="18"/>
          <w:lang w:val="en-CA"/>
        </w:rPr>
      </w:pPr>
      <w:r w:rsidRPr="000D6C42">
        <w:rPr>
          <w:rFonts w:ascii="Amnesty Trade Gothic" w:hAnsi="Amnesty Trade Gothic"/>
          <w:sz w:val="18"/>
          <w:szCs w:val="18"/>
          <w:lang w:val="en-CA"/>
        </w:rPr>
        <w:t xml:space="preserve">(iii) the refugee claimant’s duties and activities within the </w:t>
      </w:r>
      <w:proofErr w:type="gramStart"/>
      <w:r w:rsidRPr="000D6C42">
        <w:rPr>
          <w:rFonts w:ascii="Amnesty Trade Gothic" w:hAnsi="Amnesty Trade Gothic"/>
          <w:sz w:val="18"/>
          <w:szCs w:val="18"/>
          <w:lang w:val="en-CA"/>
        </w:rPr>
        <w:t>organization;</w:t>
      </w:r>
      <w:proofErr w:type="gramEnd"/>
      <w:r w:rsidRPr="000D6C42">
        <w:rPr>
          <w:rFonts w:ascii="Amnesty Trade Gothic" w:hAnsi="Amnesty Trade Gothic"/>
          <w:sz w:val="18"/>
          <w:szCs w:val="18"/>
          <w:lang w:val="en-CA"/>
        </w:rPr>
        <w:t xml:space="preserve"> </w:t>
      </w:r>
    </w:p>
    <w:p w14:paraId="12D7D9E1" w14:textId="77777777" w:rsidR="000D6C42" w:rsidRPr="000D6C42" w:rsidRDefault="00D73198" w:rsidP="000D6C42">
      <w:pPr>
        <w:pStyle w:val="ListParagraph"/>
        <w:numPr>
          <w:ilvl w:val="1"/>
          <w:numId w:val="23"/>
        </w:numPr>
        <w:rPr>
          <w:rFonts w:ascii="Amnesty Trade Gothic" w:hAnsi="Amnesty Trade Gothic"/>
          <w:sz w:val="18"/>
          <w:szCs w:val="18"/>
          <w:lang w:val="en-CA"/>
        </w:rPr>
      </w:pPr>
      <w:r w:rsidRPr="000D6C42">
        <w:rPr>
          <w:rFonts w:ascii="Amnesty Trade Gothic" w:hAnsi="Amnesty Trade Gothic"/>
          <w:sz w:val="18"/>
          <w:szCs w:val="18"/>
          <w:lang w:val="en-CA"/>
        </w:rPr>
        <w:t xml:space="preserve">(iv) the refugee claimant’s position or rank in the </w:t>
      </w:r>
      <w:proofErr w:type="gramStart"/>
      <w:r w:rsidRPr="000D6C42">
        <w:rPr>
          <w:rFonts w:ascii="Amnesty Trade Gothic" w:hAnsi="Amnesty Trade Gothic"/>
          <w:sz w:val="18"/>
          <w:szCs w:val="18"/>
          <w:lang w:val="en-CA"/>
        </w:rPr>
        <w:t>organization;</w:t>
      </w:r>
      <w:proofErr w:type="gramEnd"/>
      <w:r w:rsidRPr="000D6C42">
        <w:rPr>
          <w:rFonts w:ascii="Amnesty Trade Gothic" w:hAnsi="Amnesty Trade Gothic"/>
          <w:sz w:val="18"/>
          <w:szCs w:val="18"/>
          <w:lang w:val="en-CA"/>
        </w:rPr>
        <w:t xml:space="preserve"> </w:t>
      </w:r>
    </w:p>
    <w:p w14:paraId="0D46CC0F" w14:textId="77777777" w:rsidR="000D6C42" w:rsidRPr="000D6C42" w:rsidRDefault="00D73198" w:rsidP="000D6C42">
      <w:pPr>
        <w:pStyle w:val="ListParagraph"/>
        <w:numPr>
          <w:ilvl w:val="1"/>
          <w:numId w:val="23"/>
        </w:numPr>
        <w:rPr>
          <w:rFonts w:ascii="Amnesty Trade Gothic" w:hAnsi="Amnesty Trade Gothic"/>
          <w:sz w:val="18"/>
          <w:szCs w:val="18"/>
          <w:lang w:val="en-CA"/>
        </w:rPr>
      </w:pPr>
      <w:r w:rsidRPr="000D6C42">
        <w:rPr>
          <w:rFonts w:ascii="Amnesty Trade Gothic" w:hAnsi="Amnesty Trade Gothic"/>
          <w:sz w:val="18"/>
          <w:szCs w:val="18"/>
          <w:lang w:val="en-CA"/>
        </w:rPr>
        <w:t xml:space="preserve">(v) the length of time the refugee claimant was in the organization, particularly after acquiring knowledge of the group’s crime or criminal purpose; and </w:t>
      </w:r>
    </w:p>
    <w:p w14:paraId="4DFD8242" w14:textId="77777777" w:rsidR="000D6C42" w:rsidRPr="000D6C42" w:rsidRDefault="00892D01" w:rsidP="000D6C42">
      <w:pPr>
        <w:pStyle w:val="ListParagraph"/>
        <w:numPr>
          <w:ilvl w:val="1"/>
          <w:numId w:val="23"/>
        </w:numPr>
        <w:rPr>
          <w:rFonts w:ascii="Amnesty Trade Gothic" w:hAnsi="Amnesty Trade Gothic"/>
          <w:sz w:val="18"/>
          <w:szCs w:val="18"/>
          <w:lang w:val="en-CA"/>
        </w:rPr>
      </w:pPr>
      <w:r w:rsidRPr="000D6C42">
        <w:rPr>
          <w:rFonts w:ascii="Amnesty Trade Gothic" w:hAnsi="Amnesty Trade Gothic"/>
          <w:sz w:val="18"/>
          <w:szCs w:val="18"/>
          <w:lang w:val="en-CA"/>
        </w:rPr>
        <w:t xml:space="preserve">(vi) the method by which the refugee claimant was recruited and the refugee claimant’s opportunity to leave the </w:t>
      </w:r>
      <w:proofErr w:type="gramStart"/>
      <w:r w:rsidRPr="000D6C42">
        <w:rPr>
          <w:rFonts w:ascii="Amnesty Trade Gothic" w:hAnsi="Amnesty Trade Gothic"/>
          <w:sz w:val="18"/>
          <w:szCs w:val="18"/>
          <w:lang w:val="en-CA"/>
        </w:rPr>
        <w:t>organization;</w:t>
      </w:r>
      <w:proofErr w:type="gramEnd"/>
      <w:r w:rsidRPr="000D6C42">
        <w:rPr>
          <w:rFonts w:ascii="Amnesty Trade Gothic" w:hAnsi="Amnesty Trade Gothic"/>
          <w:sz w:val="18"/>
          <w:szCs w:val="18"/>
          <w:lang w:val="en-CA"/>
        </w:rPr>
        <w:t xml:space="preserve"> </w:t>
      </w:r>
    </w:p>
    <w:p w14:paraId="031B091F" w14:textId="099730A0" w:rsidR="00892D01" w:rsidRPr="000D6C42" w:rsidRDefault="00892D01" w:rsidP="000D6C42">
      <w:pPr>
        <w:pStyle w:val="ListParagraph"/>
        <w:numPr>
          <w:ilvl w:val="0"/>
          <w:numId w:val="23"/>
        </w:numPr>
        <w:rPr>
          <w:rFonts w:ascii="Amnesty Trade Gothic" w:hAnsi="Amnesty Trade Gothic"/>
          <w:sz w:val="18"/>
          <w:szCs w:val="18"/>
          <w:lang w:val="en-CA"/>
        </w:rPr>
      </w:pPr>
      <w:r w:rsidRPr="000D6C42">
        <w:rPr>
          <w:rFonts w:ascii="Amnesty Trade Gothic" w:hAnsi="Amnesty Trade Gothic"/>
          <w:sz w:val="18"/>
          <w:szCs w:val="18"/>
          <w:lang w:val="en-CA"/>
        </w:rPr>
        <w:t xml:space="preserve">others </w:t>
      </w:r>
      <w:proofErr w:type="gramStart"/>
      <w:r w:rsidRPr="000D6C42">
        <w:rPr>
          <w:rFonts w:ascii="Amnesty Trade Gothic" w:hAnsi="Amnesty Trade Gothic"/>
          <w:sz w:val="18"/>
          <w:szCs w:val="18"/>
          <w:lang w:val="en-CA"/>
        </w:rPr>
        <w:t>forms</w:t>
      </w:r>
      <w:proofErr w:type="gramEnd"/>
      <w:r w:rsidRPr="000D6C42">
        <w:rPr>
          <w:rFonts w:ascii="Amnesty Trade Gothic" w:hAnsi="Amnesty Trade Gothic"/>
          <w:sz w:val="18"/>
          <w:szCs w:val="18"/>
          <w:lang w:val="en-CA"/>
        </w:rPr>
        <w:t xml:space="preserve"> of liability, such as aiding and abetting and command responsibility fall within the overarching test.</w:t>
      </w:r>
      <w:r w:rsidR="008B3D66" w:rsidRPr="000D6C42">
        <w:rPr>
          <w:rFonts w:ascii="Amnesty Trade Gothic" w:hAnsi="Amnesty Trade Gothic"/>
          <w:sz w:val="18"/>
          <w:szCs w:val="18"/>
          <w:lang w:val="en-CA"/>
        </w:rPr>
        <w:t xml:space="preserve"> </w:t>
      </w:r>
      <w:r w:rsidR="008B3D66" w:rsidRPr="000D6C42">
        <w:rPr>
          <w:rFonts w:ascii="Amnesty Trade Gothic" w:hAnsi="Amnesty Trade Gothic"/>
          <w:sz w:val="18"/>
          <w:szCs w:val="18"/>
          <w:vertAlign w:val="superscript"/>
          <w:lang w:val="en-CA"/>
        </w:rPr>
        <w:footnoteReference w:id="737"/>
      </w:r>
      <w:r w:rsidRPr="000D6C42">
        <w:rPr>
          <w:rFonts w:ascii="Amnesty Trade Gothic" w:hAnsi="Amnesty Trade Gothic"/>
          <w:sz w:val="18"/>
          <w:szCs w:val="18"/>
          <w:vertAlign w:val="superscript"/>
          <w:lang w:val="en-CA"/>
        </w:rPr>
        <w:t xml:space="preserve"> </w:t>
      </w:r>
    </w:p>
    <w:p w14:paraId="6CF1B800" w14:textId="5CA60446" w:rsidR="00FF13D7" w:rsidRPr="000D6C42" w:rsidRDefault="008B3D66" w:rsidP="000D6C42">
      <w:pPr>
        <w:widowControl/>
        <w:shd w:val="clear" w:color="auto" w:fill="FFFFFF"/>
        <w:suppressAutoHyphens w:val="0"/>
        <w:spacing w:before="300" w:after="300" w:line="240" w:lineRule="auto"/>
      </w:pPr>
      <w:r w:rsidRPr="000D6C42">
        <w:rPr>
          <w:color w:val="auto"/>
          <w:lang w:val="en-CA"/>
        </w:rPr>
        <w:t>Considering the effects of the case</w:t>
      </w:r>
      <w:r w:rsidR="00B677C4" w:rsidRPr="000D6C42">
        <w:rPr>
          <w:color w:val="auto"/>
          <w:lang w:val="en-CA"/>
        </w:rPr>
        <w:t xml:space="preserve"> since</w:t>
      </w:r>
      <w:r w:rsidRPr="000D6C42">
        <w:rPr>
          <w:color w:val="auto"/>
          <w:lang w:val="en-CA"/>
        </w:rPr>
        <w:t>, it becomes clear that</w:t>
      </w:r>
      <w:r w:rsidR="0000691E" w:rsidRPr="000D6C42">
        <w:rPr>
          <w:color w:val="auto"/>
          <w:lang w:val="en-CA"/>
        </w:rPr>
        <w:t>,</w:t>
      </w:r>
      <w:r w:rsidRPr="000D6C42">
        <w:rPr>
          <w:color w:val="auto"/>
          <w:lang w:val="en-CA"/>
        </w:rPr>
        <w:t xml:space="preserve"> in </w:t>
      </w:r>
      <w:proofErr w:type="spellStart"/>
      <w:r w:rsidRPr="000D6C42">
        <w:rPr>
          <w:i/>
          <w:iCs/>
          <w:color w:val="auto"/>
          <w:lang w:val="en-CA"/>
        </w:rPr>
        <w:t>Ezokola</w:t>
      </w:r>
      <w:proofErr w:type="spellEnd"/>
      <w:r w:rsidRPr="000D6C42">
        <w:rPr>
          <w:color w:val="auto"/>
          <w:lang w:val="en-CA"/>
        </w:rPr>
        <w:t xml:space="preserve">, the Supreme Court only </w:t>
      </w:r>
      <w:r w:rsidR="00B677C4" w:rsidRPr="000D6C42">
        <w:rPr>
          <w:color w:val="auto"/>
          <w:lang w:val="en-CA"/>
        </w:rPr>
        <w:t xml:space="preserve">incrementally </w:t>
      </w:r>
      <w:r w:rsidRPr="000D6C42">
        <w:rPr>
          <w:color w:val="auto"/>
          <w:lang w:val="en-CA"/>
        </w:rPr>
        <w:t xml:space="preserve">adjusted the test </w:t>
      </w:r>
      <w:r w:rsidR="0000691E" w:rsidRPr="000D6C42">
        <w:rPr>
          <w:color w:val="auto"/>
          <w:lang w:val="en-CA"/>
        </w:rPr>
        <w:t>from what it had been</w:t>
      </w:r>
      <w:r w:rsidRPr="000D6C42">
        <w:rPr>
          <w:color w:val="auto"/>
          <w:lang w:val="en-CA"/>
        </w:rPr>
        <w:t xml:space="preserve">. </w:t>
      </w:r>
      <w:r w:rsidR="00182CEF" w:rsidRPr="000D6C42">
        <w:rPr>
          <w:color w:val="auto"/>
          <w:lang w:val="en-CA"/>
        </w:rPr>
        <w:t>Most notably, “</w:t>
      </w:r>
      <w:r w:rsidR="00892D01" w:rsidRPr="000D6C42">
        <w:rPr>
          <w:color w:val="auto"/>
          <w:lang w:val="en-CA"/>
        </w:rPr>
        <w:t>membership as a form of liability is no longer applicable (although the notion of this type of organization can still play a role in factor i</w:t>
      </w:r>
      <w:r w:rsidR="00180FE4" w:rsidRPr="000D6C42">
        <w:rPr>
          <w:color w:val="auto"/>
          <w:lang w:val="en-CA"/>
        </w:rPr>
        <w:t>n</w:t>
      </w:r>
      <w:r w:rsidR="00892D01" w:rsidRPr="000D6C42">
        <w:rPr>
          <w:color w:val="auto"/>
          <w:lang w:val="en-CA"/>
        </w:rPr>
        <w:t xml:space="preserve"> above) and a renewed emphasis on the nexus between a person and the organization involved in international crimes</w:t>
      </w:r>
      <w:r w:rsidRPr="000D6C42">
        <w:rPr>
          <w:color w:val="auto"/>
          <w:lang w:val="en-CA"/>
        </w:rPr>
        <w:t>”</w:t>
      </w:r>
      <w:r w:rsidR="00892D01" w:rsidRPr="000D6C42">
        <w:rPr>
          <w:color w:val="auto"/>
          <w:lang w:val="en-CA"/>
        </w:rPr>
        <w:t>.</w:t>
      </w:r>
      <w:r w:rsidR="00094A5E" w:rsidRPr="000D6C42">
        <w:rPr>
          <w:vertAlign w:val="superscript"/>
        </w:rPr>
        <w:footnoteReference w:id="738"/>
      </w:r>
    </w:p>
    <w:p w14:paraId="36FCB0B4" w14:textId="77777777" w:rsidR="00991F0E" w:rsidRPr="00AA6144" w:rsidRDefault="00991F0E" w:rsidP="007170D4">
      <w:pPr>
        <w:pStyle w:val="Heading1"/>
        <w:rPr>
          <w:rStyle w:val="Heading1Char"/>
          <w:color w:val="auto"/>
          <w:lang w:val="en-CA"/>
        </w:rPr>
      </w:pPr>
      <w:r w:rsidRPr="00AA6144">
        <w:rPr>
          <w:color w:val="auto"/>
          <w:lang w:val="en-CA"/>
        </w:rPr>
        <w:br w:type="page"/>
      </w:r>
      <w:bookmarkStart w:id="328" w:name="_Toc43382818"/>
      <w:r w:rsidRPr="00AA6144">
        <w:rPr>
          <w:color w:val="auto"/>
          <w:lang w:val="en-CA"/>
        </w:rPr>
        <w:t>RECOMMENDATIONS</w:t>
      </w:r>
      <w:bookmarkEnd w:id="328"/>
    </w:p>
    <w:p w14:paraId="1713C3AF" w14:textId="77777777" w:rsidR="00F725D3" w:rsidRPr="00AA6144" w:rsidRDefault="00F725D3" w:rsidP="00F725D3">
      <w:pPr>
        <w:pStyle w:val="AIBodyText"/>
        <w:rPr>
          <w:color w:val="auto"/>
          <w:lang w:val="en-CA"/>
        </w:rPr>
      </w:pPr>
      <w:r w:rsidRPr="00AA6144">
        <w:rPr>
          <w:color w:val="auto"/>
          <w:lang w:val="en-CA"/>
        </w:rPr>
        <w:t xml:space="preserve">Canada should take the following steps to ensure that it is not </w:t>
      </w:r>
      <w:proofErr w:type="gramStart"/>
      <w:r w:rsidRPr="00AA6144">
        <w:rPr>
          <w:color w:val="auto"/>
          <w:lang w:val="en-CA"/>
        </w:rPr>
        <w:t>a safe haven</w:t>
      </w:r>
      <w:proofErr w:type="gramEnd"/>
      <w:r w:rsidRPr="00AA6144">
        <w:rPr>
          <w:color w:val="auto"/>
          <w:lang w:val="en-CA"/>
        </w:rPr>
        <w:t xml:space="preserve"> for persons responsible for the worst possible crimes in the world.</w:t>
      </w:r>
    </w:p>
    <w:p w14:paraId="6C46BF54" w14:textId="77777777" w:rsidR="00F725D3" w:rsidRPr="00AA6144" w:rsidRDefault="00F725D3" w:rsidP="00092DFC">
      <w:pPr>
        <w:rPr>
          <w:sz w:val="24"/>
          <w:lang w:val="en-CA"/>
        </w:rPr>
      </w:pPr>
      <w:r w:rsidRPr="00AA6144">
        <w:rPr>
          <w:sz w:val="24"/>
          <w:lang w:val="en-CA"/>
        </w:rPr>
        <w:t>1. Substantive law reform:</w:t>
      </w:r>
    </w:p>
    <w:p w14:paraId="7126E08A" w14:textId="77777777" w:rsidR="00936E71" w:rsidRPr="00AA6144" w:rsidRDefault="00F725D3" w:rsidP="00F725D3">
      <w:pPr>
        <w:pStyle w:val="ListParagraph"/>
        <w:numPr>
          <w:ilvl w:val="0"/>
          <w:numId w:val="23"/>
        </w:numPr>
        <w:rPr>
          <w:rFonts w:ascii="Amnesty Trade Gothic" w:hAnsi="Amnesty Trade Gothic"/>
          <w:sz w:val="18"/>
          <w:szCs w:val="18"/>
          <w:lang w:val="en-CA"/>
        </w:rPr>
      </w:pPr>
      <w:r w:rsidRPr="00AA6144">
        <w:rPr>
          <w:rFonts w:ascii="Amnesty Trade Gothic" w:hAnsi="Amnesty Trade Gothic"/>
          <w:sz w:val="18"/>
          <w:szCs w:val="18"/>
          <w:lang w:val="en-CA"/>
        </w:rPr>
        <w:t>Ratify</w:t>
      </w:r>
      <w:r w:rsidR="001C3476" w:rsidRPr="00AA6144">
        <w:rPr>
          <w:rFonts w:ascii="Amnesty Trade Gothic" w:hAnsi="Amnesty Trade Gothic"/>
          <w:sz w:val="18"/>
          <w:szCs w:val="18"/>
          <w:lang w:val="en-CA"/>
        </w:rPr>
        <w:t xml:space="preserve"> or accede</w:t>
      </w:r>
      <w:r w:rsidRPr="00AA6144">
        <w:rPr>
          <w:rFonts w:ascii="Amnesty Trade Gothic" w:hAnsi="Amnesty Trade Gothic"/>
          <w:sz w:val="18"/>
          <w:szCs w:val="18"/>
          <w:lang w:val="en-CA"/>
        </w:rPr>
        <w:t>, without any limiting reservations</w:t>
      </w:r>
      <w:r w:rsidR="001C3476" w:rsidRPr="00AA6144">
        <w:rPr>
          <w:rFonts w:ascii="Amnesty Trade Gothic" w:hAnsi="Amnesty Trade Gothic"/>
          <w:sz w:val="18"/>
          <w:szCs w:val="18"/>
          <w:lang w:val="en-CA"/>
        </w:rPr>
        <w:t xml:space="preserve"> or declaration amounting to reservation</w:t>
      </w:r>
      <w:r w:rsidRPr="00AA6144">
        <w:rPr>
          <w:rFonts w:ascii="Amnesty Trade Gothic" w:hAnsi="Amnesty Trade Gothic"/>
          <w:sz w:val="18"/>
          <w:szCs w:val="18"/>
          <w:lang w:val="en-CA"/>
        </w:rPr>
        <w:t>, all treaties requiring states to extradite or prosecute crimes under international law, including</w:t>
      </w:r>
      <w:r w:rsidR="00F358AC" w:rsidRPr="00AA6144">
        <w:rPr>
          <w:rFonts w:ascii="Amnesty Trade Gothic" w:hAnsi="Amnesty Trade Gothic"/>
          <w:sz w:val="18"/>
          <w:szCs w:val="18"/>
          <w:lang w:val="en-CA"/>
        </w:rPr>
        <w:t xml:space="preserve"> the </w:t>
      </w:r>
      <w:r w:rsidRPr="00AA6144">
        <w:rPr>
          <w:rFonts w:ascii="Amnesty Trade Gothic" w:hAnsi="Amnesty Trade Gothic"/>
          <w:sz w:val="18"/>
          <w:szCs w:val="18"/>
          <w:lang w:val="en-CA"/>
        </w:rPr>
        <w:t>International Convention for the Protection of All Persons from Enforced Disappearance</w:t>
      </w:r>
      <w:r w:rsidR="00F358AC" w:rsidRPr="00AA6144">
        <w:rPr>
          <w:rFonts w:ascii="Amnesty Trade Gothic" w:hAnsi="Amnesty Trade Gothic"/>
          <w:sz w:val="18"/>
          <w:szCs w:val="18"/>
          <w:lang w:val="en-CA"/>
        </w:rPr>
        <w:t>.</w:t>
      </w:r>
    </w:p>
    <w:p w14:paraId="1FAB5B07" w14:textId="1037C566" w:rsidR="00936E71" w:rsidRPr="00FD1463" w:rsidRDefault="00F725D3" w:rsidP="00FD1463">
      <w:pPr>
        <w:pStyle w:val="ListParagraph"/>
        <w:numPr>
          <w:ilvl w:val="0"/>
          <w:numId w:val="23"/>
        </w:numPr>
        <w:rPr>
          <w:rFonts w:ascii="Amnesty Trade Gothic" w:hAnsi="Amnesty Trade Gothic"/>
          <w:sz w:val="18"/>
          <w:szCs w:val="18"/>
          <w:lang w:val="en-CA"/>
        </w:rPr>
      </w:pPr>
      <w:r w:rsidRPr="00AA6144">
        <w:rPr>
          <w:rFonts w:ascii="Amnesty Trade Gothic" w:hAnsi="Amnesty Trade Gothic"/>
          <w:sz w:val="18"/>
          <w:szCs w:val="18"/>
          <w:lang w:val="en-CA"/>
        </w:rPr>
        <w:t xml:space="preserve">Define crimes under international law as crimes under </w:t>
      </w:r>
      <w:r w:rsidR="00BB18BC" w:rsidRPr="00AA6144">
        <w:rPr>
          <w:rFonts w:ascii="Amnesty Trade Gothic" w:hAnsi="Amnesty Trade Gothic"/>
          <w:sz w:val="18"/>
          <w:szCs w:val="18"/>
          <w:lang w:val="en-CA"/>
        </w:rPr>
        <w:t>national</w:t>
      </w:r>
      <w:r w:rsidRPr="00AA6144">
        <w:rPr>
          <w:rFonts w:ascii="Amnesty Trade Gothic" w:hAnsi="Amnesty Trade Gothic"/>
          <w:sz w:val="18"/>
          <w:szCs w:val="18"/>
          <w:lang w:val="en-CA"/>
        </w:rPr>
        <w:t xml:space="preserve"> law</w:t>
      </w:r>
      <w:r w:rsidR="00936E71" w:rsidRPr="00AA6144">
        <w:rPr>
          <w:rFonts w:ascii="Amnesty Trade Gothic" w:hAnsi="Amnesty Trade Gothic"/>
          <w:sz w:val="18"/>
          <w:szCs w:val="18"/>
          <w:lang w:val="en-CA"/>
        </w:rPr>
        <w:t xml:space="preserve"> in accordance with international law</w:t>
      </w:r>
      <w:r w:rsidR="00CA153C">
        <w:rPr>
          <w:rFonts w:ascii="Amnesty Trade Gothic" w:hAnsi="Amnesty Trade Gothic"/>
          <w:sz w:val="18"/>
          <w:szCs w:val="18"/>
          <w:lang w:val="en-CA"/>
        </w:rPr>
        <w:t xml:space="preserve"> and</w:t>
      </w:r>
      <w:r w:rsidRPr="00AA6144">
        <w:rPr>
          <w:rFonts w:ascii="Amnesty Trade Gothic" w:hAnsi="Amnesty Trade Gothic"/>
          <w:sz w:val="18"/>
          <w:szCs w:val="18"/>
          <w:lang w:val="en-CA"/>
        </w:rPr>
        <w:t xml:space="preserve">, </w:t>
      </w:r>
      <w:r w:rsidR="00FF597A">
        <w:rPr>
          <w:rFonts w:ascii="Amnesty Trade Gothic" w:hAnsi="Amnesty Trade Gothic"/>
          <w:sz w:val="18"/>
          <w:szCs w:val="18"/>
          <w:lang w:val="en-CA"/>
        </w:rPr>
        <w:t>where relevant,</w:t>
      </w:r>
      <w:r w:rsidR="00CA153C">
        <w:rPr>
          <w:rFonts w:ascii="Amnesty Trade Gothic" w:hAnsi="Amnesty Trade Gothic"/>
          <w:sz w:val="18"/>
          <w:szCs w:val="18"/>
          <w:lang w:val="en-CA"/>
        </w:rPr>
        <w:t xml:space="preserve"> more broadly</w:t>
      </w:r>
      <w:r w:rsidR="00945A40">
        <w:rPr>
          <w:rFonts w:ascii="Amnesty Trade Gothic" w:hAnsi="Amnesty Trade Gothic"/>
          <w:sz w:val="18"/>
          <w:szCs w:val="18"/>
          <w:lang w:val="en-CA"/>
        </w:rPr>
        <w:t xml:space="preserve"> than in the </w:t>
      </w:r>
      <w:r w:rsidR="00945A40" w:rsidRPr="00813569">
        <w:rPr>
          <w:rFonts w:ascii="Amnesty Trade Gothic" w:hAnsi="Amnesty Trade Gothic"/>
          <w:i/>
          <w:iCs/>
          <w:sz w:val="18"/>
          <w:szCs w:val="18"/>
          <w:lang w:val="en-CA"/>
        </w:rPr>
        <w:t>Rome Statute</w:t>
      </w:r>
      <w:r w:rsidR="00945A40">
        <w:rPr>
          <w:rFonts w:ascii="Amnesty Trade Gothic" w:hAnsi="Amnesty Trade Gothic"/>
          <w:sz w:val="18"/>
          <w:szCs w:val="18"/>
          <w:lang w:val="en-CA"/>
        </w:rPr>
        <w:t xml:space="preserve"> or other instruments, </w:t>
      </w:r>
      <w:r w:rsidRPr="00AA6144">
        <w:rPr>
          <w:rFonts w:ascii="Amnesty Trade Gothic" w:hAnsi="Amnesty Trade Gothic"/>
          <w:sz w:val="18"/>
          <w:szCs w:val="18"/>
          <w:lang w:val="en-CA"/>
        </w:rPr>
        <w:t>including:</w:t>
      </w:r>
    </w:p>
    <w:p w14:paraId="0BCFE1E7" w14:textId="77777777" w:rsidR="00936E71" w:rsidRPr="00AA6144" w:rsidRDefault="00F725D3" w:rsidP="00936E71">
      <w:pPr>
        <w:pStyle w:val="ListParagraph"/>
        <w:numPr>
          <w:ilvl w:val="1"/>
          <w:numId w:val="23"/>
        </w:numPr>
        <w:rPr>
          <w:rFonts w:ascii="Amnesty Trade Gothic" w:hAnsi="Amnesty Trade Gothic"/>
          <w:sz w:val="18"/>
          <w:szCs w:val="18"/>
          <w:lang w:val="en-CA"/>
        </w:rPr>
      </w:pPr>
      <w:proofErr w:type="gramStart"/>
      <w:r w:rsidRPr="00AA6144">
        <w:rPr>
          <w:rFonts w:ascii="Amnesty Trade Gothic" w:hAnsi="Amnesty Trade Gothic"/>
          <w:sz w:val="18"/>
          <w:szCs w:val="18"/>
          <w:lang w:val="en-CA"/>
        </w:rPr>
        <w:t>apartheid;</w:t>
      </w:r>
      <w:proofErr w:type="gramEnd"/>
    </w:p>
    <w:p w14:paraId="411A23E6" w14:textId="77777777" w:rsidR="00936E71" w:rsidRPr="00AA6144" w:rsidRDefault="00F725D3" w:rsidP="00936E71">
      <w:pPr>
        <w:pStyle w:val="ListParagraph"/>
        <w:numPr>
          <w:ilvl w:val="1"/>
          <w:numId w:val="23"/>
        </w:numPr>
        <w:rPr>
          <w:rFonts w:ascii="Amnesty Trade Gothic" w:hAnsi="Amnesty Trade Gothic"/>
          <w:sz w:val="18"/>
          <w:szCs w:val="18"/>
          <w:lang w:val="en-CA"/>
        </w:rPr>
      </w:pPr>
      <w:proofErr w:type="gramStart"/>
      <w:r w:rsidRPr="00AA6144">
        <w:rPr>
          <w:rFonts w:ascii="Amnesty Trade Gothic" w:hAnsi="Amnesty Trade Gothic"/>
          <w:sz w:val="18"/>
          <w:szCs w:val="18"/>
          <w:lang w:val="en-CA"/>
        </w:rPr>
        <w:t>aggression;</w:t>
      </w:r>
      <w:proofErr w:type="gramEnd"/>
    </w:p>
    <w:p w14:paraId="22E00540" w14:textId="2CE5AC1D" w:rsidR="00936E71" w:rsidRPr="00AA6144" w:rsidRDefault="00F725D3" w:rsidP="00936E71">
      <w:pPr>
        <w:pStyle w:val="ListParagraph"/>
        <w:numPr>
          <w:ilvl w:val="1"/>
          <w:numId w:val="23"/>
        </w:numPr>
        <w:rPr>
          <w:rFonts w:ascii="Amnesty Trade Gothic" w:hAnsi="Amnesty Trade Gothic"/>
          <w:sz w:val="18"/>
          <w:szCs w:val="18"/>
          <w:lang w:val="en-CA"/>
        </w:rPr>
      </w:pPr>
      <w:r w:rsidRPr="00AA6144">
        <w:rPr>
          <w:rFonts w:ascii="Amnesty Trade Gothic" w:hAnsi="Amnesty Trade Gothic"/>
          <w:sz w:val="18"/>
          <w:szCs w:val="18"/>
          <w:lang w:val="en-CA"/>
        </w:rPr>
        <w:t>forcible transfer of populations;</w:t>
      </w:r>
      <w:r w:rsidR="00CD54C5">
        <w:rPr>
          <w:rFonts w:ascii="Amnesty Trade Gothic" w:hAnsi="Amnesty Trade Gothic"/>
          <w:sz w:val="18"/>
          <w:szCs w:val="18"/>
          <w:lang w:val="en-CA"/>
        </w:rPr>
        <w:t xml:space="preserve"> and</w:t>
      </w:r>
    </w:p>
    <w:p w14:paraId="42BB55C4" w14:textId="1493D4FE" w:rsidR="00F725D3" w:rsidRDefault="00F725D3" w:rsidP="00936E71">
      <w:pPr>
        <w:pStyle w:val="ListParagraph"/>
        <w:numPr>
          <w:ilvl w:val="1"/>
          <w:numId w:val="23"/>
        </w:numPr>
        <w:rPr>
          <w:rFonts w:ascii="Amnesty Trade Gothic" w:hAnsi="Amnesty Trade Gothic"/>
          <w:sz w:val="18"/>
          <w:szCs w:val="18"/>
          <w:lang w:val="en-CA"/>
        </w:rPr>
      </w:pPr>
      <w:r w:rsidRPr="00AA6144">
        <w:rPr>
          <w:rFonts w:ascii="Amnesty Trade Gothic" w:hAnsi="Amnesty Trade Gothic"/>
          <w:sz w:val="18"/>
          <w:szCs w:val="18"/>
          <w:lang w:val="en-CA"/>
        </w:rPr>
        <w:t>enforced disappearance</w:t>
      </w:r>
      <w:r w:rsidR="00936E71" w:rsidRPr="00AA6144">
        <w:rPr>
          <w:rFonts w:ascii="Amnesty Trade Gothic" w:hAnsi="Amnesty Trade Gothic"/>
          <w:sz w:val="18"/>
          <w:szCs w:val="18"/>
          <w:lang w:val="en-CA"/>
        </w:rPr>
        <w:t>.</w:t>
      </w:r>
    </w:p>
    <w:p w14:paraId="065EDE62" w14:textId="20022AC4" w:rsidR="008C57B9" w:rsidRPr="00AA6144" w:rsidRDefault="008C57B9" w:rsidP="00FF597A">
      <w:pPr>
        <w:pStyle w:val="ListParagraph"/>
        <w:ind w:left="1440"/>
        <w:rPr>
          <w:rFonts w:ascii="Amnesty Trade Gothic" w:hAnsi="Amnesty Trade Gothic"/>
          <w:sz w:val="18"/>
          <w:szCs w:val="18"/>
          <w:lang w:val="en-CA"/>
        </w:rPr>
      </w:pPr>
    </w:p>
    <w:p w14:paraId="5FA87718" w14:textId="5026470C" w:rsidR="00A11736" w:rsidRDefault="00A11736" w:rsidP="00F725D3">
      <w:pPr>
        <w:pStyle w:val="ListParagraph"/>
        <w:numPr>
          <w:ilvl w:val="0"/>
          <w:numId w:val="24"/>
        </w:numPr>
        <w:rPr>
          <w:rFonts w:ascii="Amnesty Trade Gothic" w:hAnsi="Amnesty Trade Gothic"/>
          <w:sz w:val="18"/>
          <w:szCs w:val="18"/>
          <w:lang w:val="en-CA"/>
        </w:rPr>
      </w:pPr>
      <w:r>
        <w:rPr>
          <w:rFonts w:ascii="Amnesty Trade Gothic" w:hAnsi="Amnesty Trade Gothic"/>
          <w:sz w:val="18"/>
          <w:szCs w:val="18"/>
          <w:lang w:val="en-CA"/>
        </w:rPr>
        <w:t xml:space="preserve">Define the use of cluster munitions and extrajudicial executions as crimes under national </w:t>
      </w:r>
      <w:proofErr w:type="gramStart"/>
      <w:r>
        <w:rPr>
          <w:rFonts w:ascii="Amnesty Trade Gothic" w:hAnsi="Amnesty Trade Gothic"/>
          <w:sz w:val="18"/>
          <w:szCs w:val="18"/>
          <w:lang w:val="en-CA"/>
        </w:rPr>
        <w:t>law;</w:t>
      </w:r>
      <w:proofErr w:type="gramEnd"/>
    </w:p>
    <w:p w14:paraId="27D6250F" w14:textId="68E326EF" w:rsidR="00936E71"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Define principles of criminal responsibility in accordance with international law and, </w:t>
      </w:r>
      <w:r w:rsidR="005E328B">
        <w:rPr>
          <w:rFonts w:ascii="Amnesty Trade Gothic" w:hAnsi="Amnesty Trade Gothic"/>
          <w:sz w:val="18"/>
          <w:szCs w:val="18"/>
          <w:lang w:val="en-CA"/>
        </w:rPr>
        <w:t>in certain cases, more broadly than in the Rome Statute</w:t>
      </w:r>
      <w:r w:rsidR="00A1708F">
        <w:rPr>
          <w:rFonts w:ascii="Amnesty Trade Gothic" w:hAnsi="Amnesty Trade Gothic"/>
          <w:sz w:val="18"/>
          <w:szCs w:val="18"/>
          <w:lang w:val="en-CA"/>
        </w:rPr>
        <w:t xml:space="preserve">. </w:t>
      </w:r>
      <w:proofErr w:type="gramStart"/>
      <w:r w:rsidR="00A1708F">
        <w:rPr>
          <w:rFonts w:ascii="Amnesty Trade Gothic" w:hAnsi="Amnesty Trade Gothic"/>
          <w:sz w:val="18"/>
          <w:szCs w:val="18"/>
          <w:lang w:val="en-CA"/>
        </w:rPr>
        <w:t>I</w:t>
      </w:r>
      <w:r w:rsidRPr="00AA6144">
        <w:rPr>
          <w:rFonts w:ascii="Amnesty Trade Gothic" w:hAnsi="Amnesty Trade Gothic"/>
          <w:sz w:val="18"/>
          <w:szCs w:val="18"/>
          <w:lang w:val="en-CA"/>
        </w:rPr>
        <w:t xml:space="preserve">n particular, </w:t>
      </w:r>
      <w:r w:rsidR="00A1708F">
        <w:rPr>
          <w:rFonts w:ascii="Amnesty Trade Gothic" w:hAnsi="Amnesty Trade Gothic"/>
          <w:sz w:val="18"/>
          <w:szCs w:val="18"/>
          <w:lang w:val="en-CA"/>
        </w:rPr>
        <w:t>national</w:t>
      </w:r>
      <w:proofErr w:type="gramEnd"/>
      <w:r w:rsidR="00A1708F">
        <w:rPr>
          <w:rFonts w:ascii="Amnesty Trade Gothic" w:hAnsi="Amnesty Trade Gothic"/>
          <w:sz w:val="18"/>
          <w:szCs w:val="18"/>
          <w:lang w:val="en-CA"/>
        </w:rPr>
        <w:t xml:space="preserve"> legislation should </w:t>
      </w:r>
      <w:r w:rsidRPr="00AA6144">
        <w:rPr>
          <w:rFonts w:ascii="Amnesty Trade Gothic" w:hAnsi="Amnesty Trade Gothic"/>
          <w:sz w:val="18"/>
          <w:szCs w:val="18"/>
          <w:lang w:val="en-CA"/>
        </w:rPr>
        <w:t>ensure that the same strict standards of criminal responsibility apply both to commanders and to other superiors</w:t>
      </w:r>
      <w:r w:rsidR="00A1708F">
        <w:rPr>
          <w:rFonts w:ascii="Amnesty Trade Gothic" w:hAnsi="Amnesty Trade Gothic"/>
          <w:sz w:val="18"/>
          <w:szCs w:val="18"/>
          <w:lang w:val="en-CA"/>
        </w:rPr>
        <w:t>, like in Protocol I</w:t>
      </w:r>
      <w:r w:rsidRPr="00AA6144">
        <w:rPr>
          <w:rFonts w:ascii="Amnesty Trade Gothic" w:hAnsi="Amnesty Trade Gothic"/>
          <w:sz w:val="18"/>
          <w:szCs w:val="18"/>
          <w:lang w:val="en-CA"/>
        </w:rPr>
        <w:t>.</w:t>
      </w:r>
    </w:p>
    <w:p w14:paraId="5D5876A8" w14:textId="1D6B3870" w:rsidR="00F725D3"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Define defences </w:t>
      </w:r>
      <w:r w:rsidR="00A64103">
        <w:rPr>
          <w:rFonts w:ascii="Amnesty Trade Gothic" w:hAnsi="Amnesty Trade Gothic"/>
          <w:sz w:val="18"/>
          <w:szCs w:val="18"/>
          <w:lang w:val="en-CA"/>
        </w:rPr>
        <w:t>more narrowly than in Rome Statute</w:t>
      </w:r>
      <w:r w:rsidRPr="00AA6144">
        <w:rPr>
          <w:rFonts w:ascii="Amnesty Trade Gothic" w:hAnsi="Amnesty Trade Gothic"/>
          <w:sz w:val="18"/>
          <w:szCs w:val="18"/>
          <w:lang w:val="en-CA"/>
        </w:rPr>
        <w:t xml:space="preserve"> and</w:t>
      </w:r>
      <w:proofErr w:type="gramStart"/>
      <w:r w:rsidRPr="00AA6144">
        <w:rPr>
          <w:rFonts w:ascii="Amnesty Trade Gothic" w:hAnsi="Amnesty Trade Gothic"/>
          <w:sz w:val="18"/>
          <w:szCs w:val="18"/>
          <w:lang w:val="en-CA"/>
        </w:rPr>
        <w:t>, in particular, exclude</w:t>
      </w:r>
      <w:proofErr w:type="gramEnd"/>
      <w:r w:rsidRPr="00AA6144">
        <w:rPr>
          <w:rFonts w:ascii="Amnesty Trade Gothic" w:hAnsi="Amnesty Trade Gothic"/>
          <w:sz w:val="18"/>
          <w:szCs w:val="18"/>
          <w:lang w:val="en-CA"/>
        </w:rPr>
        <w:t xml:space="preserve"> as permissible defences superior orders, duress and necessity, but permit them to be taken into account in mitigation of punishment.</w:t>
      </w:r>
    </w:p>
    <w:p w14:paraId="25CCEC71" w14:textId="77777777" w:rsidR="00F725D3" w:rsidRPr="00AA6144" w:rsidRDefault="00F725D3" w:rsidP="00092DFC">
      <w:pPr>
        <w:rPr>
          <w:sz w:val="24"/>
          <w:lang w:val="en-CA"/>
        </w:rPr>
      </w:pPr>
      <w:r w:rsidRPr="00AA6144">
        <w:rPr>
          <w:sz w:val="24"/>
          <w:lang w:val="en-CA"/>
        </w:rPr>
        <w:t>2. Strengthening jurisdiction:</w:t>
      </w:r>
    </w:p>
    <w:p w14:paraId="4197639F" w14:textId="77777777" w:rsidR="00936E71"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Provide that courts have universal criminal jurisdiction over conduct amounting to crimes under international law.</w:t>
      </w:r>
    </w:p>
    <w:p w14:paraId="67D5A9EB" w14:textId="77777777" w:rsidR="00936E71"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Provide that </w:t>
      </w:r>
      <w:r w:rsidR="00093DA6" w:rsidRPr="00AA6144">
        <w:rPr>
          <w:rFonts w:ascii="Amnesty Trade Gothic" w:hAnsi="Amnesty Trade Gothic"/>
          <w:sz w:val="18"/>
          <w:szCs w:val="18"/>
          <w:lang w:val="en-CA"/>
        </w:rPr>
        <w:t>Canada</w:t>
      </w:r>
      <w:r w:rsidRPr="00AA6144">
        <w:rPr>
          <w:rFonts w:ascii="Amnesty Trade Gothic" w:hAnsi="Amnesty Trade Gothic"/>
          <w:sz w:val="18"/>
          <w:szCs w:val="18"/>
          <w:lang w:val="en-CA"/>
        </w:rPr>
        <w:t xml:space="preserve"> has an </w:t>
      </w:r>
      <w:proofErr w:type="spellStart"/>
      <w:r w:rsidRPr="00AA6144">
        <w:rPr>
          <w:rFonts w:ascii="Amnesty Trade Gothic" w:hAnsi="Amnesty Trade Gothic"/>
          <w:i/>
          <w:iCs/>
          <w:sz w:val="18"/>
          <w:szCs w:val="18"/>
          <w:lang w:val="en-CA"/>
        </w:rPr>
        <w:t>aut</w:t>
      </w:r>
      <w:proofErr w:type="spellEnd"/>
      <w:r w:rsidRPr="00AA6144">
        <w:rPr>
          <w:rFonts w:ascii="Amnesty Trade Gothic" w:hAnsi="Amnesty Trade Gothic"/>
          <w:i/>
          <w:iCs/>
          <w:sz w:val="18"/>
          <w:szCs w:val="18"/>
          <w:lang w:val="en-CA"/>
        </w:rPr>
        <w:t xml:space="preserve"> </w:t>
      </w:r>
      <w:proofErr w:type="spellStart"/>
      <w:r w:rsidRPr="00AA6144">
        <w:rPr>
          <w:rFonts w:ascii="Amnesty Trade Gothic" w:hAnsi="Amnesty Trade Gothic"/>
          <w:i/>
          <w:iCs/>
          <w:sz w:val="18"/>
          <w:szCs w:val="18"/>
          <w:lang w:val="en-CA"/>
        </w:rPr>
        <w:t>dedere</w:t>
      </w:r>
      <w:proofErr w:type="spellEnd"/>
      <w:r w:rsidRPr="00AA6144">
        <w:rPr>
          <w:rFonts w:ascii="Amnesty Trade Gothic" w:hAnsi="Amnesty Trade Gothic"/>
          <w:i/>
          <w:iCs/>
          <w:sz w:val="18"/>
          <w:szCs w:val="18"/>
          <w:lang w:val="en-CA"/>
        </w:rPr>
        <w:t xml:space="preserve"> </w:t>
      </w:r>
      <w:proofErr w:type="spellStart"/>
      <w:r w:rsidRPr="00AA6144">
        <w:rPr>
          <w:rFonts w:ascii="Amnesty Trade Gothic" w:hAnsi="Amnesty Trade Gothic"/>
          <w:i/>
          <w:iCs/>
          <w:sz w:val="18"/>
          <w:szCs w:val="18"/>
          <w:lang w:val="en-CA"/>
        </w:rPr>
        <w:t>aut</w:t>
      </w:r>
      <w:proofErr w:type="spellEnd"/>
      <w:r w:rsidRPr="00AA6144">
        <w:rPr>
          <w:rFonts w:ascii="Amnesty Trade Gothic" w:hAnsi="Amnesty Trade Gothic"/>
          <w:i/>
          <w:iCs/>
          <w:sz w:val="18"/>
          <w:szCs w:val="18"/>
          <w:lang w:val="en-CA"/>
        </w:rPr>
        <w:t xml:space="preserve"> judicare</w:t>
      </w:r>
      <w:r w:rsidRPr="00AA6144">
        <w:rPr>
          <w:rFonts w:ascii="Amnesty Trade Gothic" w:hAnsi="Amnesty Trade Gothic"/>
          <w:sz w:val="18"/>
          <w:szCs w:val="18"/>
          <w:lang w:val="en-CA"/>
        </w:rPr>
        <w:t xml:space="preserve"> obligation to </w:t>
      </w:r>
      <w:r w:rsidR="000B30E8" w:rsidRPr="00AA6144">
        <w:rPr>
          <w:rFonts w:ascii="Amnesty Trade Gothic" w:hAnsi="Amnesty Trade Gothic"/>
          <w:sz w:val="18"/>
          <w:szCs w:val="18"/>
          <w:lang w:val="en-CA"/>
        </w:rPr>
        <w:t xml:space="preserve">investigate all those suspected of criminal responsibility for crimes under international law found in any territory subject to its jurisdiction, unless it decides to </w:t>
      </w:r>
      <w:r w:rsidRPr="00AA6144">
        <w:rPr>
          <w:rFonts w:ascii="Amnesty Trade Gothic" w:hAnsi="Amnesty Trade Gothic"/>
          <w:sz w:val="18"/>
          <w:szCs w:val="18"/>
          <w:lang w:val="en-CA"/>
        </w:rPr>
        <w:t xml:space="preserve">extradite </w:t>
      </w:r>
      <w:r w:rsidR="000B30E8" w:rsidRPr="00AA6144">
        <w:rPr>
          <w:rFonts w:ascii="Amnesty Trade Gothic" w:hAnsi="Amnesty Trade Gothic"/>
          <w:sz w:val="18"/>
          <w:szCs w:val="18"/>
          <w:lang w:val="en-CA"/>
        </w:rPr>
        <w:t>the person concerned to a third state or surrender him or her to an international criminal court</w:t>
      </w:r>
      <w:r w:rsidR="00936E71" w:rsidRPr="00AA6144">
        <w:rPr>
          <w:rFonts w:ascii="Amnesty Trade Gothic" w:hAnsi="Amnesty Trade Gothic"/>
          <w:sz w:val="18"/>
          <w:szCs w:val="18"/>
          <w:lang w:val="en-CA"/>
        </w:rPr>
        <w:t>.</w:t>
      </w:r>
    </w:p>
    <w:p w14:paraId="0AE49070" w14:textId="77777777" w:rsidR="00936E71"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Ensure that </w:t>
      </w:r>
      <w:r w:rsidR="00093DA6" w:rsidRPr="00AA6144">
        <w:rPr>
          <w:rFonts w:ascii="Amnesty Trade Gothic" w:hAnsi="Amnesty Trade Gothic"/>
          <w:sz w:val="18"/>
          <w:szCs w:val="18"/>
          <w:lang w:val="en-CA"/>
        </w:rPr>
        <w:t>Canada</w:t>
      </w:r>
      <w:r w:rsidRPr="00AA6144">
        <w:rPr>
          <w:rFonts w:ascii="Amnesty Trade Gothic" w:hAnsi="Amnesty Trade Gothic"/>
          <w:sz w:val="18"/>
          <w:szCs w:val="18"/>
          <w:lang w:val="en-CA"/>
        </w:rPr>
        <w:t xml:space="preserve"> can open an investigation, issue an arrest </w:t>
      </w:r>
      <w:proofErr w:type="gramStart"/>
      <w:r w:rsidRPr="00AA6144">
        <w:rPr>
          <w:rFonts w:ascii="Amnesty Trade Gothic" w:hAnsi="Amnesty Trade Gothic"/>
          <w:sz w:val="18"/>
          <w:szCs w:val="18"/>
          <w:lang w:val="en-CA"/>
        </w:rPr>
        <w:t>warrant</w:t>
      </w:r>
      <w:proofErr w:type="gramEnd"/>
      <w:r w:rsidRPr="00AA6144">
        <w:rPr>
          <w:rFonts w:ascii="Amnesty Trade Gothic" w:hAnsi="Amnesty Trade Gothic"/>
          <w:sz w:val="18"/>
          <w:szCs w:val="18"/>
          <w:lang w:val="en-CA"/>
        </w:rPr>
        <w:t xml:space="preserve"> and seek extradition of anyone suspected of a crime under international law even if that suspect has never entered territory subject to that state’s jurisdiction.</w:t>
      </w:r>
    </w:p>
    <w:p w14:paraId="7D85DA06" w14:textId="140A9619" w:rsidR="00F725D3" w:rsidRPr="00AA6144" w:rsidRDefault="00F725D3" w:rsidP="00F725D3">
      <w:pPr>
        <w:pStyle w:val="ListParagraph"/>
        <w:numPr>
          <w:ilvl w:val="0"/>
          <w:numId w:val="24"/>
        </w:numPr>
        <w:rPr>
          <w:lang w:val="en-CA"/>
        </w:rPr>
      </w:pPr>
      <w:r w:rsidRPr="00AA6144">
        <w:rPr>
          <w:rFonts w:ascii="Amnesty Trade Gothic" w:hAnsi="Amnesty Trade Gothic"/>
          <w:sz w:val="18"/>
          <w:szCs w:val="18"/>
          <w:lang w:val="en-CA"/>
        </w:rPr>
        <w:t>Ensure that legislation provides that the first state to exercise jurisdiction</w:t>
      </w:r>
      <w:r w:rsidR="007A7A1D" w:rsidRPr="00AA6144">
        <w:rPr>
          <w:rFonts w:ascii="Amnesty Trade Gothic" w:hAnsi="Amnesty Trade Gothic"/>
          <w:sz w:val="18"/>
          <w:szCs w:val="18"/>
          <w:lang w:val="en-CA"/>
        </w:rPr>
        <w:t xml:space="preserve"> in good faith</w:t>
      </w:r>
      <w:r w:rsidRPr="00AA6144">
        <w:rPr>
          <w:rFonts w:ascii="Amnesty Trade Gothic" w:hAnsi="Amnesty Trade Gothic"/>
          <w:sz w:val="18"/>
          <w:szCs w:val="18"/>
          <w:lang w:val="en-CA"/>
        </w:rPr>
        <w:t xml:space="preserve">, whether universal or territorial, to investigate or prosecute a person has priority over other states </w:t>
      </w:r>
      <w:proofErr w:type="gramStart"/>
      <w:r w:rsidRPr="00AA6144">
        <w:rPr>
          <w:rFonts w:ascii="Amnesty Trade Gothic" w:hAnsi="Amnesty Trade Gothic"/>
          <w:sz w:val="18"/>
          <w:szCs w:val="18"/>
          <w:lang w:val="en-CA"/>
        </w:rPr>
        <w:t>with regard to</w:t>
      </w:r>
      <w:proofErr w:type="gramEnd"/>
      <w:r w:rsidRPr="00AA6144">
        <w:rPr>
          <w:rFonts w:ascii="Amnesty Trade Gothic" w:hAnsi="Amnesty Trade Gothic"/>
          <w:sz w:val="18"/>
          <w:szCs w:val="18"/>
          <w:lang w:val="en-CA"/>
        </w:rPr>
        <w:t xml:space="preserve"> the crimes</w:t>
      </w:r>
      <w:r w:rsidR="007A7A1D" w:rsidRPr="00AA6144">
        <w:rPr>
          <w:rFonts w:ascii="Amnesty Trade Gothic" w:hAnsi="Amnesty Trade Gothic"/>
          <w:sz w:val="18"/>
          <w:szCs w:val="18"/>
          <w:lang w:val="en-CA"/>
        </w:rPr>
        <w:t>.</w:t>
      </w:r>
    </w:p>
    <w:p w14:paraId="130A0102" w14:textId="77777777" w:rsidR="00F725D3" w:rsidRPr="00AA6144" w:rsidRDefault="00F725D3" w:rsidP="00092DFC">
      <w:pPr>
        <w:rPr>
          <w:sz w:val="24"/>
          <w:lang w:val="en-CA"/>
        </w:rPr>
      </w:pPr>
      <w:r w:rsidRPr="00AA6144">
        <w:rPr>
          <w:sz w:val="24"/>
          <w:lang w:val="en-CA"/>
        </w:rPr>
        <w:t>3.</w:t>
      </w:r>
      <w:r w:rsidR="00093DA6" w:rsidRPr="00AA6144">
        <w:rPr>
          <w:sz w:val="24"/>
          <w:lang w:val="en-CA"/>
        </w:rPr>
        <w:t xml:space="preserve"> </w:t>
      </w:r>
      <w:r w:rsidRPr="00AA6144">
        <w:rPr>
          <w:sz w:val="24"/>
          <w:lang w:val="en-CA"/>
        </w:rPr>
        <w:t>Reform of procedure related to suspects and accused:</w:t>
      </w:r>
    </w:p>
    <w:p w14:paraId="01D561B4" w14:textId="77777777" w:rsidR="00936E71" w:rsidRPr="001E1462"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Establish rapid, </w:t>
      </w:r>
      <w:proofErr w:type="gramStart"/>
      <w:r w:rsidRPr="00AA6144">
        <w:rPr>
          <w:rFonts w:ascii="Amnesty Trade Gothic" w:hAnsi="Amnesty Trade Gothic"/>
          <w:sz w:val="18"/>
          <w:szCs w:val="18"/>
          <w:lang w:val="en-CA"/>
        </w:rPr>
        <w:t>effective</w:t>
      </w:r>
      <w:proofErr w:type="gramEnd"/>
      <w:r w:rsidRPr="00AA6144">
        <w:rPr>
          <w:rFonts w:ascii="Amnesty Trade Gothic" w:hAnsi="Amnesty Trade Gothic"/>
          <w:sz w:val="18"/>
          <w:szCs w:val="18"/>
          <w:lang w:val="en-CA"/>
        </w:rPr>
        <w:t xml:space="preserve"> and fair arrest procedures to ensure that anyone arrested on suspicion of committing crimes under international law will appear for extradition, surrender or criminal </w:t>
      </w:r>
      <w:r w:rsidRPr="001E1462">
        <w:rPr>
          <w:rFonts w:ascii="Amnesty Trade Gothic" w:hAnsi="Amnesty Trade Gothic"/>
          <w:sz w:val="18"/>
          <w:szCs w:val="18"/>
          <w:lang w:val="en-CA"/>
        </w:rPr>
        <w:t>proceedings in the state.</w:t>
      </w:r>
    </w:p>
    <w:p w14:paraId="7211DDCD" w14:textId="77777777" w:rsidR="00F725D3" w:rsidRPr="001E1462" w:rsidRDefault="00F725D3" w:rsidP="00F725D3">
      <w:pPr>
        <w:pStyle w:val="ListParagraph"/>
        <w:numPr>
          <w:ilvl w:val="0"/>
          <w:numId w:val="24"/>
        </w:numPr>
        <w:rPr>
          <w:rFonts w:ascii="Amnesty Trade Gothic" w:hAnsi="Amnesty Trade Gothic"/>
          <w:sz w:val="18"/>
          <w:szCs w:val="18"/>
          <w:lang w:val="en-CA"/>
        </w:rPr>
      </w:pPr>
      <w:r w:rsidRPr="001E1462">
        <w:rPr>
          <w:rFonts w:ascii="Amnesty Trade Gothic" w:hAnsi="Amnesty Trade Gothic"/>
          <w:sz w:val="18"/>
          <w:szCs w:val="18"/>
          <w:lang w:val="en-CA"/>
        </w:rPr>
        <w:t xml:space="preserve">Ensure that national law provides for the exclusive jurisdiction of </w:t>
      </w:r>
      <w:r w:rsidR="00BE5C51" w:rsidRPr="001E1462">
        <w:rPr>
          <w:rFonts w:ascii="Amnesty Trade Gothic" w:hAnsi="Amnesty Trade Gothic"/>
          <w:sz w:val="18"/>
          <w:szCs w:val="18"/>
          <w:lang w:val="en-CA"/>
        </w:rPr>
        <w:t xml:space="preserve">ordinary </w:t>
      </w:r>
      <w:r w:rsidRPr="001E1462">
        <w:rPr>
          <w:rFonts w:ascii="Amnesty Trade Gothic" w:hAnsi="Amnesty Trade Gothic"/>
          <w:sz w:val="18"/>
          <w:szCs w:val="18"/>
          <w:lang w:val="en-CA"/>
        </w:rPr>
        <w:t xml:space="preserve">civilian courts over all crimes under international law, including crimes committed by members of the </w:t>
      </w:r>
      <w:r w:rsidR="00936E71" w:rsidRPr="001E1462">
        <w:rPr>
          <w:rFonts w:ascii="Amnesty Trade Gothic" w:hAnsi="Amnesty Trade Gothic"/>
          <w:sz w:val="18"/>
          <w:szCs w:val="18"/>
          <w:lang w:val="en-CA"/>
        </w:rPr>
        <w:t>armed forces</w:t>
      </w:r>
      <w:r w:rsidR="00BE5C51" w:rsidRPr="001E1462">
        <w:rPr>
          <w:rFonts w:ascii="Amnesty Trade Gothic" w:hAnsi="Amnesty Trade Gothic"/>
          <w:sz w:val="18"/>
          <w:szCs w:val="18"/>
          <w:lang w:val="en-CA"/>
        </w:rPr>
        <w:t xml:space="preserve"> - even in wartime</w:t>
      </w:r>
      <w:r w:rsidR="00936E71" w:rsidRPr="001E1462">
        <w:rPr>
          <w:rFonts w:ascii="Amnesty Trade Gothic" w:hAnsi="Amnesty Trade Gothic"/>
          <w:sz w:val="18"/>
          <w:szCs w:val="18"/>
          <w:lang w:val="en-CA"/>
        </w:rPr>
        <w:t>.</w:t>
      </w:r>
    </w:p>
    <w:p w14:paraId="3276F025" w14:textId="77777777" w:rsidR="00093DA6" w:rsidRPr="00AA6144" w:rsidRDefault="00093DA6" w:rsidP="00092DFC">
      <w:pPr>
        <w:rPr>
          <w:sz w:val="24"/>
          <w:lang w:val="en-CA"/>
        </w:rPr>
      </w:pPr>
      <w:r w:rsidRPr="00AA6144">
        <w:rPr>
          <w:sz w:val="24"/>
          <w:lang w:val="en-CA"/>
        </w:rPr>
        <w:t>4. Reform of procedure related to victims:</w:t>
      </w:r>
    </w:p>
    <w:p w14:paraId="17E790CA" w14:textId="77777777" w:rsidR="00936E71"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Ensure that victims and their families </w:t>
      </w:r>
      <w:proofErr w:type="gramStart"/>
      <w:r w:rsidRPr="00AA6144">
        <w:rPr>
          <w:rFonts w:ascii="Amnesty Trade Gothic" w:hAnsi="Amnesty Trade Gothic"/>
          <w:sz w:val="18"/>
          <w:szCs w:val="18"/>
          <w:lang w:val="en-CA"/>
        </w:rPr>
        <w:t>are able to</w:t>
      </w:r>
      <w:proofErr w:type="gramEnd"/>
      <w:r w:rsidRPr="00AA6144">
        <w:rPr>
          <w:rFonts w:ascii="Amnesty Trade Gothic" w:hAnsi="Amnesty Trade Gothic"/>
          <w:sz w:val="18"/>
          <w:szCs w:val="18"/>
          <w:lang w:val="en-CA"/>
        </w:rPr>
        <w:t xml:space="preserve"> institute</w:t>
      </w:r>
      <w:r w:rsidR="006C62B0" w:rsidRPr="00AA6144">
        <w:rPr>
          <w:rFonts w:ascii="Amnesty Trade Gothic" w:hAnsi="Amnesty Trade Gothic"/>
          <w:sz w:val="18"/>
          <w:szCs w:val="18"/>
          <w:lang w:val="en-CA"/>
        </w:rPr>
        <w:t xml:space="preserve"> and carry forward</w:t>
      </w:r>
      <w:r w:rsidRPr="00AA6144">
        <w:rPr>
          <w:rFonts w:ascii="Amnesty Trade Gothic" w:hAnsi="Amnesty Trade Gothic"/>
          <w:sz w:val="18"/>
          <w:szCs w:val="18"/>
          <w:lang w:val="en-CA"/>
        </w:rPr>
        <w:t xml:space="preserve"> criminal proceedings based on universal jurisdiction over crimes under international law through private prosecutions, </w:t>
      </w:r>
      <w:r w:rsidRPr="00AA6144">
        <w:rPr>
          <w:rFonts w:ascii="Amnesty Trade Gothic" w:hAnsi="Amnesty Trade Gothic"/>
          <w:i/>
          <w:sz w:val="18"/>
          <w:szCs w:val="18"/>
          <w:lang w:val="en-CA"/>
        </w:rPr>
        <w:t xml:space="preserve">actions </w:t>
      </w:r>
      <w:proofErr w:type="spellStart"/>
      <w:r w:rsidRPr="00AA6144">
        <w:rPr>
          <w:rFonts w:ascii="Amnesty Trade Gothic" w:hAnsi="Amnesty Trade Gothic"/>
          <w:i/>
          <w:sz w:val="18"/>
          <w:szCs w:val="18"/>
          <w:lang w:val="en-CA"/>
        </w:rPr>
        <w:t>civiles</w:t>
      </w:r>
      <w:proofErr w:type="spellEnd"/>
      <w:r w:rsidRPr="00AA6144">
        <w:rPr>
          <w:rFonts w:ascii="Amnesty Trade Gothic" w:hAnsi="Amnesty Trade Gothic"/>
          <w:sz w:val="18"/>
          <w:szCs w:val="18"/>
          <w:lang w:val="en-CA"/>
        </w:rPr>
        <w:t xml:space="preserve">, </w:t>
      </w:r>
      <w:proofErr w:type="spellStart"/>
      <w:r w:rsidRPr="00AA6144">
        <w:rPr>
          <w:rFonts w:ascii="Amnesty Trade Gothic" w:hAnsi="Amnesty Trade Gothic"/>
          <w:i/>
          <w:sz w:val="18"/>
          <w:szCs w:val="18"/>
          <w:lang w:val="en-CA"/>
        </w:rPr>
        <w:t>actio</w:t>
      </w:r>
      <w:proofErr w:type="spellEnd"/>
      <w:r w:rsidRPr="00AA6144">
        <w:rPr>
          <w:rFonts w:ascii="Amnesty Trade Gothic" w:hAnsi="Amnesty Trade Gothic"/>
          <w:i/>
          <w:sz w:val="18"/>
          <w:szCs w:val="18"/>
          <w:lang w:val="en-CA"/>
        </w:rPr>
        <w:t xml:space="preserve"> </w:t>
      </w:r>
      <w:proofErr w:type="spellStart"/>
      <w:r w:rsidRPr="00AA6144">
        <w:rPr>
          <w:rFonts w:ascii="Amnesty Trade Gothic" w:hAnsi="Amnesty Trade Gothic"/>
          <w:i/>
          <w:sz w:val="18"/>
          <w:szCs w:val="18"/>
          <w:lang w:val="en-CA"/>
        </w:rPr>
        <w:t>popularis</w:t>
      </w:r>
      <w:proofErr w:type="spellEnd"/>
      <w:r w:rsidRPr="00AA6144">
        <w:rPr>
          <w:rFonts w:ascii="Amnesty Trade Gothic" w:hAnsi="Amnesty Trade Gothic"/>
          <w:sz w:val="18"/>
          <w:szCs w:val="18"/>
          <w:lang w:val="en-CA"/>
        </w:rPr>
        <w:t xml:space="preserve"> or similar procedures.</w:t>
      </w:r>
    </w:p>
    <w:p w14:paraId="29AA4497" w14:textId="77777777" w:rsidR="00936E71"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Ensure that victims and their families are able to file civil claims for all five forms of reparations (restitution, rehabilitation, compensation, satisfaction and guarantees of non-repetition) in civil and in criminal proceedings based on universal jurisdiction over crimes under international law. </w:t>
      </w:r>
    </w:p>
    <w:p w14:paraId="041618F8" w14:textId="77777777" w:rsidR="00F725D3"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Ensure that victims and their families are fully informed of their rights and of developments in all judicial proceedings based on universal jurisdiction concerning crimes under international law.</w:t>
      </w:r>
    </w:p>
    <w:p w14:paraId="5EC899D7" w14:textId="77777777" w:rsidR="00F725D3" w:rsidRPr="00AA6144" w:rsidRDefault="00F725D3" w:rsidP="00092DFC">
      <w:pPr>
        <w:rPr>
          <w:sz w:val="24"/>
          <w:lang w:val="en-CA"/>
        </w:rPr>
      </w:pPr>
      <w:r w:rsidRPr="00AA6144">
        <w:rPr>
          <w:sz w:val="24"/>
          <w:lang w:val="en-CA"/>
        </w:rPr>
        <w:t xml:space="preserve">5. Removal of legal, </w:t>
      </w:r>
      <w:proofErr w:type="gramStart"/>
      <w:r w:rsidRPr="00AA6144">
        <w:rPr>
          <w:sz w:val="24"/>
          <w:lang w:val="en-CA"/>
        </w:rPr>
        <w:t>practical</w:t>
      </w:r>
      <w:proofErr w:type="gramEnd"/>
      <w:r w:rsidRPr="00AA6144">
        <w:rPr>
          <w:sz w:val="24"/>
          <w:lang w:val="en-CA"/>
        </w:rPr>
        <w:t xml:space="preserve"> and political obstacles</w:t>
      </w:r>
      <w:r w:rsidR="00093DA6" w:rsidRPr="00AA6144">
        <w:rPr>
          <w:sz w:val="24"/>
          <w:lang w:val="en-CA"/>
        </w:rPr>
        <w:t>:</w:t>
      </w:r>
    </w:p>
    <w:p w14:paraId="50C2AC57" w14:textId="0DA9AD5A" w:rsidR="00F725D3" w:rsidRPr="00AA6144" w:rsidRDefault="00F725D3" w:rsidP="00092DFC">
      <w:pPr>
        <w:rPr>
          <w:sz w:val="20"/>
          <w:szCs w:val="20"/>
          <w:lang w:val="en-CA"/>
        </w:rPr>
      </w:pPr>
      <w:r w:rsidRPr="00AA6144">
        <w:rPr>
          <w:sz w:val="20"/>
          <w:szCs w:val="20"/>
          <w:lang w:val="en-CA"/>
        </w:rPr>
        <w:t xml:space="preserve">A. Elimination of </w:t>
      </w:r>
      <w:r w:rsidR="006D2974">
        <w:rPr>
          <w:sz w:val="20"/>
          <w:szCs w:val="20"/>
          <w:lang w:val="en-CA"/>
        </w:rPr>
        <w:t>l</w:t>
      </w:r>
      <w:r w:rsidRPr="00AA6144">
        <w:rPr>
          <w:sz w:val="20"/>
          <w:szCs w:val="20"/>
          <w:lang w:val="en-CA"/>
        </w:rPr>
        <w:t xml:space="preserve">egal obstacles </w:t>
      </w:r>
    </w:p>
    <w:p w14:paraId="575A5A46" w14:textId="77777777" w:rsidR="00936E71"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Provide that any claimed state or official immunities will not be recognized </w:t>
      </w:r>
      <w:proofErr w:type="gramStart"/>
      <w:r w:rsidRPr="00AA6144">
        <w:rPr>
          <w:rFonts w:ascii="Amnesty Trade Gothic" w:hAnsi="Amnesty Trade Gothic"/>
          <w:sz w:val="18"/>
          <w:szCs w:val="18"/>
          <w:lang w:val="en-CA"/>
        </w:rPr>
        <w:t>with regard to</w:t>
      </w:r>
      <w:proofErr w:type="gramEnd"/>
      <w:r w:rsidRPr="00AA6144">
        <w:rPr>
          <w:rFonts w:ascii="Amnesty Trade Gothic" w:hAnsi="Amnesty Trade Gothic"/>
          <w:sz w:val="18"/>
          <w:szCs w:val="18"/>
          <w:lang w:val="en-CA"/>
        </w:rPr>
        <w:t xml:space="preserve"> crimes under international law or to torts amounting to such crimes or to other human rights violations</w:t>
      </w:r>
      <w:r w:rsidR="00F30830" w:rsidRPr="00AA6144">
        <w:rPr>
          <w:rFonts w:ascii="Amnesty Trade Gothic" w:hAnsi="Amnesty Trade Gothic"/>
          <w:sz w:val="18"/>
          <w:szCs w:val="18"/>
          <w:lang w:val="en-CA"/>
        </w:rPr>
        <w:t xml:space="preserve">. Amend the </w:t>
      </w:r>
      <w:r w:rsidR="00F30830" w:rsidRPr="00AA6144">
        <w:rPr>
          <w:rFonts w:ascii="Amnesty Trade Gothic" w:hAnsi="Amnesty Trade Gothic"/>
          <w:i/>
          <w:sz w:val="18"/>
          <w:szCs w:val="18"/>
          <w:lang w:val="en-CA"/>
        </w:rPr>
        <w:t xml:space="preserve">State Immunity Act </w:t>
      </w:r>
      <w:r w:rsidR="00F30830" w:rsidRPr="00AA6144">
        <w:rPr>
          <w:rFonts w:ascii="Amnesty Trade Gothic" w:hAnsi="Amnesty Trade Gothic"/>
          <w:sz w:val="18"/>
          <w:szCs w:val="18"/>
          <w:lang w:val="en-CA"/>
        </w:rPr>
        <w:t>accordingly</w:t>
      </w:r>
      <w:r w:rsidRPr="00AA6144">
        <w:rPr>
          <w:rFonts w:ascii="Amnesty Trade Gothic" w:hAnsi="Amnesty Trade Gothic"/>
          <w:sz w:val="18"/>
          <w:szCs w:val="18"/>
          <w:lang w:val="en-CA"/>
        </w:rPr>
        <w:t>.</w:t>
      </w:r>
    </w:p>
    <w:p w14:paraId="40461302" w14:textId="61DA23BE" w:rsidR="00936E71" w:rsidRPr="00AA6144" w:rsidRDefault="0081425E" w:rsidP="00F725D3">
      <w:pPr>
        <w:pStyle w:val="ListParagraph"/>
        <w:numPr>
          <w:ilvl w:val="0"/>
          <w:numId w:val="24"/>
        </w:numPr>
        <w:rPr>
          <w:rFonts w:ascii="Amnesty Trade Gothic" w:hAnsi="Amnesty Trade Gothic"/>
          <w:sz w:val="18"/>
          <w:szCs w:val="18"/>
          <w:lang w:val="en-CA"/>
        </w:rPr>
      </w:pPr>
      <w:r>
        <w:rPr>
          <w:rFonts w:ascii="Amnesty Trade Gothic" w:hAnsi="Amnesty Trade Gothic"/>
          <w:sz w:val="18"/>
          <w:szCs w:val="18"/>
          <w:lang w:val="en-CA"/>
        </w:rPr>
        <w:t xml:space="preserve">Promptly adhere to the </w:t>
      </w:r>
      <w:r w:rsidRPr="0081425E">
        <w:rPr>
          <w:rFonts w:ascii="Amnesty Trade Gothic" w:hAnsi="Amnesty Trade Gothic"/>
          <w:sz w:val="18"/>
          <w:szCs w:val="18"/>
          <w:lang w:val="en-CA"/>
        </w:rPr>
        <w:t>Convention on the Non-Applicability of Statutory Limitations to War Crimes and Crimes Against Humanity</w:t>
      </w:r>
      <w:r>
        <w:rPr>
          <w:rFonts w:ascii="Amnesty Trade Gothic" w:hAnsi="Amnesty Trade Gothic"/>
          <w:sz w:val="18"/>
          <w:szCs w:val="18"/>
          <w:lang w:val="en-CA"/>
        </w:rPr>
        <w:t xml:space="preserve"> without making any reservation and implement it fully into national law. </w:t>
      </w:r>
      <w:r w:rsidR="00F725D3" w:rsidRPr="00AA6144">
        <w:rPr>
          <w:rFonts w:ascii="Amnesty Trade Gothic" w:hAnsi="Amnesty Trade Gothic"/>
          <w:sz w:val="18"/>
          <w:szCs w:val="18"/>
          <w:lang w:val="en-CA"/>
        </w:rPr>
        <w:t xml:space="preserve">Abolish any statutes of limitations that </w:t>
      </w:r>
      <w:r w:rsidR="00BE5C51" w:rsidRPr="00AA6144">
        <w:rPr>
          <w:rFonts w:ascii="Amnesty Trade Gothic" w:hAnsi="Amnesty Trade Gothic"/>
          <w:sz w:val="18"/>
          <w:szCs w:val="18"/>
          <w:lang w:val="en-CA"/>
        </w:rPr>
        <w:t xml:space="preserve">may </w:t>
      </w:r>
      <w:r w:rsidR="00F725D3" w:rsidRPr="00AA6144">
        <w:rPr>
          <w:rFonts w:ascii="Amnesty Trade Gothic" w:hAnsi="Amnesty Trade Gothic"/>
          <w:sz w:val="18"/>
          <w:szCs w:val="18"/>
          <w:lang w:val="en-CA"/>
        </w:rPr>
        <w:t>apply to such crimes or torts no matter when they were committed.</w:t>
      </w:r>
    </w:p>
    <w:p w14:paraId="5B541CED" w14:textId="77777777" w:rsidR="00936E71"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Provide that the principle of </w:t>
      </w:r>
      <w:r w:rsidRPr="00AA6144">
        <w:rPr>
          <w:rFonts w:ascii="Amnesty Trade Gothic" w:hAnsi="Amnesty Trade Gothic"/>
          <w:i/>
          <w:iCs/>
          <w:sz w:val="18"/>
          <w:szCs w:val="18"/>
          <w:lang w:val="en-CA"/>
        </w:rPr>
        <w:t>ne bis in idem</w:t>
      </w:r>
      <w:r w:rsidR="006C62B0" w:rsidRPr="00AA6144">
        <w:rPr>
          <w:rFonts w:ascii="Amnesty Trade Gothic" w:hAnsi="Amnesty Trade Gothic"/>
          <w:sz w:val="18"/>
          <w:szCs w:val="18"/>
          <w:lang w:val="en-CA"/>
        </w:rPr>
        <w:t xml:space="preserve"> prohibits retrials after an acquittal by the same </w:t>
      </w:r>
      <w:proofErr w:type="gramStart"/>
      <w:r w:rsidR="006C62B0" w:rsidRPr="00AA6144">
        <w:rPr>
          <w:rFonts w:ascii="Amnesty Trade Gothic" w:hAnsi="Amnesty Trade Gothic"/>
          <w:sz w:val="18"/>
          <w:szCs w:val="18"/>
          <w:lang w:val="en-CA"/>
        </w:rPr>
        <w:t>jurisdiction, but</w:t>
      </w:r>
      <w:proofErr w:type="gramEnd"/>
      <w:r w:rsidR="006C62B0" w:rsidRPr="00AA6144">
        <w:rPr>
          <w:rFonts w:ascii="Amnesty Trade Gothic" w:hAnsi="Amnesty Trade Gothic"/>
          <w:sz w:val="18"/>
          <w:szCs w:val="18"/>
          <w:lang w:val="en-CA"/>
        </w:rPr>
        <w:t xml:space="preserve"> does </w:t>
      </w:r>
      <w:r w:rsidRPr="00AA6144">
        <w:rPr>
          <w:rFonts w:ascii="Amnesty Trade Gothic" w:hAnsi="Amnesty Trade Gothic"/>
          <w:sz w:val="18"/>
          <w:szCs w:val="18"/>
          <w:lang w:val="en-CA"/>
        </w:rPr>
        <w:t xml:space="preserve">not apply to proceedings in a foreign state concerning </w:t>
      </w:r>
      <w:r w:rsidR="006C62B0" w:rsidRPr="00AA6144">
        <w:rPr>
          <w:rFonts w:ascii="Amnesty Trade Gothic" w:hAnsi="Amnesty Trade Gothic"/>
          <w:sz w:val="18"/>
          <w:szCs w:val="18"/>
          <w:lang w:val="en-CA"/>
        </w:rPr>
        <w:t>crimes under international law.</w:t>
      </w:r>
    </w:p>
    <w:p w14:paraId="44E68AD6" w14:textId="77777777" w:rsidR="00936E71"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Ensure that courts can exercise jurisdiction over all conduct that was recognized under international law as a crime at the time that it occurred</w:t>
      </w:r>
      <w:r w:rsidR="00BE5C51" w:rsidRPr="00AA6144">
        <w:rPr>
          <w:rFonts w:ascii="Amnesty Trade Gothic" w:hAnsi="Amnesty Trade Gothic"/>
          <w:sz w:val="18"/>
          <w:szCs w:val="18"/>
          <w:lang w:val="en-CA"/>
        </w:rPr>
        <w:t>,</w:t>
      </w:r>
      <w:r w:rsidRPr="00AA6144">
        <w:rPr>
          <w:rFonts w:ascii="Amnesty Trade Gothic" w:hAnsi="Amnesty Trade Gothic"/>
          <w:sz w:val="18"/>
          <w:szCs w:val="18"/>
          <w:lang w:val="en-CA"/>
        </w:rPr>
        <w:t xml:space="preserve"> even if it occurred before it was defined </w:t>
      </w:r>
      <w:r w:rsidR="00BE5C51" w:rsidRPr="00AA6144">
        <w:rPr>
          <w:rFonts w:ascii="Amnesty Trade Gothic" w:hAnsi="Amnesty Trade Gothic"/>
          <w:sz w:val="18"/>
          <w:szCs w:val="18"/>
          <w:lang w:val="en-CA"/>
        </w:rPr>
        <w:t xml:space="preserve">in a conventional instrument or by national law </w:t>
      </w:r>
      <w:r w:rsidRPr="00AA6144">
        <w:rPr>
          <w:rFonts w:ascii="Amnesty Trade Gothic" w:hAnsi="Amnesty Trade Gothic"/>
          <w:sz w:val="18"/>
          <w:szCs w:val="18"/>
          <w:lang w:val="en-CA"/>
        </w:rPr>
        <w:t>as crime under national law.</w:t>
      </w:r>
    </w:p>
    <w:p w14:paraId="5B690C4E" w14:textId="77777777" w:rsidR="00F725D3"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Provide that amnesties and similar measures of impunity granted by a foreign state </w:t>
      </w:r>
      <w:proofErr w:type="gramStart"/>
      <w:r w:rsidRPr="00AA6144">
        <w:rPr>
          <w:rFonts w:ascii="Amnesty Trade Gothic" w:hAnsi="Amnesty Trade Gothic"/>
          <w:sz w:val="18"/>
          <w:szCs w:val="18"/>
          <w:lang w:val="en-CA"/>
        </w:rPr>
        <w:t>with regard to</w:t>
      </w:r>
      <w:proofErr w:type="gramEnd"/>
      <w:r w:rsidRPr="00AA6144">
        <w:rPr>
          <w:rFonts w:ascii="Amnesty Trade Gothic" w:hAnsi="Amnesty Trade Gothic"/>
          <w:sz w:val="18"/>
          <w:szCs w:val="18"/>
          <w:lang w:val="en-CA"/>
        </w:rPr>
        <w:t xml:space="preserve"> crimes under international law </w:t>
      </w:r>
      <w:r w:rsidR="00BE5C51" w:rsidRPr="00AA6144">
        <w:rPr>
          <w:rFonts w:ascii="Amnesty Trade Gothic" w:hAnsi="Amnesty Trade Gothic"/>
          <w:sz w:val="18"/>
          <w:szCs w:val="18"/>
          <w:lang w:val="en-CA"/>
        </w:rPr>
        <w:t xml:space="preserve">or human rights violations </w:t>
      </w:r>
      <w:r w:rsidRPr="00AA6144">
        <w:rPr>
          <w:rFonts w:ascii="Amnesty Trade Gothic" w:hAnsi="Amnesty Trade Gothic"/>
          <w:sz w:val="18"/>
          <w:szCs w:val="18"/>
          <w:lang w:val="en-CA"/>
        </w:rPr>
        <w:t>have no legal effect with respect to criminal or civil proceedings.</w:t>
      </w:r>
    </w:p>
    <w:p w14:paraId="680A00FF" w14:textId="77777777" w:rsidR="00F725D3" w:rsidRPr="00AA6144" w:rsidRDefault="00093DA6" w:rsidP="00092DFC">
      <w:pPr>
        <w:rPr>
          <w:sz w:val="20"/>
          <w:szCs w:val="20"/>
          <w:lang w:val="en-CA"/>
        </w:rPr>
      </w:pPr>
      <w:r w:rsidRPr="00AA6144">
        <w:rPr>
          <w:sz w:val="20"/>
          <w:szCs w:val="20"/>
          <w:lang w:val="en-CA"/>
        </w:rPr>
        <w:t xml:space="preserve">B. </w:t>
      </w:r>
      <w:r w:rsidR="00092DFC" w:rsidRPr="00AA6144">
        <w:rPr>
          <w:sz w:val="20"/>
          <w:szCs w:val="20"/>
          <w:lang w:val="en-CA"/>
        </w:rPr>
        <w:t>E</w:t>
      </w:r>
      <w:r w:rsidRPr="00AA6144">
        <w:rPr>
          <w:sz w:val="20"/>
          <w:szCs w:val="20"/>
          <w:lang w:val="en-CA"/>
        </w:rPr>
        <w:t>liminati</w:t>
      </w:r>
      <w:r w:rsidR="00092DFC" w:rsidRPr="00AA6144">
        <w:rPr>
          <w:sz w:val="20"/>
          <w:szCs w:val="20"/>
          <w:lang w:val="en-CA"/>
        </w:rPr>
        <w:t>on</w:t>
      </w:r>
      <w:r w:rsidRPr="00AA6144">
        <w:rPr>
          <w:sz w:val="20"/>
          <w:szCs w:val="20"/>
          <w:lang w:val="en-CA"/>
        </w:rPr>
        <w:t xml:space="preserve"> </w:t>
      </w:r>
      <w:r w:rsidR="00092DFC" w:rsidRPr="00AA6144">
        <w:rPr>
          <w:sz w:val="20"/>
          <w:szCs w:val="20"/>
          <w:lang w:val="en-CA"/>
        </w:rPr>
        <w:t>of</w:t>
      </w:r>
      <w:r w:rsidR="00F725D3" w:rsidRPr="00AA6144">
        <w:rPr>
          <w:sz w:val="20"/>
          <w:szCs w:val="20"/>
          <w:lang w:val="en-CA"/>
        </w:rPr>
        <w:t xml:space="preserve"> </w:t>
      </w:r>
      <w:r w:rsidR="00092DFC" w:rsidRPr="00AA6144">
        <w:rPr>
          <w:sz w:val="20"/>
          <w:szCs w:val="20"/>
          <w:lang w:val="en-CA"/>
        </w:rPr>
        <w:t>p</w:t>
      </w:r>
      <w:r w:rsidR="00F725D3" w:rsidRPr="00AA6144">
        <w:rPr>
          <w:sz w:val="20"/>
          <w:szCs w:val="20"/>
          <w:lang w:val="en-CA"/>
        </w:rPr>
        <w:t>ractical obstacles</w:t>
      </w:r>
    </w:p>
    <w:p w14:paraId="62D52FB8" w14:textId="77777777" w:rsidR="00F725D3" w:rsidRPr="00AA6144" w:rsidRDefault="00F725D3" w:rsidP="00092DFC">
      <w:pPr>
        <w:rPr>
          <w:lang w:val="en-CA"/>
        </w:rPr>
      </w:pPr>
      <w:r w:rsidRPr="00AA6144">
        <w:rPr>
          <w:lang w:val="en-CA"/>
        </w:rPr>
        <w:t>1. Improving the qualifications of members of the judicial system</w:t>
      </w:r>
    </w:p>
    <w:p w14:paraId="27949411" w14:textId="77777777" w:rsidR="00F725D3"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Ensure that all judges, prosecutors, defence lawyers and others in the criminal and civil justice systems are effectively trained in relevant subjects, including such matters as </w:t>
      </w:r>
      <w:r w:rsidRPr="00AA6144">
        <w:rPr>
          <w:rFonts w:ascii="Amnesty Trade Gothic" w:hAnsi="Amnesty Trade Gothic"/>
          <w:bCs/>
          <w:sz w:val="18"/>
          <w:szCs w:val="18"/>
          <w:lang w:val="en-CA"/>
        </w:rPr>
        <w:t>issues related to sexual and gender-based violence and issues related to crimes involving children, whether as victims, witnesses or perpetrators</w:t>
      </w:r>
      <w:r w:rsidRPr="00AA6144">
        <w:rPr>
          <w:rFonts w:ascii="Amnesty Trade Gothic" w:hAnsi="Amnesty Trade Gothic"/>
          <w:sz w:val="18"/>
          <w:szCs w:val="18"/>
          <w:lang w:val="en-CA"/>
        </w:rPr>
        <w:t>.</w:t>
      </w:r>
    </w:p>
    <w:p w14:paraId="0A010B13" w14:textId="77777777" w:rsidR="00EF610D" w:rsidRPr="00AA6144" w:rsidRDefault="00EF610D" w:rsidP="00EF610D">
      <w:pPr>
        <w:pStyle w:val="ListParagraph"/>
        <w:rPr>
          <w:rFonts w:ascii="Amnesty Trade Gothic" w:hAnsi="Amnesty Trade Gothic"/>
          <w:sz w:val="18"/>
          <w:szCs w:val="18"/>
          <w:lang w:val="en-CA"/>
        </w:rPr>
      </w:pPr>
    </w:p>
    <w:p w14:paraId="65128289" w14:textId="77777777" w:rsidR="00EF610D" w:rsidRPr="00AA6144" w:rsidRDefault="00F725D3" w:rsidP="00EF610D">
      <w:pPr>
        <w:rPr>
          <w:lang w:val="en-CA"/>
        </w:rPr>
      </w:pPr>
      <w:r w:rsidRPr="00AA6144">
        <w:rPr>
          <w:lang w:val="en-CA"/>
        </w:rPr>
        <w:t>2. Improving the protection of and support for victims and witnesses</w:t>
      </w:r>
    </w:p>
    <w:p w14:paraId="1226A92C" w14:textId="77777777" w:rsidR="00F725D3" w:rsidRPr="00AA6144" w:rsidRDefault="00F725D3" w:rsidP="00EF610D">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Establish an effective victim and witness protection and support unit, based on the experience of such units in international criminal courts and national legal systems able to protect and support victims and witnesses involved in proceedings in the state, in foreign states and in international criminal courts, including through relocation.</w:t>
      </w:r>
    </w:p>
    <w:p w14:paraId="7034C9EF" w14:textId="77777777" w:rsidR="00093DA6" w:rsidRPr="00AA6144" w:rsidRDefault="00093DA6" w:rsidP="00F725D3">
      <w:pPr>
        <w:rPr>
          <w:color w:val="auto"/>
          <w:lang w:val="en-CA"/>
        </w:rPr>
      </w:pPr>
      <w:r w:rsidRPr="00AA6144">
        <w:rPr>
          <w:color w:val="auto"/>
          <w:lang w:val="en-CA"/>
        </w:rPr>
        <w:t>3. Increa</w:t>
      </w:r>
      <w:r w:rsidR="00F359AD" w:rsidRPr="00AA6144">
        <w:rPr>
          <w:color w:val="auto"/>
          <w:lang w:val="en-CA"/>
        </w:rPr>
        <w:t>s</w:t>
      </w:r>
      <w:r w:rsidRPr="00AA6144">
        <w:rPr>
          <w:color w:val="auto"/>
          <w:lang w:val="en-CA"/>
        </w:rPr>
        <w:t xml:space="preserve">ing resources for the prosecution of </w:t>
      </w:r>
      <w:r w:rsidR="00475A37" w:rsidRPr="00AA6144">
        <w:rPr>
          <w:color w:val="auto"/>
          <w:lang w:val="en-CA"/>
        </w:rPr>
        <w:t>crimes under international law</w:t>
      </w:r>
    </w:p>
    <w:p w14:paraId="3433C492" w14:textId="77777777" w:rsidR="009A5C7C" w:rsidRPr="00AA6144" w:rsidRDefault="006C62B0"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Ensure that the</w:t>
      </w:r>
      <w:r w:rsidR="00F359AD" w:rsidRPr="00AA6144">
        <w:rPr>
          <w:rFonts w:ascii="Amnesty Trade Gothic" w:hAnsi="Amnesty Trade Gothic"/>
          <w:sz w:val="18"/>
          <w:szCs w:val="18"/>
          <w:lang w:val="en-CA"/>
        </w:rPr>
        <w:t xml:space="preserve"> Crimes Against Humanity and</w:t>
      </w:r>
      <w:r w:rsidRPr="00AA6144">
        <w:rPr>
          <w:rFonts w:ascii="Amnesty Trade Gothic" w:hAnsi="Amnesty Trade Gothic"/>
          <w:sz w:val="18"/>
          <w:szCs w:val="18"/>
          <w:lang w:val="en-CA"/>
        </w:rPr>
        <w:t xml:space="preserve"> War Crimes Program has sufficient resources to </w:t>
      </w:r>
      <w:r w:rsidR="0086461E" w:rsidRPr="00AA6144">
        <w:rPr>
          <w:rFonts w:ascii="Amnesty Trade Gothic" w:hAnsi="Amnesty Trade Gothic"/>
          <w:sz w:val="18"/>
          <w:szCs w:val="18"/>
          <w:lang w:val="en-CA"/>
        </w:rPr>
        <w:t>investigate individuals suspected of having committed a crime under international law</w:t>
      </w:r>
      <w:r w:rsidR="00F359AD" w:rsidRPr="00AA6144">
        <w:rPr>
          <w:rFonts w:ascii="Amnesty Trade Gothic" w:hAnsi="Amnesty Trade Gothic"/>
          <w:sz w:val="18"/>
          <w:szCs w:val="18"/>
          <w:lang w:val="en-CA"/>
        </w:rPr>
        <w:t xml:space="preserve"> </w:t>
      </w:r>
      <w:r w:rsidR="0086461E" w:rsidRPr="00AA6144">
        <w:rPr>
          <w:rFonts w:ascii="Amnesty Trade Gothic" w:hAnsi="Amnesty Trade Gothic"/>
          <w:sz w:val="18"/>
          <w:szCs w:val="18"/>
          <w:lang w:val="en-CA"/>
        </w:rPr>
        <w:t xml:space="preserve">and to prosecute them in a Canadian court. </w:t>
      </w:r>
    </w:p>
    <w:p w14:paraId="4108DA7F" w14:textId="77777777" w:rsidR="00F30830" w:rsidRPr="00AA6144" w:rsidRDefault="00F30830"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Devote resources to the adoption of a policy ensuring that extradition or criminal investigations will be pursued over deportation when there are reasonable grounds to believe an act of torture has been committed outside Canada by an individual </w:t>
      </w:r>
      <w:r w:rsidR="00BE5C51" w:rsidRPr="00AA6144">
        <w:rPr>
          <w:rFonts w:ascii="Amnesty Trade Gothic" w:hAnsi="Amnesty Trade Gothic"/>
          <w:sz w:val="18"/>
          <w:szCs w:val="18"/>
          <w:lang w:val="en-CA"/>
        </w:rPr>
        <w:t>subject to the jurisdiction of</w:t>
      </w:r>
      <w:r w:rsidRPr="00AA6144">
        <w:rPr>
          <w:rFonts w:ascii="Amnesty Trade Gothic" w:hAnsi="Amnesty Trade Gothic"/>
          <w:sz w:val="18"/>
          <w:szCs w:val="18"/>
          <w:lang w:val="en-CA"/>
        </w:rPr>
        <w:t xml:space="preserve"> Canada.</w:t>
      </w:r>
    </w:p>
    <w:p w14:paraId="0BB32297" w14:textId="77777777" w:rsidR="00F725D3" w:rsidRPr="00AA6144" w:rsidRDefault="00EF610D" w:rsidP="00EF610D">
      <w:pPr>
        <w:rPr>
          <w:sz w:val="20"/>
          <w:szCs w:val="20"/>
          <w:lang w:val="en-CA"/>
        </w:rPr>
      </w:pPr>
      <w:r w:rsidRPr="00AA6144">
        <w:rPr>
          <w:sz w:val="20"/>
          <w:szCs w:val="20"/>
          <w:lang w:val="en-CA"/>
        </w:rPr>
        <w:t>C. Ending p</w:t>
      </w:r>
      <w:r w:rsidR="00F725D3" w:rsidRPr="00AA6144">
        <w:rPr>
          <w:sz w:val="20"/>
          <w:szCs w:val="20"/>
          <w:lang w:val="en-CA"/>
        </w:rPr>
        <w:t>olitical obstacles</w:t>
      </w:r>
    </w:p>
    <w:p w14:paraId="7242B645" w14:textId="77777777" w:rsidR="00F725D3"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Ensure that the criteria for deciding whether to investigate or prosecute crimes under international law are developed in a transparent manner in close consultation with civil society, made public, are impartial and non-discriminatory and exclude all political considerations.</w:t>
      </w:r>
    </w:p>
    <w:p w14:paraId="045776D9" w14:textId="77777777" w:rsidR="00F725D3" w:rsidRPr="00AA6144" w:rsidRDefault="00F725D3" w:rsidP="00EF610D">
      <w:pPr>
        <w:rPr>
          <w:sz w:val="24"/>
          <w:lang w:val="en-CA"/>
        </w:rPr>
      </w:pPr>
      <w:r w:rsidRPr="00AA6144">
        <w:rPr>
          <w:sz w:val="24"/>
          <w:lang w:val="en-CA"/>
        </w:rPr>
        <w:t>6. Improving cooperation with investigations and prosecutions in other states</w:t>
      </w:r>
    </w:p>
    <w:p w14:paraId="2A770706" w14:textId="77777777" w:rsidR="009A5C7C"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Ensure that foreign requests from foreign states for mutual legal assistance, including </w:t>
      </w:r>
      <w:r w:rsidRPr="00AA6144">
        <w:rPr>
          <w:rFonts w:ascii="Amnesty Trade Gothic" w:hAnsi="Amnesty Trade Gothic"/>
          <w:i/>
          <w:sz w:val="18"/>
          <w:szCs w:val="18"/>
          <w:lang w:val="en-CA"/>
        </w:rPr>
        <w:t xml:space="preserve">commissions </w:t>
      </w:r>
      <w:proofErr w:type="spellStart"/>
      <w:r w:rsidRPr="00AA6144">
        <w:rPr>
          <w:rFonts w:ascii="Amnesty Trade Gothic" w:hAnsi="Amnesty Trade Gothic"/>
          <w:i/>
          <w:sz w:val="18"/>
          <w:szCs w:val="18"/>
          <w:lang w:val="en-CA"/>
        </w:rPr>
        <w:t>rogatoires</w:t>
      </w:r>
      <w:proofErr w:type="spellEnd"/>
      <w:r w:rsidRPr="00AA6144">
        <w:rPr>
          <w:rFonts w:ascii="Amnesty Trade Gothic" w:hAnsi="Amnesty Trade Gothic"/>
          <w:sz w:val="18"/>
          <w:szCs w:val="18"/>
          <w:lang w:val="en-CA"/>
        </w:rPr>
        <w:t xml:space="preserve"> (commissions rogatory), in investigating and prosecuting crimes under international law do not face unnecessary obstacles or delays, provided that the procedures are fully consistent with international law and standards concerning the right to a fair trial and that cooperation is not provided when there is a risk that it could lead to the imposition of the death penalty, </w:t>
      </w:r>
      <w:r w:rsidR="00BE5C51" w:rsidRPr="00AA6144">
        <w:rPr>
          <w:rFonts w:ascii="Amnesty Trade Gothic" w:hAnsi="Amnesty Trade Gothic"/>
          <w:sz w:val="18"/>
          <w:szCs w:val="18"/>
          <w:lang w:val="en-CA"/>
        </w:rPr>
        <w:t xml:space="preserve">enforced disappearance, </w:t>
      </w:r>
      <w:r w:rsidRPr="00AA6144">
        <w:rPr>
          <w:rFonts w:ascii="Amnesty Trade Gothic" w:hAnsi="Amnesty Trade Gothic"/>
          <w:sz w:val="18"/>
          <w:szCs w:val="18"/>
          <w:lang w:val="en-CA"/>
        </w:rPr>
        <w:t>torture or other cruel, inhuman or degrading treatment or punishment or an unfair trial.</w:t>
      </w:r>
    </w:p>
    <w:p w14:paraId="335540C1" w14:textId="77777777" w:rsidR="009A5C7C"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Ensure that all foreign judgments awarding civil reparations, whether in civil or criminal proceedings, regardless of the basis of geographic jurisdiction, can be recognized and enforced in a simple, speedy and fair procedure, unless the defendant in the foreign proceeding can demonstrate that the proceeding violated international law and standards for a fair trial.</w:t>
      </w:r>
    </w:p>
    <w:p w14:paraId="68A20234" w14:textId="77777777" w:rsidR="009A5C7C"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Ensure that other requests for mutual legal assistance by foreign states can be transmitted directly to the police, prosecutor or investigating judge directly, without going through cumbersome diplomatic channels, but ensure that such requests are not complied with when there is a risk that it could lead to the imposition of the death penalty, torture or other cruel, inhuman or degrading treatment or punishment or unfair trial.</w:t>
      </w:r>
    </w:p>
    <w:p w14:paraId="2A3B79C8" w14:textId="77777777" w:rsidR="009A5C7C"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Improve procedures in the forum state for conducting investigations abroad, including through the use of joint international investigation teams, with all the necessary areas of expertise, and seek to enter into effective extradition and mutual legal assistance agreements with all other states, subject to appropriate safeguards.</w:t>
      </w:r>
    </w:p>
    <w:p w14:paraId="46BBAEEB" w14:textId="77777777" w:rsidR="009A5C7C"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Eliminate in law and practice any unnecessary procedural obstacles for foreign states seeking to gather information in territory subject to the forum state’s jurisdiction concerning crimes under international law.</w:t>
      </w:r>
    </w:p>
    <w:p w14:paraId="29324F3B" w14:textId="77777777" w:rsidR="009A5C7C"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 xml:space="preserve">Eliminate in law and practice any unnecessary procedural obstacles that would delay or prevent the introduction of admissible evidence from abroad. Exclude any evidence that cannot be demonstrated as having been obtained without the use of torture or other cruel, </w:t>
      </w:r>
      <w:proofErr w:type="gramStart"/>
      <w:r w:rsidRPr="00AA6144">
        <w:rPr>
          <w:rFonts w:ascii="Amnesty Trade Gothic" w:hAnsi="Amnesty Trade Gothic"/>
          <w:sz w:val="18"/>
          <w:szCs w:val="18"/>
          <w:lang w:val="en-CA"/>
        </w:rPr>
        <w:t>inhuman</w:t>
      </w:r>
      <w:proofErr w:type="gramEnd"/>
      <w:r w:rsidRPr="00AA6144">
        <w:rPr>
          <w:rFonts w:ascii="Amnesty Trade Gothic" w:hAnsi="Amnesty Trade Gothic"/>
          <w:sz w:val="18"/>
          <w:szCs w:val="18"/>
          <w:lang w:val="en-CA"/>
        </w:rPr>
        <w:t xml:space="preserve"> or degrading treatment.</w:t>
      </w:r>
    </w:p>
    <w:p w14:paraId="0A164674" w14:textId="77777777" w:rsidR="009A5C7C"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Appoint a contact point responsible for crimes under international law, who will be responsible for participating in the meetings of the Interpol Expert Meetings on Genocide, War Crimes and Crimes against Humanity and other international and bilateral meetings.</w:t>
      </w:r>
    </w:p>
    <w:p w14:paraId="13999694" w14:textId="77777777" w:rsidR="009A5C7C"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Cooperate with Interpol in the maintenance of the database on crimes under international law.</w:t>
      </w:r>
    </w:p>
    <w:p w14:paraId="0632555B" w14:textId="089A09A4" w:rsidR="00F725D3" w:rsidRPr="00AA6144" w:rsidRDefault="00F725D3" w:rsidP="00F725D3">
      <w:pPr>
        <w:pStyle w:val="ListParagraph"/>
        <w:numPr>
          <w:ilvl w:val="0"/>
          <w:numId w:val="24"/>
        </w:numPr>
        <w:rPr>
          <w:rFonts w:ascii="Amnesty Trade Gothic" w:hAnsi="Amnesty Trade Gothic"/>
          <w:sz w:val="18"/>
          <w:szCs w:val="18"/>
          <w:lang w:val="en-CA"/>
        </w:rPr>
      </w:pPr>
      <w:r w:rsidRPr="00AA6144">
        <w:rPr>
          <w:rFonts w:ascii="Amnesty Trade Gothic" w:hAnsi="Amnesty Trade Gothic"/>
          <w:sz w:val="18"/>
          <w:szCs w:val="18"/>
          <w:lang w:val="en-CA"/>
        </w:rPr>
        <w:t>Take steps, in cooperation with other states, to draft, adopt and ratify promptly a new multilateral treaty providing for extradition of persons suspected of crimes under international law and mutual legal assistance with regard to such crimes, excluding inappropriate grounds for refusal and including bars on extradition and mutual legal assistance where there is a risk of the death penalty, torture or other ill-treatment, unfair trial or other human rights violations.</w:t>
      </w:r>
    </w:p>
    <w:p w14:paraId="54013044" w14:textId="77777777" w:rsidR="00F725D3" w:rsidRPr="00AA6144" w:rsidRDefault="00F725D3" w:rsidP="00F725D3">
      <w:pPr>
        <w:rPr>
          <w:color w:val="auto"/>
          <w:lang w:val="en-CA"/>
        </w:rPr>
      </w:pPr>
    </w:p>
    <w:p w14:paraId="4CA580FC" w14:textId="77777777" w:rsidR="00991F0E" w:rsidRPr="00AA6144" w:rsidRDefault="00991F0E" w:rsidP="007170D4">
      <w:pPr>
        <w:pStyle w:val="Heading1"/>
        <w:rPr>
          <w:color w:val="auto"/>
          <w:lang w:val="en-CA"/>
        </w:rPr>
      </w:pPr>
      <w:r w:rsidRPr="00AA6144">
        <w:rPr>
          <w:color w:val="auto"/>
          <w:lang w:val="en-CA"/>
        </w:rPr>
        <w:br w:type="page"/>
      </w:r>
      <w:bookmarkStart w:id="329" w:name="_Toc220954504"/>
      <w:bookmarkStart w:id="330" w:name="_Toc43382819"/>
      <w:r w:rsidRPr="00AA6144">
        <w:rPr>
          <w:color w:val="auto"/>
          <w:lang w:val="en-CA"/>
        </w:rPr>
        <w:t>BIBLIOGRAPHY</w:t>
      </w:r>
      <w:bookmarkEnd w:id="329"/>
      <w:bookmarkEnd w:id="330"/>
    </w:p>
    <w:p w14:paraId="04522D0D" w14:textId="77777777" w:rsidR="00D72F35" w:rsidRPr="00AA6144" w:rsidRDefault="00D72F35">
      <w:pPr>
        <w:pStyle w:val="Heading2"/>
        <w:rPr>
          <w:color w:val="auto"/>
          <w:lang w:val="en-CA"/>
        </w:rPr>
      </w:pPr>
    </w:p>
    <w:p w14:paraId="3D5929C1" w14:textId="267E49E2" w:rsidR="00D72F35" w:rsidRPr="000D6C42" w:rsidRDefault="00E263D5" w:rsidP="000D6C42">
      <w:pPr>
        <w:jc w:val="center"/>
        <w:rPr>
          <w:sz w:val="24"/>
          <w:lang w:val="en-CA"/>
        </w:rPr>
      </w:pPr>
      <w:r w:rsidRPr="00AA6144">
        <w:rPr>
          <w:sz w:val="24"/>
          <w:lang w:val="en-CA"/>
        </w:rPr>
        <w:t>N</w:t>
      </w:r>
      <w:r w:rsidR="00D72F35" w:rsidRPr="00AA6144">
        <w:rPr>
          <w:sz w:val="24"/>
          <w:lang w:val="en-CA"/>
        </w:rPr>
        <w:t>ATIONAL LAW</w:t>
      </w:r>
    </w:p>
    <w:p w14:paraId="20A3A0EA" w14:textId="77777777" w:rsidR="00D22F49" w:rsidRPr="00AA6144" w:rsidRDefault="00B805DE">
      <w:pPr>
        <w:pStyle w:val="AIBodyText"/>
        <w:tabs>
          <w:tab w:val="num" w:pos="0"/>
        </w:tabs>
        <w:rPr>
          <w:b/>
          <w:bCs/>
          <w:color w:val="auto"/>
          <w:szCs w:val="18"/>
          <w:lang w:val="en-CA"/>
        </w:rPr>
      </w:pPr>
      <w:r w:rsidRPr="00AA6144">
        <w:rPr>
          <w:b/>
          <w:bCs/>
          <w:color w:val="auto"/>
          <w:szCs w:val="18"/>
          <w:lang w:val="en-CA"/>
        </w:rPr>
        <w:t>C</w:t>
      </w:r>
      <w:r w:rsidR="00D72F35" w:rsidRPr="00AA6144">
        <w:rPr>
          <w:b/>
          <w:bCs/>
          <w:color w:val="auto"/>
          <w:szCs w:val="18"/>
          <w:lang w:val="en-CA"/>
        </w:rPr>
        <w:t>ONSTITUTION</w:t>
      </w:r>
      <w:r w:rsidRPr="00AA6144">
        <w:rPr>
          <w:b/>
          <w:bCs/>
          <w:color w:val="auto"/>
          <w:szCs w:val="18"/>
          <w:lang w:val="en-CA"/>
        </w:rPr>
        <w:t xml:space="preserve"> </w:t>
      </w:r>
    </w:p>
    <w:p w14:paraId="4060F5A4"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Canadian Charter of Rights and Freedoms</w:t>
      </w:r>
      <w:r w:rsidRPr="00AA6144">
        <w:rPr>
          <w:color w:val="auto"/>
          <w:szCs w:val="18"/>
          <w:lang w:val="en-CA"/>
        </w:rPr>
        <w:t xml:space="preserve">, Part I of the </w:t>
      </w:r>
      <w:r w:rsidRPr="00AA6144">
        <w:rPr>
          <w:i/>
          <w:color w:val="auto"/>
          <w:szCs w:val="18"/>
          <w:lang w:val="en-CA"/>
        </w:rPr>
        <w:t>Constitution Act, 1982</w:t>
      </w:r>
      <w:r w:rsidRPr="00AA6144">
        <w:rPr>
          <w:color w:val="auto"/>
          <w:szCs w:val="18"/>
          <w:lang w:val="en-CA"/>
        </w:rPr>
        <w:t xml:space="preserve">, Schedule B to the </w:t>
      </w:r>
      <w:r w:rsidRPr="00AA6144">
        <w:rPr>
          <w:i/>
          <w:color w:val="auto"/>
          <w:szCs w:val="18"/>
          <w:lang w:val="en-CA"/>
        </w:rPr>
        <w:t>Canada Act 1982</w:t>
      </w:r>
      <w:r w:rsidRPr="00AA6144">
        <w:rPr>
          <w:color w:val="auto"/>
          <w:szCs w:val="18"/>
          <w:lang w:val="en-CA"/>
        </w:rPr>
        <w:t xml:space="preserve"> (UK), 1982, c 11.</w:t>
      </w:r>
    </w:p>
    <w:p w14:paraId="62BC7D1A"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 xml:space="preserve">Constitution Act 1982 </w:t>
      </w:r>
      <w:r w:rsidRPr="00AA6144">
        <w:rPr>
          <w:color w:val="auto"/>
          <w:szCs w:val="18"/>
          <w:lang w:val="en-CA"/>
        </w:rPr>
        <w:t>(UK), 1982, c11.</w:t>
      </w:r>
    </w:p>
    <w:p w14:paraId="74183731"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Constitution Act</w:t>
      </w:r>
      <w:r w:rsidRPr="00AA6144">
        <w:rPr>
          <w:color w:val="auto"/>
          <w:szCs w:val="18"/>
          <w:lang w:val="en-CA"/>
        </w:rPr>
        <w:t xml:space="preserve">, 1867 (UK), 30 &amp; 31 </w:t>
      </w:r>
      <w:proofErr w:type="spellStart"/>
      <w:r w:rsidRPr="00AA6144">
        <w:rPr>
          <w:color w:val="auto"/>
          <w:szCs w:val="18"/>
          <w:lang w:val="en-CA"/>
        </w:rPr>
        <w:t>Vict</w:t>
      </w:r>
      <w:proofErr w:type="spellEnd"/>
      <w:r w:rsidRPr="00AA6144">
        <w:rPr>
          <w:color w:val="auto"/>
          <w:szCs w:val="18"/>
          <w:lang w:val="en-CA"/>
        </w:rPr>
        <w:t>, c 3, reprinted in RSC 1985, App II, No 5.</w:t>
      </w:r>
    </w:p>
    <w:p w14:paraId="600A5074" w14:textId="77777777" w:rsidR="001802F6" w:rsidRPr="00AA6144" w:rsidRDefault="001802F6">
      <w:pPr>
        <w:pStyle w:val="AIBodyText"/>
        <w:tabs>
          <w:tab w:val="num" w:pos="0"/>
        </w:tabs>
        <w:rPr>
          <w:b/>
          <w:bCs/>
          <w:color w:val="auto"/>
          <w:szCs w:val="18"/>
          <w:lang w:val="en-CA"/>
        </w:rPr>
      </w:pPr>
    </w:p>
    <w:p w14:paraId="06BD6383" w14:textId="77777777" w:rsidR="00D72F35" w:rsidRPr="00AA6144" w:rsidRDefault="00D22F49">
      <w:pPr>
        <w:pStyle w:val="AIBodyText"/>
        <w:tabs>
          <w:tab w:val="num" w:pos="0"/>
        </w:tabs>
        <w:rPr>
          <w:b/>
          <w:bCs/>
          <w:color w:val="auto"/>
          <w:szCs w:val="18"/>
          <w:lang w:val="en-CA"/>
        </w:rPr>
      </w:pPr>
      <w:r w:rsidRPr="00AA6144">
        <w:rPr>
          <w:b/>
          <w:bCs/>
          <w:color w:val="auto"/>
          <w:szCs w:val="18"/>
          <w:lang w:val="en-CA"/>
        </w:rPr>
        <w:t>L</w:t>
      </w:r>
      <w:r w:rsidR="00D72F35" w:rsidRPr="00AA6144">
        <w:rPr>
          <w:b/>
          <w:bCs/>
          <w:color w:val="auto"/>
          <w:szCs w:val="18"/>
          <w:lang w:val="en-CA"/>
        </w:rPr>
        <w:t>EGISLATION</w:t>
      </w:r>
    </w:p>
    <w:p w14:paraId="2A9F4540"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An Act respecting assistance for victims of crime</w:t>
      </w:r>
      <w:r w:rsidRPr="00AA6144">
        <w:rPr>
          <w:color w:val="auto"/>
          <w:szCs w:val="18"/>
          <w:lang w:val="en-CA"/>
        </w:rPr>
        <w:t>, RSQ 1988, c A-13.2.</w:t>
      </w:r>
    </w:p>
    <w:p w14:paraId="3B30659E" w14:textId="1C910EE2" w:rsidR="001802F6" w:rsidRPr="00AA6144" w:rsidRDefault="001802F6" w:rsidP="00971925">
      <w:pPr>
        <w:pStyle w:val="AIBodyText"/>
        <w:tabs>
          <w:tab w:val="num" w:pos="0"/>
        </w:tabs>
        <w:spacing w:line="240" w:lineRule="auto"/>
        <w:rPr>
          <w:bCs/>
          <w:color w:val="auto"/>
          <w:szCs w:val="18"/>
          <w:lang w:val="en-CA"/>
        </w:rPr>
      </w:pPr>
      <w:r w:rsidRPr="00AA6144">
        <w:rPr>
          <w:bCs/>
          <w:i/>
          <w:color w:val="auto"/>
          <w:szCs w:val="18"/>
          <w:lang w:val="en-CA"/>
        </w:rPr>
        <w:t>An Act respecting the office of the Director of Public Prosecutions,</w:t>
      </w:r>
      <w:r w:rsidRPr="00AA6144">
        <w:rPr>
          <w:bCs/>
          <w:color w:val="auto"/>
          <w:szCs w:val="18"/>
          <w:lang w:val="en-CA"/>
        </w:rPr>
        <w:t xml:space="preserve"> SC 2006, c 9, s 121.</w:t>
      </w:r>
    </w:p>
    <w:p w14:paraId="03F4B85D" w14:textId="7FCF615C" w:rsidR="00320005" w:rsidRPr="00AA6144" w:rsidRDefault="00320005" w:rsidP="00971925">
      <w:pPr>
        <w:pStyle w:val="AIBodyText"/>
        <w:tabs>
          <w:tab w:val="num" w:pos="0"/>
        </w:tabs>
        <w:spacing w:line="240" w:lineRule="auto"/>
        <w:rPr>
          <w:bCs/>
          <w:color w:val="auto"/>
          <w:szCs w:val="18"/>
          <w:lang w:val="en-CA"/>
        </w:rPr>
      </w:pPr>
      <w:r w:rsidRPr="00AA6144">
        <w:rPr>
          <w:rFonts w:ascii="Helvetica Neue" w:hAnsi="Helvetica Neue"/>
          <w:i/>
          <w:color w:val="333333"/>
          <w:szCs w:val="18"/>
          <w:shd w:val="clear" w:color="auto" w:fill="FFFFFF"/>
          <w:lang w:val="en-CA"/>
        </w:rPr>
        <w:t>An Act to implement the Convention on Cluster Munitions</w:t>
      </w:r>
      <w:r w:rsidRPr="00AA6144">
        <w:rPr>
          <w:szCs w:val="18"/>
          <w:lang w:val="en-CA"/>
        </w:rPr>
        <w:t>, SC 2014, c</w:t>
      </w:r>
      <w:r w:rsidR="00153C20" w:rsidRPr="00AA6144">
        <w:rPr>
          <w:szCs w:val="18"/>
          <w:lang w:val="en-CA"/>
        </w:rPr>
        <w:t xml:space="preserve"> </w:t>
      </w:r>
      <w:r w:rsidRPr="00AA6144">
        <w:rPr>
          <w:szCs w:val="18"/>
          <w:lang w:val="en-CA"/>
        </w:rPr>
        <w:t>27.</w:t>
      </w:r>
    </w:p>
    <w:p w14:paraId="4AB72F2C" w14:textId="6ADAE599"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An Act to secure the carrying out of the Entente between France and Québec respecting mutual aid in judicial matters</w:t>
      </w:r>
      <w:r w:rsidRPr="00AA6144">
        <w:rPr>
          <w:color w:val="auto"/>
          <w:szCs w:val="18"/>
          <w:lang w:val="en-CA"/>
        </w:rPr>
        <w:t>, RSQ, c A-20.1.</w:t>
      </w:r>
    </w:p>
    <w:p w14:paraId="6AA714BE" w14:textId="7B7D4C3E" w:rsidR="00D03F73" w:rsidRPr="00AA6144" w:rsidRDefault="00D03F73" w:rsidP="00AA6144">
      <w:pPr>
        <w:rPr>
          <w:color w:val="000000" w:themeColor="text1"/>
          <w:szCs w:val="18"/>
          <w:lang w:val="en-CA"/>
        </w:rPr>
      </w:pPr>
      <w:r w:rsidRPr="00AA6144">
        <w:rPr>
          <w:i/>
          <w:color w:val="000000" w:themeColor="text1"/>
          <w:szCs w:val="18"/>
          <w:lang w:val="en-CA"/>
        </w:rPr>
        <w:t xml:space="preserve">Canadian Victims Bill of Rights </w:t>
      </w:r>
      <w:r w:rsidRPr="00AA6144">
        <w:rPr>
          <w:color w:val="000000" w:themeColor="text1"/>
          <w:szCs w:val="18"/>
          <w:lang w:val="en-CA"/>
        </w:rPr>
        <w:t>SC 2015, c 13, s 2.</w:t>
      </w:r>
    </w:p>
    <w:p w14:paraId="70997D7A" w14:textId="77777777" w:rsidR="001802F6" w:rsidRPr="00AA6144" w:rsidRDefault="001802F6" w:rsidP="00971925">
      <w:pPr>
        <w:pStyle w:val="AIBodyText"/>
        <w:tabs>
          <w:tab w:val="num" w:pos="0"/>
        </w:tabs>
        <w:spacing w:line="240" w:lineRule="auto"/>
        <w:rPr>
          <w:rStyle w:val="reference"/>
          <w:color w:val="auto"/>
          <w:szCs w:val="18"/>
          <w:lang w:val="en-CA"/>
        </w:rPr>
      </w:pPr>
      <w:r w:rsidRPr="00AA6144">
        <w:rPr>
          <w:rStyle w:val="name"/>
          <w:i/>
          <w:color w:val="auto"/>
          <w:szCs w:val="18"/>
          <w:lang w:val="en-CA"/>
        </w:rPr>
        <w:t>Canada-United Kingdom Civil and Commercial Judgments Convention Act</w:t>
      </w:r>
      <w:r w:rsidRPr="00AA6144">
        <w:rPr>
          <w:color w:val="auto"/>
          <w:szCs w:val="18"/>
          <w:lang w:val="en-CA"/>
        </w:rPr>
        <w:t xml:space="preserve">, </w:t>
      </w:r>
      <w:r w:rsidRPr="00AA6144">
        <w:rPr>
          <w:rStyle w:val="reference"/>
          <w:color w:val="auto"/>
          <w:szCs w:val="18"/>
          <w:lang w:val="en-CA"/>
        </w:rPr>
        <w:t>RSC 1985, c C-30.</w:t>
      </w:r>
    </w:p>
    <w:p w14:paraId="4B6FB0FF" w14:textId="77777777" w:rsidR="001802F6" w:rsidRPr="00AA6144" w:rsidRDefault="001802F6" w:rsidP="00971925">
      <w:pPr>
        <w:pStyle w:val="AIBodyText"/>
        <w:tabs>
          <w:tab w:val="num" w:pos="0"/>
        </w:tabs>
        <w:spacing w:line="240" w:lineRule="auto"/>
        <w:rPr>
          <w:bCs/>
          <w:color w:val="auto"/>
          <w:szCs w:val="18"/>
          <w:lang w:val="en-CA"/>
        </w:rPr>
      </w:pPr>
      <w:r w:rsidRPr="00AA6144">
        <w:rPr>
          <w:bCs/>
          <w:i/>
          <w:color w:val="auto"/>
          <w:szCs w:val="18"/>
          <w:lang w:val="en-CA"/>
        </w:rPr>
        <w:t xml:space="preserve">Canadian Security Intelligence Service Act, </w:t>
      </w:r>
      <w:r w:rsidRPr="00AA6144">
        <w:rPr>
          <w:bCs/>
          <w:color w:val="auto"/>
          <w:szCs w:val="18"/>
          <w:lang w:val="en-CA"/>
        </w:rPr>
        <w:t>RSC 1985, c C-23.</w:t>
      </w:r>
    </w:p>
    <w:p w14:paraId="16E61442" w14:textId="77777777" w:rsidR="001802F6" w:rsidRPr="00AA6144" w:rsidRDefault="001802F6" w:rsidP="00971925">
      <w:pPr>
        <w:pStyle w:val="AIBodyText"/>
        <w:tabs>
          <w:tab w:val="num" w:pos="0"/>
        </w:tabs>
        <w:spacing w:line="240" w:lineRule="auto"/>
        <w:rPr>
          <w:i/>
          <w:color w:val="auto"/>
          <w:szCs w:val="18"/>
          <w:lang w:val="en-CA"/>
        </w:rPr>
      </w:pPr>
      <w:r w:rsidRPr="00AA6144">
        <w:rPr>
          <w:i/>
          <w:color w:val="auto"/>
          <w:szCs w:val="18"/>
          <w:lang w:val="en-CA"/>
        </w:rPr>
        <w:t>Citizenship Act,</w:t>
      </w:r>
      <w:r w:rsidRPr="00AA6144">
        <w:rPr>
          <w:color w:val="auto"/>
          <w:szCs w:val="18"/>
          <w:lang w:val="en-CA"/>
        </w:rPr>
        <w:t xml:space="preserve"> RSC 1985, c C-29.</w:t>
      </w:r>
    </w:p>
    <w:p w14:paraId="13A3F7DA" w14:textId="77777777" w:rsidR="001802F6" w:rsidRPr="00AA6144" w:rsidRDefault="001802F6" w:rsidP="00971925">
      <w:pPr>
        <w:pStyle w:val="AIBodyText"/>
        <w:tabs>
          <w:tab w:val="num" w:pos="0"/>
        </w:tabs>
        <w:spacing w:line="240" w:lineRule="auto"/>
        <w:rPr>
          <w:bCs/>
          <w:color w:val="auto"/>
          <w:szCs w:val="18"/>
          <w:lang w:val="en-CA"/>
        </w:rPr>
      </w:pPr>
      <w:r w:rsidRPr="00AA6144">
        <w:rPr>
          <w:i/>
          <w:color w:val="auto"/>
          <w:szCs w:val="18"/>
          <w:lang w:val="en-CA"/>
        </w:rPr>
        <w:t>Civil Code of Quebec,</w:t>
      </w:r>
      <w:r w:rsidRPr="00AA6144">
        <w:rPr>
          <w:color w:val="auto"/>
          <w:szCs w:val="18"/>
          <w:lang w:val="en-CA"/>
        </w:rPr>
        <w:t xml:space="preserve"> LRQ, c C-1991.</w:t>
      </w:r>
    </w:p>
    <w:p w14:paraId="146831CD"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Code of Civil Procedure</w:t>
      </w:r>
      <w:r w:rsidRPr="00AA6144">
        <w:rPr>
          <w:color w:val="auto"/>
          <w:szCs w:val="18"/>
          <w:lang w:val="en-CA"/>
        </w:rPr>
        <w:t>,</w:t>
      </w:r>
      <w:r w:rsidRPr="00AA6144">
        <w:rPr>
          <w:i/>
          <w:color w:val="auto"/>
          <w:szCs w:val="18"/>
          <w:lang w:val="en-CA"/>
        </w:rPr>
        <w:t xml:space="preserve"> </w:t>
      </w:r>
      <w:r w:rsidRPr="00AA6144">
        <w:rPr>
          <w:color w:val="auto"/>
          <w:szCs w:val="18"/>
          <w:lang w:val="en-CA"/>
        </w:rPr>
        <w:t>RSQ</w:t>
      </w:r>
      <w:r w:rsidRPr="00AA6144">
        <w:rPr>
          <w:i/>
          <w:color w:val="auto"/>
          <w:szCs w:val="18"/>
          <w:lang w:val="en-CA"/>
        </w:rPr>
        <w:t xml:space="preserve">, </w:t>
      </w:r>
      <w:r w:rsidRPr="00AA6144">
        <w:rPr>
          <w:color w:val="auto"/>
          <w:szCs w:val="18"/>
          <w:lang w:val="en-CA"/>
        </w:rPr>
        <w:t>c C-25.</w:t>
      </w:r>
    </w:p>
    <w:p w14:paraId="7C4B4383"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Code of Service Discipline</w:t>
      </w:r>
      <w:r w:rsidRPr="00AA6144">
        <w:rPr>
          <w:color w:val="auto"/>
          <w:szCs w:val="18"/>
          <w:lang w:val="en-CA"/>
        </w:rPr>
        <w:t>, RS, 1985, c N-5.</w:t>
      </w:r>
    </w:p>
    <w:p w14:paraId="6E69E1B6" w14:textId="77777777" w:rsidR="001802F6" w:rsidRPr="00AA6144" w:rsidRDefault="001802F6" w:rsidP="00971925">
      <w:pPr>
        <w:pStyle w:val="AIBodyText"/>
        <w:tabs>
          <w:tab w:val="num" w:pos="0"/>
        </w:tabs>
        <w:spacing w:line="240" w:lineRule="auto"/>
        <w:rPr>
          <w:bCs/>
          <w:iCs/>
          <w:color w:val="auto"/>
          <w:szCs w:val="18"/>
          <w:lang w:val="en-CA"/>
        </w:rPr>
      </w:pPr>
      <w:r w:rsidRPr="00AA6144">
        <w:rPr>
          <w:bCs/>
          <w:i/>
          <w:iCs/>
          <w:color w:val="auto"/>
          <w:szCs w:val="18"/>
          <w:lang w:val="en-CA"/>
        </w:rPr>
        <w:t>Compensation for Victims of Crime Act</w:t>
      </w:r>
      <w:r w:rsidRPr="00AA6144">
        <w:rPr>
          <w:bCs/>
          <w:iCs/>
          <w:color w:val="auto"/>
          <w:szCs w:val="18"/>
          <w:lang w:val="en-CA"/>
        </w:rPr>
        <w:t>, LRQ, c I-6.</w:t>
      </w:r>
    </w:p>
    <w:p w14:paraId="6F04FD53" w14:textId="77777777" w:rsidR="001802F6" w:rsidRPr="00AA6144" w:rsidRDefault="001802F6" w:rsidP="00971925">
      <w:pPr>
        <w:pStyle w:val="AIBodyText"/>
        <w:tabs>
          <w:tab w:val="num" w:pos="0"/>
        </w:tabs>
        <w:spacing w:line="240" w:lineRule="auto"/>
        <w:rPr>
          <w:bCs/>
          <w:iCs/>
          <w:color w:val="auto"/>
          <w:szCs w:val="18"/>
          <w:lang w:val="en-CA"/>
        </w:rPr>
      </w:pPr>
      <w:r w:rsidRPr="00AA6144">
        <w:rPr>
          <w:bCs/>
          <w:i/>
          <w:iCs/>
          <w:color w:val="auto"/>
          <w:szCs w:val="18"/>
          <w:lang w:val="en-CA"/>
        </w:rPr>
        <w:t>Compensation for Victims of Crime Act</w:t>
      </w:r>
      <w:r w:rsidRPr="00AA6144">
        <w:rPr>
          <w:bCs/>
          <w:iCs/>
          <w:color w:val="auto"/>
          <w:szCs w:val="18"/>
          <w:lang w:val="en-CA"/>
        </w:rPr>
        <w:t>, RSO 1990, c C24.</w:t>
      </w:r>
    </w:p>
    <w:p w14:paraId="2D773CE2"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Corrections and Conditional Release Act</w:t>
      </w:r>
      <w:r w:rsidRPr="00AA6144">
        <w:rPr>
          <w:color w:val="auto"/>
          <w:szCs w:val="18"/>
          <w:lang w:val="en-CA"/>
        </w:rPr>
        <w:t>, SC 1992, c 20.</w:t>
      </w:r>
    </w:p>
    <w:p w14:paraId="52677AF3"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Court Order Enforcement Act</w:t>
      </w:r>
      <w:r w:rsidRPr="00AA6144">
        <w:rPr>
          <w:color w:val="auto"/>
          <w:szCs w:val="18"/>
          <w:lang w:val="en-CA"/>
        </w:rPr>
        <w:t>, RSBC 1996, c 78 as am SBC 2007, c 10.</w:t>
      </w:r>
    </w:p>
    <w:p w14:paraId="6A516F37" w14:textId="30624368"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 xml:space="preserve">Crime Victim Assistance Act, </w:t>
      </w:r>
      <w:r w:rsidRPr="00AA6144">
        <w:rPr>
          <w:color w:val="auto"/>
          <w:szCs w:val="18"/>
          <w:lang w:val="en-CA"/>
        </w:rPr>
        <w:t>SBC 2001, c 38.</w:t>
      </w:r>
    </w:p>
    <w:p w14:paraId="51247EF9" w14:textId="77777777" w:rsidR="001802F6" w:rsidRPr="00AA6144" w:rsidRDefault="001802F6" w:rsidP="00971925">
      <w:pPr>
        <w:pStyle w:val="AIBodyText"/>
        <w:tabs>
          <w:tab w:val="num" w:pos="0"/>
        </w:tabs>
        <w:spacing w:line="240" w:lineRule="auto"/>
        <w:rPr>
          <w:i/>
          <w:color w:val="auto"/>
          <w:szCs w:val="18"/>
          <w:lang w:val="en-CA"/>
        </w:rPr>
      </w:pPr>
      <w:r w:rsidRPr="00AA6144">
        <w:rPr>
          <w:i/>
          <w:color w:val="auto"/>
          <w:szCs w:val="18"/>
          <w:lang w:val="en-CA"/>
        </w:rPr>
        <w:t>Crimes Against Humanity and War Crimes Act</w:t>
      </w:r>
      <w:r w:rsidRPr="00AA6144">
        <w:rPr>
          <w:color w:val="auto"/>
          <w:szCs w:val="18"/>
          <w:lang w:val="en-CA"/>
        </w:rPr>
        <w:t xml:space="preserve">, </w:t>
      </w:r>
      <w:r w:rsidRPr="00AA6144">
        <w:rPr>
          <w:bCs/>
          <w:color w:val="auto"/>
          <w:szCs w:val="18"/>
          <w:lang w:val="en-CA"/>
        </w:rPr>
        <w:t>SC 2000, c 24.</w:t>
      </w:r>
    </w:p>
    <w:p w14:paraId="0028092D" w14:textId="77777777" w:rsidR="001802F6" w:rsidRPr="00AA6144" w:rsidRDefault="001802F6" w:rsidP="00971925">
      <w:pPr>
        <w:pStyle w:val="AIBodyText"/>
        <w:tabs>
          <w:tab w:val="num" w:pos="0"/>
          <w:tab w:val="left" w:pos="4778"/>
        </w:tabs>
        <w:spacing w:line="240" w:lineRule="auto"/>
        <w:rPr>
          <w:color w:val="auto"/>
          <w:szCs w:val="18"/>
          <w:lang w:val="en-CA"/>
        </w:rPr>
      </w:pPr>
      <w:r w:rsidRPr="00AA6144">
        <w:rPr>
          <w:i/>
          <w:color w:val="auto"/>
          <w:szCs w:val="18"/>
          <w:lang w:val="en-CA"/>
        </w:rPr>
        <w:t>Criminal Code</w:t>
      </w:r>
      <w:r w:rsidRPr="00AA6144">
        <w:rPr>
          <w:color w:val="auto"/>
          <w:szCs w:val="18"/>
          <w:lang w:val="en-CA"/>
        </w:rPr>
        <w:t>, RCS 1985, c C-46, s 6.</w:t>
      </w:r>
    </w:p>
    <w:p w14:paraId="1AF4BA59" w14:textId="77777777" w:rsidR="001802F6" w:rsidRPr="00AA6144" w:rsidRDefault="001802F6" w:rsidP="00971925">
      <w:pPr>
        <w:pStyle w:val="AIBodyText"/>
        <w:tabs>
          <w:tab w:val="num" w:pos="0"/>
          <w:tab w:val="left" w:pos="4778"/>
        </w:tabs>
        <w:spacing w:line="240" w:lineRule="auto"/>
        <w:rPr>
          <w:color w:val="auto"/>
          <w:szCs w:val="18"/>
          <w:lang w:val="en-CA"/>
        </w:rPr>
      </w:pPr>
      <w:r w:rsidRPr="00AA6144">
        <w:rPr>
          <w:bCs/>
          <w:i/>
          <w:color w:val="auto"/>
          <w:szCs w:val="18"/>
          <w:lang w:val="en-CA"/>
        </w:rPr>
        <w:t xml:space="preserve">Criminal Records Act, </w:t>
      </w:r>
      <w:r w:rsidRPr="00AA6144">
        <w:rPr>
          <w:bCs/>
          <w:color w:val="auto"/>
          <w:szCs w:val="18"/>
          <w:lang w:val="en-CA"/>
        </w:rPr>
        <w:t>RSC 1985, c C-47.</w:t>
      </w:r>
      <w:r w:rsidRPr="00AA6144">
        <w:rPr>
          <w:color w:val="auto"/>
          <w:szCs w:val="18"/>
          <w:lang w:val="en-CA"/>
        </w:rPr>
        <w:tab/>
      </w:r>
    </w:p>
    <w:p w14:paraId="399DA840" w14:textId="77777777" w:rsidR="001802F6" w:rsidRPr="00AA6144" w:rsidRDefault="001802F6" w:rsidP="00971925">
      <w:pPr>
        <w:pStyle w:val="AIBodyText"/>
        <w:tabs>
          <w:tab w:val="num" w:pos="0"/>
          <w:tab w:val="left" w:pos="4778"/>
        </w:tabs>
        <w:spacing w:line="240" w:lineRule="auto"/>
        <w:rPr>
          <w:color w:val="auto"/>
          <w:szCs w:val="18"/>
          <w:lang w:val="en-CA"/>
        </w:rPr>
      </w:pPr>
      <w:r w:rsidRPr="00AA6144">
        <w:rPr>
          <w:i/>
          <w:color w:val="auto"/>
          <w:szCs w:val="18"/>
          <w:lang w:val="en-CA"/>
        </w:rPr>
        <w:t>Department of Justice Act</w:t>
      </w:r>
      <w:r w:rsidRPr="00AA6144">
        <w:rPr>
          <w:color w:val="auto"/>
          <w:szCs w:val="18"/>
          <w:lang w:val="en-CA"/>
        </w:rPr>
        <w:t>, RSC 1985, c J-2.</w:t>
      </w:r>
    </w:p>
    <w:p w14:paraId="704C5EC9"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Eldemire v Eldemire</w:t>
      </w:r>
      <w:r w:rsidRPr="00AA6144">
        <w:rPr>
          <w:color w:val="auto"/>
          <w:szCs w:val="18"/>
          <w:lang w:val="en-CA"/>
        </w:rPr>
        <w:t xml:space="preserve">, [1992] SJ No 137, 101 </w:t>
      </w:r>
      <w:proofErr w:type="spellStart"/>
      <w:r w:rsidRPr="00AA6144">
        <w:rPr>
          <w:color w:val="auto"/>
          <w:szCs w:val="18"/>
          <w:lang w:val="en-CA"/>
        </w:rPr>
        <w:t>Sask</w:t>
      </w:r>
      <w:proofErr w:type="spellEnd"/>
      <w:r w:rsidRPr="00AA6144">
        <w:rPr>
          <w:color w:val="auto"/>
          <w:szCs w:val="18"/>
          <w:lang w:val="en-CA"/>
        </w:rPr>
        <w:t xml:space="preserve"> R 189 (</w:t>
      </w:r>
      <w:proofErr w:type="spellStart"/>
      <w:r w:rsidRPr="00AA6144">
        <w:rPr>
          <w:color w:val="auto"/>
          <w:szCs w:val="18"/>
          <w:lang w:val="en-CA"/>
        </w:rPr>
        <w:t>Sask</w:t>
      </w:r>
      <w:proofErr w:type="spellEnd"/>
      <w:r w:rsidRPr="00AA6144">
        <w:rPr>
          <w:color w:val="auto"/>
          <w:szCs w:val="18"/>
          <w:lang w:val="en-CA"/>
        </w:rPr>
        <w:t xml:space="preserve"> QB).</w:t>
      </w:r>
    </w:p>
    <w:p w14:paraId="3CDD466C"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 xml:space="preserve">Extradition Act, </w:t>
      </w:r>
      <w:r w:rsidRPr="00AA6144">
        <w:rPr>
          <w:color w:val="auto"/>
          <w:szCs w:val="18"/>
          <w:lang w:val="en-CA"/>
        </w:rPr>
        <w:t>SC 1999, c18.</w:t>
      </w:r>
    </w:p>
    <w:p w14:paraId="0FE36B63" w14:textId="77777777" w:rsidR="00EA3E22"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 xml:space="preserve">Federal Courts Act, </w:t>
      </w:r>
      <w:r w:rsidRPr="00AA6144">
        <w:rPr>
          <w:color w:val="auto"/>
          <w:szCs w:val="18"/>
          <w:lang w:val="en-CA"/>
        </w:rPr>
        <w:t>RSC 1985, c F-7.</w:t>
      </w:r>
    </w:p>
    <w:p w14:paraId="229B79C0" w14:textId="77777777" w:rsidR="00EA3E22" w:rsidRPr="00AA6144" w:rsidRDefault="00EA3E22" w:rsidP="00971925">
      <w:pPr>
        <w:pStyle w:val="AIBodyText"/>
        <w:tabs>
          <w:tab w:val="num" w:pos="0"/>
        </w:tabs>
        <w:spacing w:line="240" w:lineRule="auto"/>
        <w:rPr>
          <w:color w:val="auto"/>
          <w:szCs w:val="18"/>
          <w:lang w:val="en-CA"/>
        </w:rPr>
      </w:pPr>
      <w:r w:rsidRPr="00AA6144">
        <w:rPr>
          <w:i/>
          <w:color w:val="auto"/>
          <w:szCs w:val="18"/>
          <w:lang w:val="en-CA"/>
        </w:rPr>
        <w:t>Geneva Conventions Act</w:t>
      </w:r>
      <w:r w:rsidRPr="00AA6144">
        <w:rPr>
          <w:color w:val="auto"/>
          <w:szCs w:val="18"/>
          <w:lang w:val="en-CA"/>
        </w:rPr>
        <w:t>, RSC 1985, c G-3.</w:t>
      </w:r>
    </w:p>
    <w:p w14:paraId="419A8AD9"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Human Rights Code</w:t>
      </w:r>
      <w:r w:rsidRPr="00AA6144">
        <w:rPr>
          <w:color w:val="auto"/>
          <w:szCs w:val="18"/>
          <w:lang w:val="en-CA"/>
        </w:rPr>
        <w:t>, RSO 1990, c H-19.</w:t>
      </w:r>
    </w:p>
    <w:p w14:paraId="60CD8757" w14:textId="77777777" w:rsidR="001802F6" w:rsidRPr="00AA6144" w:rsidRDefault="001802F6" w:rsidP="00971925">
      <w:pPr>
        <w:pStyle w:val="AIBodyText"/>
        <w:tabs>
          <w:tab w:val="num" w:pos="0"/>
        </w:tabs>
        <w:spacing w:line="240" w:lineRule="auto"/>
        <w:rPr>
          <w:color w:val="auto"/>
          <w:szCs w:val="18"/>
          <w:lang w:val="en-CA"/>
        </w:rPr>
      </w:pPr>
      <w:r w:rsidRPr="00AA6144">
        <w:rPr>
          <w:bCs/>
          <w:i/>
          <w:color w:val="auto"/>
          <w:szCs w:val="18"/>
          <w:lang w:val="en-CA"/>
        </w:rPr>
        <w:t>Immigration and Refugee Protection Act, </w:t>
      </w:r>
      <w:r w:rsidRPr="00AA6144">
        <w:rPr>
          <w:bCs/>
          <w:color w:val="auto"/>
          <w:szCs w:val="18"/>
          <w:lang w:val="en-CA"/>
        </w:rPr>
        <w:t>SC 2001, c 27</w:t>
      </w:r>
      <w:r w:rsidRPr="00AA6144">
        <w:rPr>
          <w:bCs/>
          <w:i/>
          <w:color w:val="auto"/>
          <w:szCs w:val="18"/>
          <w:lang w:val="en-CA"/>
        </w:rPr>
        <w:t>.</w:t>
      </w:r>
    </w:p>
    <w:p w14:paraId="47CDECA5"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Judgments Extension Act</w:t>
      </w:r>
      <w:r w:rsidRPr="00AA6144">
        <w:rPr>
          <w:color w:val="auto"/>
          <w:szCs w:val="18"/>
          <w:lang w:val="en-CA"/>
        </w:rPr>
        <w:t xml:space="preserve">, RSS 1978, c J-3. </w:t>
      </w:r>
    </w:p>
    <w:p w14:paraId="41FC6031"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Justice for Victims of Terrorism Act</w:t>
      </w:r>
      <w:r w:rsidRPr="00AA6144">
        <w:rPr>
          <w:color w:val="auto"/>
          <w:szCs w:val="18"/>
          <w:lang w:val="en-CA"/>
        </w:rPr>
        <w:t>, SC 2012, c 1.</w:t>
      </w:r>
    </w:p>
    <w:p w14:paraId="0A030102"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 xml:space="preserve">Limitations Act, </w:t>
      </w:r>
      <w:r w:rsidRPr="00AA6144">
        <w:rPr>
          <w:color w:val="auto"/>
          <w:szCs w:val="18"/>
          <w:lang w:val="en-CA"/>
        </w:rPr>
        <w:t>RSA 2000, c L-12.</w:t>
      </w:r>
    </w:p>
    <w:p w14:paraId="304A6EF6" w14:textId="77777777" w:rsidR="001802F6" w:rsidRPr="00AA6144" w:rsidRDefault="001802F6" w:rsidP="00971925">
      <w:pPr>
        <w:pStyle w:val="AIBodyText"/>
        <w:tabs>
          <w:tab w:val="num" w:pos="0"/>
        </w:tabs>
        <w:spacing w:line="240" w:lineRule="auto"/>
        <w:rPr>
          <w:i/>
          <w:color w:val="auto"/>
          <w:szCs w:val="18"/>
          <w:lang w:val="en-CA"/>
        </w:rPr>
      </w:pPr>
      <w:r w:rsidRPr="00AA6144">
        <w:rPr>
          <w:i/>
          <w:color w:val="auto"/>
          <w:szCs w:val="18"/>
          <w:lang w:val="en-CA"/>
        </w:rPr>
        <w:t>Mutual Legal Assistance in Criminal Matters Act</w:t>
      </w:r>
      <w:r w:rsidRPr="00AA6144">
        <w:rPr>
          <w:color w:val="auto"/>
          <w:szCs w:val="18"/>
          <w:lang w:val="en-CA"/>
        </w:rPr>
        <w:t>, SC 1985, c 30 (4</w:t>
      </w:r>
      <w:r w:rsidRPr="00AA6144">
        <w:rPr>
          <w:color w:val="auto"/>
          <w:szCs w:val="18"/>
          <w:vertAlign w:val="superscript"/>
          <w:lang w:val="en-CA"/>
        </w:rPr>
        <w:t>th</w:t>
      </w:r>
      <w:r w:rsidRPr="00AA6144">
        <w:rPr>
          <w:color w:val="auto"/>
          <w:szCs w:val="18"/>
          <w:lang w:val="en-CA"/>
        </w:rPr>
        <w:t xml:space="preserve"> Supp).</w:t>
      </w:r>
    </w:p>
    <w:p w14:paraId="328FA6EA"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National Defence Act</w:t>
      </w:r>
      <w:r w:rsidRPr="00AA6144">
        <w:rPr>
          <w:color w:val="auto"/>
          <w:szCs w:val="18"/>
          <w:lang w:val="en-CA"/>
        </w:rPr>
        <w:t>, RS 1985 c N-5.</w:t>
      </w:r>
    </w:p>
    <w:p w14:paraId="4C0326CA"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Nuclear Terrorism Act,</w:t>
      </w:r>
      <w:r w:rsidRPr="00AA6144">
        <w:rPr>
          <w:color w:val="auto"/>
          <w:szCs w:val="18"/>
          <w:lang w:val="en-CA"/>
        </w:rPr>
        <w:t xml:space="preserve"> SC 2013, c 13.</w:t>
      </w:r>
    </w:p>
    <w:p w14:paraId="2FF3EDAC"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 xml:space="preserve">Order Declaring an Amnesty Period, </w:t>
      </w:r>
      <w:r w:rsidRPr="00AA6144">
        <w:rPr>
          <w:color w:val="auto"/>
          <w:szCs w:val="18"/>
          <w:lang w:val="en-CA"/>
        </w:rPr>
        <w:t xml:space="preserve">SOR/98-467; </w:t>
      </w:r>
      <w:r w:rsidRPr="00AA6144">
        <w:rPr>
          <w:i/>
          <w:color w:val="auto"/>
          <w:szCs w:val="18"/>
          <w:lang w:val="en-CA"/>
        </w:rPr>
        <w:t xml:space="preserve">Order Declaring an Amnesty Period, </w:t>
      </w:r>
      <w:r w:rsidRPr="00AA6144">
        <w:rPr>
          <w:color w:val="auto"/>
          <w:szCs w:val="18"/>
          <w:lang w:val="en-CA"/>
        </w:rPr>
        <w:t>SOR/2006-95.</w:t>
      </w:r>
    </w:p>
    <w:p w14:paraId="3BF1B49A"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Order Fixing October 23, 2000 as the Date of the Coming into Force of the Act</w:t>
      </w:r>
      <w:r w:rsidRPr="00AA6144">
        <w:rPr>
          <w:color w:val="auto"/>
          <w:szCs w:val="18"/>
          <w:lang w:val="en-CA"/>
        </w:rPr>
        <w:t>, SI/2000-95.</w:t>
      </w:r>
    </w:p>
    <w:p w14:paraId="42AA5EF9" w14:textId="77777777" w:rsidR="001802F6" w:rsidRPr="00AA6144" w:rsidRDefault="001802F6" w:rsidP="00971925">
      <w:pPr>
        <w:pStyle w:val="AIBodyText"/>
        <w:tabs>
          <w:tab w:val="num" w:pos="0"/>
        </w:tabs>
        <w:spacing w:line="240" w:lineRule="auto"/>
        <w:rPr>
          <w:color w:val="auto"/>
          <w:szCs w:val="18"/>
          <w:lang w:val="en-CA"/>
        </w:rPr>
      </w:pPr>
      <w:r w:rsidRPr="00AA6144">
        <w:rPr>
          <w:rStyle w:val="reference"/>
          <w:i/>
          <w:color w:val="auto"/>
          <w:szCs w:val="18"/>
          <w:lang w:val="en-CA"/>
        </w:rPr>
        <w:t>Proclamation Giving Notice of the Coming into Force of Canada-United Kingdom Convention Respecting Judgments in Civil and Commercial Matters</w:t>
      </w:r>
      <w:r w:rsidRPr="00AA6144">
        <w:rPr>
          <w:rStyle w:val="reference"/>
          <w:color w:val="auto"/>
          <w:szCs w:val="18"/>
          <w:lang w:val="en-CA"/>
        </w:rPr>
        <w:t>, SI/87-26</w:t>
      </w:r>
      <w:r w:rsidRPr="00AA6144">
        <w:rPr>
          <w:color w:val="auto"/>
          <w:szCs w:val="18"/>
          <w:lang w:val="en-CA"/>
        </w:rPr>
        <w:t>.</w:t>
      </w:r>
    </w:p>
    <w:p w14:paraId="1D0A46EF" w14:textId="77777777" w:rsidR="001802F6" w:rsidRPr="00AA6144" w:rsidRDefault="001802F6" w:rsidP="00971925">
      <w:pPr>
        <w:pStyle w:val="FootnoteText"/>
        <w:tabs>
          <w:tab w:val="num" w:pos="0"/>
        </w:tabs>
        <w:spacing w:after="0" w:line="240" w:lineRule="auto"/>
        <w:rPr>
          <w:color w:val="auto"/>
          <w:sz w:val="18"/>
          <w:szCs w:val="18"/>
          <w:lang w:val="en-CA"/>
        </w:rPr>
      </w:pPr>
      <w:r w:rsidRPr="00AA6144">
        <w:rPr>
          <w:i/>
          <w:color w:val="auto"/>
          <w:sz w:val="18"/>
          <w:szCs w:val="18"/>
          <w:lang w:val="en-CA"/>
        </w:rPr>
        <w:t>Reciprocal Enforcement of Judgments (UK) Act</w:t>
      </w:r>
      <w:r w:rsidRPr="00AA6144">
        <w:rPr>
          <w:color w:val="auto"/>
          <w:sz w:val="18"/>
          <w:szCs w:val="18"/>
          <w:lang w:val="en-CA"/>
        </w:rPr>
        <w:t>, RSO 1990, c R6.</w:t>
      </w:r>
    </w:p>
    <w:p w14:paraId="2E4FF573" w14:textId="77777777" w:rsidR="001802F6" w:rsidRPr="00AA6144" w:rsidRDefault="001802F6" w:rsidP="00971925">
      <w:pPr>
        <w:pStyle w:val="FootnoteText"/>
        <w:tabs>
          <w:tab w:val="num" w:pos="0"/>
        </w:tabs>
        <w:spacing w:after="0" w:line="240" w:lineRule="auto"/>
        <w:rPr>
          <w:color w:val="auto"/>
          <w:sz w:val="18"/>
          <w:szCs w:val="18"/>
          <w:lang w:val="en-CA"/>
        </w:rPr>
      </w:pPr>
    </w:p>
    <w:p w14:paraId="523AAF41" w14:textId="50C55BC1" w:rsidR="00AA6144" w:rsidRPr="000D6C42" w:rsidRDefault="001802F6" w:rsidP="00AA6144">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1996, SS 1996, c R-3.1.</w:t>
      </w:r>
    </w:p>
    <w:p w14:paraId="187D03BE" w14:textId="06ADBD0F" w:rsidR="001802F6" w:rsidRPr="00AA6144" w:rsidRDefault="001802F6" w:rsidP="00AA6144">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CCSM, c J20.</w:t>
      </w:r>
    </w:p>
    <w:p w14:paraId="0F0547A0"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RSA 2000, c R-6.</w:t>
      </w:r>
    </w:p>
    <w:p w14:paraId="405682E0" w14:textId="77777777" w:rsidR="000D6C42" w:rsidRDefault="000D6C42" w:rsidP="00971925">
      <w:pPr>
        <w:pStyle w:val="AIBodyText"/>
        <w:tabs>
          <w:tab w:val="num" w:pos="0"/>
        </w:tabs>
        <w:spacing w:line="240" w:lineRule="auto"/>
        <w:rPr>
          <w:i/>
          <w:color w:val="auto"/>
          <w:szCs w:val="18"/>
          <w:lang w:val="en-CA"/>
        </w:rPr>
      </w:pPr>
    </w:p>
    <w:p w14:paraId="5899700F" w14:textId="657E7B8B"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RSNB 1973, c R-3.</w:t>
      </w:r>
    </w:p>
    <w:p w14:paraId="116CCC5D"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RSNL 1990, c R-4.</w:t>
      </w:r>
    </w:p>
    <w:p w14:paraId="15E8C841"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RSNS 1989, c 388.</w:t>
      </w:r>
    </w:p>
    <w:p w14:paraId="1E572F7F"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RSNWT (Nu) 1988, c R-1.</w:t>
      </w:r>
    </w:p>
    <w:p w14:paraId="11C5D25D"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RSNWT 1988, c R-1.</w:t>
      </w:r>
    </w:p>
    <w:p w14:paraId="6D23E83D"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RSO 1990, c R.5.</w:t>
      </w:r>
    </w:p>
    <w:p w14:paraId="15915DAE"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RSPEI 1988, c R-6.</w:t>
      </w:r>
    </w:p>
    <w:p w14:paraId="04C396E2"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Act</w:t>
      </w:r>
      <w:r w:rsidRPr="00AA6144">
        <w:rPr>
          <w:color w:val="auto"/>
          <w:szCs w:val="18"/>
          <w:lang w:val="en-CA"/>
        </w:rPr>
        <w:t>, RSY 2002, c 189.</w:t>
      </w:r>
    </w:p>
    <w:p w14:paraId="5E801831"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Reciprocal Enforcement of Judgments Regulation</w:t>
      </w:r>
      <w:r w:rsidRPr="00AA6144">
        <w:rPr>
          <w:color w:val="auto"/>
          <w:szCs w:val="18"/>
          <w:lang w:val="en-CA"/>
        </w:rPr>
        <w:t>, Man Reg 319/87 R.</w:t>
      </w:r>
    </w:p>
    <w:p w14:paraId="732D0390"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Reciprocating Jurisdictions Regulation</w:t>
      </w:r>
      <w:r w:rsidRPr="00AA6144">
        <w:rPr>
          <w:color w:val="auto"/>
          <w:szCs w:val="18"/>
          <w:lang w:val="en-CA"/>
        </w:rPr>
        <w:t>, Alta Reg 344/1985.</w:t>
      </w:r>
    </w:p>
    <w:p w14:paraId="20EE9D81"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Reciprocating States Order</w:t>
      </w:r>
      <w:r w:rsidRPr="00AA6144">
        <w:rPr>
          <w:color w:val="auto"/>
          <w:szCs w:val="18"/>
          <w:lang w:val="en-CA"/>
        </w:rPr>
        <w:t>, CNLR 790/96.</w:t>
      </w:r>
    </w:p>
    <w:p w14:paraId="7D1D30CE"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 xml:space="preserve">Security of Information Act, </w:t>
      </w:r>
      <w:r w:rsidRPr="00AA6144">
        <w:rPr>
          <w:bCs/>
          <w:color w:val="auto"/>
          <w:szCs w:val="18"/>
          <w:lang w:val="en-CA"/>
        </w:rPr>
        <w:t>RSC 1985, c O-5.</w:t>
      </w:r>
    </w:p>
    <w:p w14:paraId="63E651F5"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Security Offences Act</w:t>
      </w:r>
      <w:r w:rsidRPr="00AA6144">
        <w:rPr>
          <w:color w:val="auto"/>
          <w:szCs w:val="18"/>
          <w:lang w:val="en-CA"/>
        </w:rPr>
        <w:t>, RSC 1985, c S-7.</w:t>
      </w:r>
    </w:p>
    <w:p w14:paraId="15E31F6A"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 xml:space="preserve">State Immunity Act, </w:t>
      </w:r>
      <w:r w:rsidRPr="00AA6144">
        <w:rPr>
          <w:color w:val="auto"/>
          <w:szCs w:val="18"/>
          <w:lang w:val="en-CA"/>
        </w:rPr>
        <w:t>RSC 1985, c S-18.</w:t>
      </w:r>
    </w:p>
    <w:p w14:paraId="4538DF34"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Supreme Court Civil Rules</w:t>
      </w:r>
      <w:r w:rsidRPr="00AA6144">
        <w:rPr>
          <w:color w:val="auto"/>
          <w:szCs w:val="18"/>
          <w:lang w:val="en-CA"/>
        </w:rPr>
        <w:t>, BC Reg 168/2009, R 19-3.</w:t>
      </w:r>
    </w:p>
    <w:p w14:paraId="31D7A27C" w14:textId="77777777" w:rsidR="00247EE8"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Torture Prohibition Act</w:t>
      </w:r>
      <w:r w:rsidRPr="00AA6144">
        <w:rPr>
          <w:color w:val="auto"/>
          <w:szCs w:val="18"/>
          <w:lang w:val="en-CA"/>
        </w:rPr>
        <w:t>, RSY 2002, c 220.</w:t>
      </w:r>
    </w:p>
    <w:p w14:paraId="38814BA9" w14:textId="77777777" w:rsidR="00247EE8" w:rsidRPr="00AA6144" w:rsidRDefault="001802F6" w:rsidP="00971925">
      <w:pPr>
        <w:pStyle w:val="AIBodyText"/>
        <w:tabs>
          <w:tab w:val="num" w:pos="0"/>
        </w:tabs>
        <w:spacing w:line="240" w:lineRule="auto"/>
        <w:rPr>
          <w:color w:val="auto"/>
          <w:szCs w:val="18"/>
          <w:lang w:val="en-CA"/>
        </w:rPr>
      </w:pPr>
      <w:r w:rsidRPr="00AA6144">
        <w:rPr>
          <w:bCs/>
          <w:i/>
          <w:iCs/>
          <w:color w:val="auto"/>
          <w:szCs w:val="18"/>
          <w:lang w:val="en-CA"/>
        </w:rPr>
        <w:t>Victims of Crime Act</w:t>
      </w:r>
      <w:r w:rsidRPr="00AA6144">
        <w:rPr>
          <w:bCs/>
          <w:iCs/>
          <w:color w:val="auto"/>
          <w:szCs w:val="18"/>
          <w:lang w:val="en-CA"/>
        </w:rPr>
        <w:t>, c V-3.1.</w:t>
      </w:r>
    </w:p>
    <w:p w14:paraId="5340595A" w14:textId="77777777" w:rsidR="00247EE8" w:rsidRPr="00AA6144" w:rsidRDefault="001802F6" w:rsidP="00971925">
      <w:pPr>
        <w:pStyle w:val="AIBodyText"/>
        <w:tabs>
          <w:tab w:val="num" w:pos="0"/>
        </w:tabs>
        <w:spacing w:line="240" w:lineRule="auto"/>
        <w:rPr>
          <w:color w:val="auto"/>
          <w:szCs w:val="18"/>
          <w:lang w:val="en-CA"/>
        </w:rPr>
      </w:pPr>
      <w:r w:rsidRPr="00AA6144">
        <w:rPr>
          <w:i/>
          <w:iCs/>
          <w:color w:val="auto"/>
          <w:szCs w:val="18"/>
          <w:lang w:val="en-CA"/>
        </w:rPr>
        <w:t>Victims of Crime Act</w:t>
      </w:r>
      <w:r w:rsidRPr="00AA6144">
        <w:rPr>
          <w:iCs/>
          <w:color w:val="auto"/>
          <w:szCs w:val="18"/>
          <w:lang w:val="en-CA"/>
        </w:rPr>
        <w:t xml:space="preserve">, </w:t>
      </w:r>
      <w:r w:rsidRPr="00AA6144">
        <w:rPr>
          <w:bCs/>
          <w:iCs/>
          <w:color w:val="auto"/>
          <w:szCs w:val="18"/>
          <w:lang w:val="en-CA"/>
        </w:rPr>
        <w:t>RSA 2000, c V3.</w:t>
      </w:r>
    </w:p>
    <w:p w14:paraId="66B0AC0F" w14:textId="77777777" w:rsidR="00247EE8" w:rsidRPr="00AA6144" w:rsidRDefault="001802F6" w:rsidP="00971925">
      <w:pPr>
        <w:pStyle w:val="AIBodyText"/>
        <w:tabs>
          <w:tab w:val="num" w:pos="0"/>
        </w:tabs>
        <w:spacing w:line="240" w:lineRule="auto"/>
        <w:rPr>
          <w:color w:val="auto"/>
          <w:szCs w:val="18"/>
          <w:lang w:val="en-CA"/>
        </w:rPr>
      </w:pPr>
      <w:r w:rsidRPr="00AA6144">
        <w:rPr>
          <w:bCs/>
          <w:i/>
          <w:iCs/>
          <w:color w:val="auto"/>
          <w:szCs w:val="18"/>
          <w:lang w:val="en-CA"/>
        </w:rPr>
        <w:t>Victims of Crime Act</w:t>
      </w:r>
      <w:r w:rsidRPr="00AA6144">
        <w:rPr>
          <w:bCs/>
          <w:iCs/>
          <w:color w:val="auto"/>
          <w:szCs w:val="18"/>
          <w:lang w:val="en-CA"/>
        </w:rPr>
        <w:t>, RSBC 1996, c 478.</w:t>
      </w:r>
    </w:p>
    <w:p w14:paraId="22C5978A" w14:textId="77777777" w:rsidR="001802F6" w:rsidRPr="00AA6144" w:rsidRDefault="001802F6" w:rsidP="00971925">
      <w:pPr>
        <w:pStyle w:val="AIBodyText"/>
        <w:tabs>
          <w:tab w:val="num" w:pos="0"/>
        </w:tabs>
        <w:spacing w:line="240" w:lineRule="auto"/>
        <w:rPr>
          <w:color w:val="auto"/>
          <w:szCs w:val="18"/>
          <w:lang w:val="en-CA"/>
        </w:rPr>
      </w:pPr>
      <w:r w:rsidRPr="00AA6144">
        <w:rPr>
          <w:i/>
          <w:color w:val="auto"/>
          <w:szCs w:val="18"/>
          <w:lang w:val="en-CA"/>
        </w:rPr>
        <w:t>Victims’ Bill of Rights</w:t>
      </w:r>
      <w:r w:rsidRPr="00AA6144">
        <w:rPr>
          <w:color w:val="auto"/>
          <w:szCs w:val="18"/>
          <w:lang w:val="en-CA"/>
        </w:rPr>
        <w:t>, SO 1996, c 6.</w:t>
      </w:r>
    </w:p>
    <w:p w14:paraId="115345AE" w14:textId="77777777" w:rsidR="00BE1518" w:rsidRPr="00AA6144" w:rsidRDefault="00BE1518">
      <w:pPr>
        <w:widowControl/>
        <w:suppressAutoHyphens w:val="0"/>
        <w:spacing w:after="0" w:line="240" w:lineRule="auto"/>
        <w:rPr>
          <w:b/>
          <w:bCs/>
          <w:color w:val="auto"/>
          <w:lang w:val="en-CA"/>
        </w:rPr>
      </w:pPr>
      <w:r w:rsidRPr="00AA6144">
        <w:rPr>
          <w:b/>
          <w:bCs/>
          <w:color w:val="auto"/>
          <w:lang w:val="en-CA"/>
        </w:rPr>
        <w:br w:type="page"/>
      </w:r>
    </w:p>
    <w:p w14:paraId="42A4CEB2" w14:textId="77777777" w:rsidR="00991F0E" w:rsidRPr="00AA6144" w:rsidRDefault="00991F0E" w:rsidP="00D22F49">
      <w:pPr>
        <w:pStyle w:val="AIBodyText"/>
        <w:rPr>
          <w:color w:val="auto"/>
          <w:lang w:val="en-CA"/>
        </w:rPr>
      </w:pPr>
    </w:p>
    <w:p w14:paraId="479A5C21" w14:textId="77777777" w:rsidR="00991F0E" w:rsidRPr="00AA6144" w:rsidRDefault="00991F0E" w:rsidP="00EF610D">
      <w:pPr>
        <w:jc w:val="center"/>
        <w:rPr>
          <w:sz w:val="24"/>
          <w:lang w:val="en-CA"/>
        </w:rPr>
      </w:pPr>
      <w:r w:rsidRPr="00AA6144">
        <w:rPr>
          <w:sz w:val="24"/>
          <w:lang w:val="en-CA"/>
        </w:rPr>
        <w:t>JU</w:t>
      </w:r>
      <w:r w:rsidR="00D72F35" w:rsidRPr="00AA6144">
        <w:rPr>
          <w:sz w:val="24"/>
          <w:lang w:val="en-CA"/>
        </w:rPr>
        <w:t>RISPRUDENCE</w:t>
      </w:r>
    </w:p>
    <w:p w14:paraId="07CD332F" w14:textId="77777777" w:rsidR="00D72F35" w:rsidRPr="00AA6144" w:rsidRDefault="00D72F35">
      <w:pPr>
        <w:pStyle w:val="Heading2"/>
        <w:rPr>
          <w:color w:val="auto"/>
          <w:lang w:val="en-CA"/>
        </w:rPr>
      </w:pPr>
    </w:p>
    <w:p w14:paraId="5334135A" w14:textId="10E2E48E" w:rsidR="00320005" w:rsidRPr="00AA6144" w:rsidRDefault="00320005" w:rsidP="00320005">
      <w:pPr>
        <w:spacing w:line="240" w:lineRule="auto"/>
        <w:ind w:hanging="357"/>
        <w:rPr>
          <w:rFonts w:ascii="Verdana" w:hAnsi="Verdana"/>
          <w:color w:val="212529"/>
          <w:sz w:val="16"/>
          <w:szCs w:val="16"/>
          <w:shd w:val="clear" w:color="auto" w:fill="FFFFFF"/>
          <w:lang w:val="en-CA" w:eastAsia="en-US"/>
        </w:rPr>
      </w:pPr>
      <w:r w:rsidRPr="000C2340">
        <w:rPr>
          <w:rFonts w:ascii="Verdana" w:hAnsi="Verdana"/>
          <w:i/>
          <w:color w:val="212529"/>
          <w:sz w:val="16"/>
          <w:szCs w:val="16"/>
          <w:shd w:val="clear" w:color="auto" w:fill="FFFFFF"/>
          <w:lang w:val="en-CA" w:eastAsia="en-US"/>
        </w:rPr>
        <w:t>Araya</w:t>
      </w:r>
      <w:r w:rsidRPr="00AA6144">
        <w:rPr>
          <w:rFonts w:ascii="Verdana" w:hAnsi="Verdana"/>
          <w:i/>
          <w:color w:val="212529"/>
          <w:sz w:val="16"/>
          <w:szCs w:val="16"/>
          <w:shd w:val="clear" w:color="auto" w:fill="FFFFFF"/>
          <w:lang w:val="en-CA" w:eastAsia="en-US"/>
        </w:rPr>
        <w:t xml:space="preserve"> v </w:t>
      </w:r>
      <w:proofErr w:type="spellStart"/>
      <w:r w:rsidRPr="00AA6144">
        <w:rPr>
          <w:rFonts w:ascii="Verdana" w:hAnsi="Verdana"/>
          <w:i/>
          <w:color w:val="212529"/>
          <w:sz w:val="16"/>
          <w:szCs w:val="16"/>
          <w:shd w:val="clear" w:color="auto" w:fill="FFFFFF"/>
          <w:lang w:val="en-CA" w:eastAsia="en-US"/>
        </w:rPr>
        <w:t>Nevsun</w:t>
      </w:r>
      <w:proofErr w:type="spellEnd"/>
      <w:r w:rsidRPr="00AA6144">
        <w:rPr>
          <w:rFonts w:ascii="Verdana" w:hAnsi="Verdana"/>
          <w:i/>
          <w:color w:val="212529"/>
          <w:sz w:val="16"/>
          <w:szCs w:val="16"/>
          <w:shd w:val="clear" w:color="auto" w:fill="FFFFFF"/>
          <w:lang w:val="en-CA" w:eastAsia="en-US"/>
        </w:rPr>
        <w:t xml:space="preserve"> Resources Ltd.,</w:t>
      </w:r>
      <w:r w:rsidRPr="00AA6144">
        <w:rPr>
          <w:rFonts w:ascii="Verdana" w:hAnsi="Verdana"/>
          <w:color w:val="212529"/>
          <w:sz w:val="16"/>
          <w:szCs w:val="16"/>
          <w:shd w:val="clear" w:color="auto" w:fill="FFFFFF"/>
          <w:lang w:val="en-CA" w:eastAsia="en-US"/>
        </w:rPr>
        <w:t xml:space="preserve"> 2016 BCSC 1856.</w:t>
      </w:r>
    </w:p>
    <w:p w14:paraId="2D3ABBED" w14:textId="6B66E324" w:rsidR="00320005" w:rsidRPr="00AA6144" w:rsidRDefault="00320005" w:rsidP="00320005">
      <w:pPr>
        <w:spacing w:line="240" w:lineRule="auto"/>
        <w:ind w:hanging="357"/>
        <w:rPr>
          <w:rFonts w:ascii="Verdana" w:hAnsi="Verdana"/>
          <w:color w:val="212529"/>
          <w:sz w:val="16"/>
          <w:szCs w:val="16"/>
          <w:shd w:val="clear" w:color="auto" w:fill="FFFFFF"/>
          <w:lang w:val="en-CA" w:eastAsia="en-US"/>
        </w:rPr>
      </w:pPr>
      <w:r w:rsidRPr="000C2340">
        <w:rPr>
          <w:rFonts w:ascii="Verdana" w:hAnsi="Verdana"/>
          <w:i/>
          <w:color w:val="212529"/>
          <w:sz w:val="16"/>
          <w:szCs w:val="16"/>
          <w:shd w:val="clear" w:color="auto" w:fill="FFFFFF"/>
          <w:lang w:val="en-CA" w:eastAsia="en-US"/>
        </w:rPr>
        <w:t>Araya</w:t>
      </w:r>
      <w:r w:rsidRPr="00AA6144">
        <w:rPr>
          <w:rFonts w:ascii="Verdana" w:hAnsi="Verdana"/>
          <w:i/>
          <w:color w:val="212529"/>
          <w:sz w:val="16"/>
          <w:szCs w:val="16"/>
          <w:shd w:val="clear" w:color="auto" w:fill="FFFFFF"/>
          <w:lang w:val="en-CA" w:eastAsia="en-US"/>
        </w:rPr>
        <w:t xml:space="preserve"> v </w:t>
      </w:r>
      <w:proofErr w:type="spellStart"/>
      <w:r w:rsidRPr="00AA6144">
        <w:rPr>
          <w:rFonts w:ascii="Verdana" w:hAnsi="Verdana"/>
          <w:i/>
          <w:color w:val="212529"/>
          <w:sz w:val="16"/>
          <w:szCs w:val="16"/>
          <w:shd w:val="clear" w:color="auto" w:fill="FFFFFF"/>
          <w:lang w:val="en-CA" w:eastAsia="en-US"/>
        </w:rPr>
        <w:t>Nevsun</w:t>
      </w:r>
      <w:proofErr w:type="spellEnd"/>
      <w:r w:rsidRPr="00AA6144">
        <w:rPr>
          <w:rFonts w:ascii="Verdana" w:hAnsi="Verdana"/>
          <w:i/>
          <w:color w:val="212529"/>
          <w:sz w:val="16"/>
          <w:szCs w:val="16"/>
          <w:shd w:val="clear" w:color="auto" w:fill="FFFFFF"/>
          <w:lang w:val="en-CA" w:eastAsia="en-US"/>
        </w:rPr>
        <w:t xml:space="preserve"> Resources Ltd.,</w:t>
      </w:r>
      <w:r w:rsidRPr="00AA6144">
        <w:rPr>
          <w:rFonts w:ascii="Verdana" w:hAnsi="Verdana"/>
          <w:color w:val="212529"/>
          <w:sz w:val="16"/>
          <w:szCs w:val="16"/>
          <w:shd w:val="clear" w:color="auto" w:fill="FFFFFF"/>
          <w:lang w:val="en-CA" w:eastAsia="en-US"/>
        </w:rPr>
        <w:t xml:space="preserve"> 2017 BCCA 40.</w:t>
      </w:r>
    </w:p>
    <w:p w14:paraId="663159B4" w14:textId="25C998EC" w:rsidR="00247EE8" w:rsidRPr="00AA6144" w:rsidRDefault="00247EE8" w:rsidP="00247EE8">
      <w:pPr>
        <w:spacing w:line="240" w:lineRule="auto"/>
        <w:ind w:hanging="357"/>
        <w:rPr>
          <w:color w:val="auto"/>
          <w:szCs w:val="18"/>
          <w:lang w:val="en-CA"/>
        </w:rPr>
      </w:pPr>
      <w:r w:rsidRPr="00AA6144">
        <w:rPr>
          <w:i/>
          <w:color w:val="auto"/>
          <w:szCs w:val="18"/>
          <w:lang w:val="en-CA"/>
        </w:rPr>
        <w:t xml:space="preserve">(Ontario) Attorney General v Fraser, </w:t>
      </w:r>
      <w:r w:rsidRPr="00AA6144">
        <w:rPr>
          <w:color w:val="auto"/>
          <w:szCs w:val="18"/>
          <w:lang w:val="en-CA"/>
        </w:rPr>
        <w:t>[2011] 2 SCR 3.</w:t>
      </w:r>
    </w:p>
    <w:p w14:paraId="0E4B411C" w14:textId="77777777" w:rsidR="00247EE8" w:rsidRPr="00AA6144" w:rsidRDefault="00247EE8" w:rsidP="00247EE8">
      <w:pPr>
        <w:spacing w:line="240" w:lineRule="auto"/>
        <w:ind w:hanging="357"/>
        <w:rPr>
          <w:i/>
          <w:color w:val="auto"/>
          <w:szCs w:val="18"/>
          <w:lang w:val="en-CA"/>
        </w:rPr>
      </w:pPr>
      <w:r w:rsidRPr="00AA6144">
        <w:rPr>
          <w:i/>
          <w:color w:val="auto"/>
          <w:szCs w:val="18"/>
          <w:lang w:val="en-CA"/>
        </w:rPr>
        <w:t>Andrews v Law Society of British Columbia</w:t>
      </w:r>
      <w:r w:rsidRPr="00AA6144">
        <w:rPr>
          <w:color w:val="auto"/>
          <w:szCs w:val="18"/>
          <w:lang w:val="en-CA"/>
        </w:rPr>
        <w:t>, [1989] 1 SCR 143.</w:t>
      </w:r>
    </w:p>
    <w:p w14:paraId="780D862B"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Application under s 83.28 of the Criminal Code (Re)</w:t>
      </w:r>
      <w:r w:rsidRPr="00AA6144">
        <w:rPr>
          <w:color w:val="auto"/>
          <w:szCs w:val="18"/>
          <w:lang w:val="en-CA"/>
        </w:rPr>
        <w:t>, [2004] 2 SCR 248, 2004 SCC 42.</w:t>
      </w:r>
    </w:p>
    <w:p w14:paraId="39E105E6" w14:textId="77777777" w:rsidR="00247EE8" w:rsidRPr="00AA6144" w:rsidRDefault="00247EE8" w:rsidP="00247EE8">
      <w:pPr>
        <w:spacing w:line="240" w:lineRule="auto"/>
        <w:ind w:hanging="357"/>
        <w:rPr>
          <w:i/>
          <w:color w:val="auto"/>
          <w:szCs w:val="18"/>
          <w:lang w:val="en-CA"/>
        </w:rPr>
      </w:pPr>
      <w:proofErr w:type="spellStart"/>
      <w:r w:rsidRPr="00AA6144">
        <w:rPr>
          <w:i/>
          <w:color w:val="auto"/>
          <w:szCs w:val="18"/>
          <w:lang w:val="en-CA"/>
        </w:rPr>
        <w:t>Beals</w:t>
      </w:r>
      <w:proofErr w:type="spellEnd"/>
      <w:r w:rsidRPr="00AA6144">
        <w:rPr>
          <w:i/>
          <w:color w:val="auto"/>
          <w:szCs w:val="18"/>
          <w:lang w:val="en-CA"/>
        </w:rPr>
        <w:t xml:space="preserve"> v Saldanha</w:t>
      </w:r>
      <w:r w:rsidRPr="00AA6144">
        <w:rPr>
          <w:color w:val="auto"/>
          <w:szCs w:val="18"/>
          <w:lang w:val="en-CA"/>
        </w:rPr>
        <w:t>, 2003 SCC 72, [2003] SCR 416.</w:t>
      </w:r>
    </w:p>
    <w:p w14:paraId="08AC2026" w14:textId="77777777" w:rsidR="00247EE8" w:rsidRPr="00AA6144" w:rsidRDefault="00247EE8" w:rsidP="00247EE8">
      <w:pPr>
        <w:spacing w:line="240" w:lineRule="auto"/>
        <w:ind w:hanging="357"/>
        <w:rPr>
          <w:color w:val="auto"/>
          <w:szCs w:val="18"/>
          <w:lang w:val="en-CA"/>
        </w:rPr>
      </w:pPr>
      <w:proofErr w:type="spellStart"/>
      <w:r w:rsidRPr="00AA6144">
        <w:rPr>
          <w:i/>
          <w:color w:val="auto"/>
          <w:szCs w:val="18"/>
          <w:lang w:val="en-CA"/>
        </w:rPr>
        <w:t>Bouarfa</w:t>
      </w:r>
      <w:proofErr w:type="spellEnd"/>
      <w:r w:rsidRPr="00AA6144">
        <w:rPr>
          <w:i/>
          <w:color w:val="auto"/>
          <w:szCs w:val="18"/>
          <w:lang w:val="en-CA"/>
        </w:rPr>
        <w:t xml:space="preserve"> v Canada (Minister of Justice</w:t>
      </w:r>
      <w:r w:rsidRPr="00AA6144">
        <w:rPr>
          <w:color w:val="auto"/>
          <w:szCs w:val="18"/>
          <w:lang w:val="en-CA"/>
        </w:rPr>
        <w:t>)</w:t>
      </w:r>
      <w:r w:rsidRPr="00AA6144">
        <w:rPr>
          <w:i/>
          <w:color w:val="auto"/>
          <w:szCs w:val="18"/>
          <w:lang w:val="en-CA"/>
        </w:rPr>
        <w:t xml:space="preserve"> </w:t>
      </w:r>
      <w:r w:rsidRPr="00AA6144">
        <w:rPr>
          <w:color w:val="auto"/>
          <w:szCs w:val="18"/>
          <w:lang w:val="en-CA"/>
        </w:rPr>
        <w:t>2012 QCCA 1378.</w:t>
      </w:r>
    </w:p>
    <w:p w14:paraId="4E5A123E"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Boucher v The Queen</w:t>
      </w:r>
      <w:r w:rsidRPr="00AA6144">
        <w:rPr>
          <w:color w:val="auto"/>
          <w:szCs w:val="18"/>
          <w:lang w:val="en-CA"/>
        </w:rPr>
        <w:t>, [1955] SCR 16.</w:t>
      </w:r>
    </w:p>
    <w:p w14:paraId="707AB674" w14:textId="77777777" w:rsidR="00247EE8" w:rsidRPr="00AA6144" w:rsidRDefault="00247EE8" w:rsidP="00247EE8">
      <w:pPr>
        <w:spacing w:line="240" w:lineRule="auto"/>
        <w:ind w:hanging="357"/>
        <w:rPr>
          <w:color w:val="auto"/>
          <w:szCs w:val="18"/>
          <w:lang w:val="en-CA"/>
        </w:rPr>
      </w:pPr>
      <w:proofErr w:type="spellStart"/>
      <w:r w:rsidRPr="00AA6144">
        <w:rPr>
          <w:i/>
          <w:color w:val="auto"/>
          <w:szCs w:val="18"/>
          <w:lang w:val="en-CA"/>
        </w:rPr>
        <w:t>Bouzari</w:t>
      </w:r>
      <w:proofErr w:type="spellEnd"/>
      <w:r w:rsidRPr="00AA6144">
        <w:rPr>
          <w:i/>
          <w:color w:val="auto"/>
          <w:szCs w:val="18"/>
          <w:lang w:val="en-CA"/>
        </w:rPr>
        <w:t xml:space="preserve"> et al v Islamic Republic of Iran </w:t>
      </w:r>
      <w:r w:rsidRPr="00AA6144">
        <w:rPr>
          <w:color w:val="auto"/>
          <w:szCs w:val="18"/>
          <w:lang w:val="en-CA"/>
        </w:rPr>
        <w:t>(2004), 71 OR (3d) 675 (ONCA).</w:t>
      </w:r>
    </w:p>
    <w:p w14:paraId="2EB6697E"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British Columbia v. Imperial Tobacco Canada Ltd, </w:t>
      </w:r>
      <w:r w:rsidRPr="00AA6144">
        <w:rPr>
          <w:color w:val="auto"/>
          <w:szCs w:val="18"/>
          <w:lang w:val="en-CA"/>
        </w:rPr>
        <w:t>[2005] 2 SCR 473.</w:t>
      </w:r>
    </w:p>
    <w:p w14:paraId="26F9C93D"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Campbell v Attorney-General of Ontario</w:t>
      </w:r>
      <w:r w:rsidRPr="00AA6144">
        <w:rPr>
          <w:color w:val="auto"/>
          <w:szCs w:val="18"/>
          <w:lang w:val="en-CA"/>
        </w:rPr>
        <w:t xml:space="preserve"> (1987), 60 OR (2d) 617; 42 DLR (4</w:t>
      </w:r>
      <w:r w:rsidRPr="00AA6144">
        <w:rPr>
          <w:color w:val="auto"/>
          <w:szCs w:val="18"/>
          <w:vertAlign w:val="superscript"/>
          <w:lang w:val="en-CA"/>
        </w:rPr>
        <w:t>th</w:t>
      </w:r>
      <w:r w:rsidRPr="00AA6144">
        <w:rPr>
          <w:color w:val="auto"/>
          <w:szCs w:val="18"/>
          <w:lang w:val="en-CA"/>
        </w:rPr>
        <w:t>) 383 (ONCA).</w:t>
      </w:r>
    </w:p>
    <w:p w14:paraId="57A9E10E" w14:textId="77777777" w:rsidR="00247EE8" w:rsidRPr="00AA6144" w:rsidRDefault="00247EE8" w:rsidP="00247EE8">
      <w:pPr>
        <w:pStyle w:val="FootnoteText"/>
        <w:spacing w:after="0" w:line="240" w:lineRule="auto"/>
        <w:ind w:hanging="357"/>
        <w:rPr>
          <w:color w:val="auto"/>
          <w:sz w:val="18"/>
          <w:szCs w:val="18"/>
          <w:lang w:val="en-CA"/>
        </w:rPr>
      </w:pPr>
      <w:r w:rsidRPr="00AA6144">
        <w:rPr>
          <w:i/>
          <w:color w:val="auto"/>
          <w:sz w:val="18"/>
          <w:szCs w:val="18"/>
          <w:lang w:val="en-CA"/>
        </w:rPr>
        <w:t>Canada (Justice) v Khadr</w:t>
      </w:r>
      <w:r w:rsidRPr="00AA6144">
        <w:rPr>
          <w:color w:val="auto"/>
          <w:sz w:val="18"/>
          <w:szCs w:val="18"/>
          <w:lang w:val="en-CA"/>
        </w:rPr>
        <w:t>, [2008] 2 SCR 125, [2008] SCJ No. 28.</w:t>
      </w:r>
    </w:p>
    <w:p w14:paraId="2B2BC342" w14:textId="77777777" w:rsidR="00247EE8" w:rsidRPr="00AA6144" w:rsidRDefault="00247EE8" w:rsidP="00247EE8">
      <w:pPr>
        <w:pStyle w:val="FootnoteText"/>
        <w:spacing w:after="0" w:line="240" w:lineRule="auto"/>
        <w:ind w:hanging="357"/>
        <w:rPr>
          <w:color w:val="auto"/>
          <w:sz w:val="18"/>
          <w:szCs w:val="18"/>
          <w:lang w:val="en-CA"/>
        </w:rPr>
      </w:pPr>
    </w:p>
    <w:p w14:paraId="48EE8767"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Canada (Justice) v. </w:t>
      </w:r>
      <w:proofErr w:type="spellStart"/>
      <w:r w:rsidRPr="00AA6144">
        <w:rPr>
          <w:i/>
          <w:color w:val="auto"/>
          <w:szCs w:val="18"/>
          <w:lang w:val="en-CA"/>
        </w:rPr>
        <w:t>Fischbacher</w:t>
      </w:r>
      <w:proofErr w:type="spellEnd"/>
      <w:r w:rsidRPr="00AA6144">
        <w:rPr>
          <w:i/>
          <w:color w:val="auto"/>
          <w:szCs w:val="18"/>
          <w:lang w:val="en-CA"/>
        </w:rPr>
        <w:t>,</w:t>
      </w:r>
      <w:r w:rsidRPr="00AA6144">
        <w:rPr>
          <w:color w:val="auto"/>
          <w:szCs w:val="18"/>
          <w:lang w:val="en-CA"/>
        </w:rPr>
        <w:t xml:space="preserve"> [2009] 3 SCR 170.</w:t>
      </w:r>
    </w:p>
    <w:p w14:paraId="01CD5EC0" w14:textId="77777777" w:rsidR="00247EE8" w:rsidRPr="00AA6144" w:rsidRDefault="00247EE8" w:rsidP="00247EE8">
      <w:pPr>
        <w:spacing w:line="240" w:lineRule="auto"/>
        <w:ind w:hanging="357"/>
        <w:rPr>
          <w:rStyle w:val="tightinline"/>
          <w:color w:val="auto"/>
          <w:szCs w:val="18"/>
          <w:lang w:val="en-CA"/>
        </w:rPr>
      </w:pPr>
      <w:r w:rsidRPr="00AA6144">
        <w:rPr>
          <w:i/>
          <w:color w:val="auto"/>
          <w:szCs w:val="18"/>
          <w:lang w:val="en-CA"/>
        </w:rPr>
        <w:t xml:space="preserve">Canada (Minister of Citizenship and Immigration) v Rogan </w:t>
      </w:r>
      <w:r w:rsidRPr="00AA6144">
        <w:rPr>
          <w:color w:val="auto"/>
          <w:szCs w:val="18"/>
          <w:lang w:val="en-CA"/>
        </w:rPr>
        <w:t>[2011] FCJ No 1221.</w:t>
      </w:r>
    </w:p>
    <w:p w14:paraId="3EB8A78B"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Canada (Minister of Citizenship and Immigration)</w:t>
      </w:r>
      <w:r w:rsidRPr="00AA6144">
        <w:rPr>
          <w:color w:val="auto"/>
          <w:szCs w:val="18"/>
          <w:lang w:val="en-CA"/>
        </w:rPr>
        <w:t xml:space="preserve"> v </w:t>
      </w:r>
      <w:r w:rsidRPr="00AA6144">
        <w:rPr>
          <w:i/>
          <w:color w:val="auto"/>
          <w:szCs w:val="18"/>
          <w:lang w:val="en-CA"/>
        </w:rPr>
        <w:t>Saini</w:t>
      </w:r>
      <w:r w:rsidRPr="00AA6144">
        <w:rPr>
          <w:color w:val="auto"/>
          <w:szCs w:val="18"/>
          <w:lang w:val="en-CA"/>
        </w:rPr>
        <w:t xml:space="preserve"> (CA), 2001 FCA 311, [2002] 1 FC 200.</w:t>
      </w:r>
    </w:p>
    <w:p w14:paraId="4D005764" w14:textId="77777777" w:rsidR="00247EE8" w:rsidRPr="00356280" w:rsidRDefault="00247EE8" w:rsidP="00247EE8">
      <w:pPr>
        <w:spacing w:line="240" w:lineRule="auto"/>
        <w:ind w:hanging="357"/>
        <w:rPr>
          <w:color w:val="auto"/>
          <w:szCs w:val="18"/>
          <w:lang w:val="fr-CA"/>
        </w:rPr>
      </w:pPr>
      <w:r w:rsidRPr="00356280">
        <w:rPr>
          <w:i/>
          <w:iCs/>
          <w:color w:val="auto"/>
          <w:szCs w:val="18"/>
          <w:lang w:val="fr-CA"/>
        </w:rPr>
        <w:t xml:space="preserve">Canada (Ministre de l’Emploi et de l’Immigration) </w:t>
      </w:r>
      <w:r w:rsidRPr="00356280">
        <w:rPr>
          <w:iCs/>
          <w:color w:val="auto"/>
          <w:szCs w:val="18"/>
          <w:lang w:val="fr-CA"/>
        </w:rPr>
        <w:t>v</w:t>
      </w:r>
      <w:r w:rsidRPr="00356280">
        <w:rPr>
          <w:i/>
          <w:iCs/>
          <w:color w:val="auto"/>
          <w:szCs w:val="18"/>
          <w:lang w:val="fr-CA"/>
        </w:rPr>
        <w:t xml:space="preserve"> </w:t>
      </w:r>
      <w:proofErr w:type="spellStart"/>
      <w:r w:rsidRPr="00356280">
        <w:rPr>
          <w:i/>
          <w:iCs/>
          <w:color w:val="auto"/>
          <w:szCs w:val="18"/>
          <w:lang w:val="fr-CA"/>
        </w:rPr>
        <w:t>Burgon</w:t>
      </w:r>
      <w:proofErr w:type="spellEnd"/>
      <w:r w:rsidRPr="00356280">
        <w:rPr>
          <w:color w:val="auto"/>
          <w:szCs w:val="18"/>
          <w:lang w:val="fr-CA"/>
        </w:rPr>
        <w:t>, [1991] 3 CF 44 (CAF).</w:t>
      </w:r>
    </w:p>
    <w:p w14:paraId="21256448"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Canada v Schmidt,</w:t>
      </w:r>
      <w:r w:rsidRPr="00AA6144">
        <w:rPr>
          <w:color w:val="auto"/>
          <w:szCs w:val="18"/>
          <w:lang w:val="en-CA"/>
        </w:rPr>
        <w:t xml:space="preserve"> [1987] 1 SCR 500, [1987] SCJ No 24.</w:t>
      </w:r>
    </w:p>
    <w:p w14:paraId="3284E68A" w14:textId="77777777" w:rsidR="00247EE8" w:rsidRPr="00AA6144" w:rsidRDefault="00247EE8" w:rsidP="00247EE8">
      <w:pPr>
        <w:spacing w:line="240" w:lineRule="auto"/>
        <w:ind w:hanging="357"/>
        <w:rPr>
          <w:i/>
          <w:color w:val="auto"/>
          <w:szCs w:val="18"/>
          <w:lang w:val="en-CA"/>
        </w:rPr>
      </w:pPr>
      <w:r w:rsidRPr="00AA6144">
        <w:rPr>
          <w:rStyle w:val="italic"/>
          <w:i/>
          <w:color w:val="auto"/>
          <w:szCs w:val="18"/>
          <w:lang w:val="en-CA"/>
        </w:rPr>
        <w:t xml:space="preserve">Canadian Imperial Bank of Commerce v </w:t>
      </w:r>
      <w:proofErr w:type="spellStart"/>
      <w:r w:rsidRPr="00AA6144">
        <w:rPr>
          <w:rStyle w:val="italic"/>
          <w:i/>
          <w:color w:val="auto"/>
          <w:szCs w:val="18"/>
          <w:lang w:val="en-CA"/>
        </w:rPr>
        <w:t>Coupal</w:t>
      </w:r>
      <w:proofErr w:type="spellEnd"/>
      <w:r w:rsidRPr="00AA6144">
        <w:rPr>
          <w:rStyle w:val="tightinline"/>
          <w:color w:val="auto"/>
          <w:szCs w:val="18"/>
          <w:lang w:val="en-CA"/>
        </w:rPr>
        <w:t xml:space="preserve">, [1995] OJ No 1643, 38 CPC (3d) 98 (Gen </w:t>
      </w:r>
      <w:proofErr w:type="spellStart"/>
      <w:r w:rsidRPr="00AA6144">
        <w:rPr>
          <w:rStyle w:val="tightinline"/>
          <w:color w:val="auto"/>
          <w:szCs w:val="18"/>
          <w:lang w:val="en-CA"/>
        </w:rPr>
        <w:t>Div</w:t>
      </w:r>
      <w:proofErr w:type="spellEnd"/>
      <w:r w:rsidRPr="00AA6144">
        <w:rPr>
          <w:rStyle w:val="tightinline"/>
          <w:color w:val="auto"/>
          <w:szCs w:val="18"/>
          <w:lang w:val="en-CA"/>
        </w:rPr>
        <w:t>).</w:t>
      </w:r>
    </w:p>
    <w:p w14:paraId="2F8D0171"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Castillo v Castillo, </w:t>
      </w:r>
      <w:r w:rsidRPr="00AA6144">
        <w:rPr>
          <w:color w:val="auto"/>
          <w:szCs w:val="18"/>
          <w:lang w:val="en-CA"/>
        </w:rPr>
        <w:t>[2005] 3 SCR 870.</w:t>
      </w:r>
    </w:p>
    <w:p w14:paraId="4F7D2690" w14:textId="77777777" w:rsidR="00247EE8" w:rsidRPr="00AA6144" w:rsidRDefault="00247EE8" w:rsidP="00247EE8">
      <w:pPr>
        <w:spacing w:line="240" w:lineRule="auto"/>
        <w:ind w:hanging="357"/>
        <w:rPr>
          <w:color w:val="auto"/>
          <w:szCs w:val="18"/>
          <w:lang w:val="en-CA"/>
        </w:rPr>
      </w:pPr>
      <w:proofErr w:type="spellStart"/>
      <w:r w:rsidRPr="00AA6144">
        <w:rPr>
          <w:i/>
          <w:color w:val="auto"/>
          <w:szCs w:val="18"/>
          <w:lang w:val="en-CA"/>
        </w:rPr>
        <w:t>Choujounian-Abulu</w:t>
      </w:r>
      <w:proofErr w:type="spellEnd"/>
      <w:r w:rsidRPr="00AA6144">
        <w:rPr>
          <w:color w:val="auto"/>
          <w:szCs w:val="18"/>
          <w:lang w:val="en-CA"/>
        </w:rPr>
        <w:t xml:space="preserve"> v </w:t>
      </w:r>
      <w:r w:rsidRPr="00AA6144">
        <w:rPr>
          <w:i/>
          <w:color w:val="auto"/>
          <w:szCs w:val="18"/>
          <w:lang w:val="en-CA"/>
        </w:rPr>
        <w:t>Canada (Citizenship and Immigration)</w:t>
      </w:r>
      <w:r w:rsidRPr="00AA6144">
        <w:rPr>
          <w:color w:val="auto"/>
          <w:szCs w:val="18"/>
          <w:lang w:val="en-CA"/>
        </w:rPr>
        <w:t>, 2004 CanLII 56712 (IRB).</w:t>
      </w:r>
    </w:p>
    <w:p w14:paraId="0F3D4C57" w14:textId="77777777" w:rsidR="00247EE8" w:rsidRPr="00AA6144" w:rsidRDefault="00247EE8" w:rsidP="00247EE8">
      <w:pPr>
        <w:spacing w:line="240" w:lineRule="auto"/>
        <w:ind w:hanging="357"/>
        <w:rPr>
          <w:color w:val="auto"/>
          <w:szCs w:val="18"/>
          <w:lang w:val="en-CA"/>
        </w:rPr>
      </w:pPr>
      <w:proofErr w:type="spellStart"/>
      <w:r w:rsidRPr="00AA6144">
        <w:rPr>
          <w:i/>
          <w:color w:val="auto"/>
          <w:szCs w:val="18"/>
          <w:lang w:val="en-CA"/>
        </w:rPr>
        <w:t>Corbiere</w:t>
      </w:r>
      <w:proofErr w:type="spellEnd"/>
      <w:r w:rsidRPr="00AA6144">
        <w:rPr>
          <w:i/>
          <w:color w:val="auto"/>
          <w:szCs w:val="18"/>
          <w:lang w:val="en-CA"/>
        </w:rPr>
        <w:t xml:space="preserve"> v Canada</w:t>
      </w:r>
      <w:r w:rsidRPr="00AA6144">
        <w:rPr>
          <w:color w:val="auto"/>
          <w:szCs w:val="18"/>
          <w:lang w:val="en-CA"/>
        </w:rPr>
        <w:t>, [1999] 2 SCR 203.</w:t>
      </w:r>
    </w:p>
    <w:p w14:paraId="3DA659E8"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Davidson v British Columbia (Attorney General)</w:t>
      </w:r>
      <w:r w:rsidRPr="00AA6144">
        <w:rPr>
          <w:color w:val="auto"/>
          <w:szCs w:val="18"/>
          <w:lang w:val="en-CA"/>
        </w:rPr>
        <w:t>, 2006 BCCA 447 (available on CanLII), [2006] 12 WWR 591.</w:t>
      </w:r>
    </w:p>
    <w:p w14:paraId="1B4B70A9" w14:textId="77777777" w:rsidR="00AA6144" w:rsidRPr="00356280" w:rsidRDefault="00247EE8" w:rsidP="00AA6144">
      <w:pPr>
        <w:spacing w:line="240" w:lineRule="auto"/>
        <w:ind w:hanging="357"/>
        <w:rPr>
          <w:color w:val="auto"/>
          <w:szCs w:val="18"/>
          <w:lang w:val="en-US"/>
        </w:rPr>
      </w:pPr>
      <w:r w:rsidRPr="00356280">
        <w:rPr>
          <w:i/>
          <w:color w:val="auto"/>
          <w:szCs w:val="18"/>
          <w:lang w:val="en-US"/>
        </w:rPr>
        <w:t>Doyle Fowler c Canada (Ministre de la Justice)</w:t>
      </w:r>
      <w:r w:rsidRPr="00356280">
        <w:rPr>
          <w:color w:val="auto"/>
          <w:szCs w:val="18"/>
          <w:lang w:val="en-US"/>
        </w:rPr>
        <w:t>, 2011 QCCA 1076.</w:t>
      </w:r>
    </w:p>
    <w:p w14:paraId="2D21F14B" w14:textId="77777777" w:rsidR="00855076" w:rsidRPr="00356280" w:rsidRDefault="00855076" w:rsidP="00855076">
      <w:pPr>
        <w:spacing w:line="240" w:lineRule="auto"/>
        <w:rPr>
          <w:color w:val="auto"/>
          <w:szCs w:val="18"/>
          <w:lang w:val="en-US"/>
        </w:rPr>
      </w:pPr>
    </w:p>
    <w:p w14:paraId="6EB8A57C" w14:textId="087FE286" w:rsidR="00AA6144" w:rsidRPr="00AA6144" w:rsidRDefault="00AA6144" w:rsidP="00855076">
      <w:pPr>
        <w:spacing w:line="240" w:lineRule="auto"/>
        <w:rPr>
          <w:color w:val="auto"/>
          <w:szCs w:val="18"/>
          <w:lang w:val="en-CA"/>
        </w:rPr>
      </w:pPr>
      <w:r w:rsidRPr="00AA6144">
        <w:rPr>
          <w:i/>
          <w:color w:val="auto"/>
          <w:szCs w:val="18"/>
          <w:lang w:val="en-CA"/>
        </w:rPr>
        <w:t>Fewe</w:t>
      </w:r>
      <w:r w:rsidR="00247EE8" w:rsidRPr="00AA6144">
        <w:rPr>
          <w:i/>
          <w:color w:val="auto"/>
          <w:szCs w:val="18"/>
          <w:lang w:val="en-CA"/>
        </w:rPr>
        <w:t xml:space="preserve">r v </w:t>
      </w:r>
      <w:proofErr w:type="spellStart"/>
      <w:r w:rsidR="00247EE8" w:rsidRPr="00AA6144">
        <w:rPr>
          <w:i/>
          <w:color w:val="auto"/>
          <w:szCs w:val="18"/>
          <w:lang w:val="en-CA"/>
        </w:rPr>
        <w:t>Sayisi</w:t>
      </w:r>
      <w:proofErr w:type="spellEnd"/>
      <w:r w:rsidR="00247EE8" w:rsidRPr="00AA6144">
        <w:rPr>
          <w:i/>
          <w:color w:val="auto"/>
          <w:szCs w:val="18"/>
          <w:lang w:val="en-CA"/>
        </w:rPr>
        <w:t xml:space="preserve"> Dene Education Authority</w:t>
      </w:r>
      <w:r w:rsidR="00247EE8" w:rsidRPr="00AA6144">
        <w:rPr>
          <w:color w:val="auto"/>
          <w:szCs w:val="18"/>
          <w:lang w:val="en-CA"/>
        </w:rPr>
        <w:t>, [2011] NJ No 60, 2011 NLCA 17.</w:t>
      </w:r>
    </w:p>
    <w:p w14:paraId="26D04538" w14:textId="77777777" w:rsidR="00AA6144" w:rsidRPr="00AA6144" w:rsidRDefault="00AA6144" w:rsidP="00AA6144">
      <w:pPr>
        <w:spacing w:line="240" w:lineRule="auto"/>
        <w:ind w:left="-426" w:hanging="354"/>
        <w:rPr>
          <w:color w:val="auto"/>
          <w:szCs w:val="18"/>
          <w:lang w:val="en-CA"/>
        </w:rPr>
      </w:pPr>
      <w:proofErr w:type="spellStart"/>
      <w:r w:rsidRPr="00AA6144">
        <w:rPr>
          <w:i/>
          <w:szCs w:val="18"/>
          <w:lang w:val="en-CA"/>
        </w:rPr>
        <w:t>Ezokla</w:t>
      </w:r>
      <w:proofErr w:type="spellEnd"/>
      <w:r w:rsidRPr="00AA6144">
        <w:rPr>
          <w:i/>
          <w:szCs w:val="18"/>
          <w:lang w:val="en-CA"/>
        </w:rPr>
        <w:t xml:space="preserve"> v</w:t>
      </w:r>
      <w:r w:rsidR="00320005" w:rsidRPr="00AA6144">
        <w:rPr>
          <w:i/>
          <w:szCs w:val="18"/>
          <w:lang w:val="en-CA"/>
        </w:rPr>
        <w:t xml:space="preserve"> Canada (Citizenship and Immigration</w:t>
      </w:r>
      <w:r w:rsidR="00320005" w:rsidRPr="00AA6144">
        <w:rPr>
          <w:szCs w:val="18"/>
          <w:lang w:val="en-CA"/>
        </w:rPr>
        <w:t>)</w:t>
      </w:r>
      <w:r w:rsidR="000A5BF0" w:rsidRPr="00AA6144">
        <w:rPr>
          <w:szCs w:val="18"/>
          <w:lang w:val="en-CA"/>
        </w:rPr>
        <w:t xml:space="preserve">, </w:t>
      </w:r>
      <w:r w:rsidR="00320005" w:rsidRPr="00AA6144">
        <w:rPr>
          <w:bCs/>
          <w:szCs w:val="18"/>
          <w:lang w:val="en-CA"/>
        </w:rPr>
        <w:t>[2013]</w:t>
      </w:r>
      <w:r w:rsidR="00320005" w:rsidRPr="00AA6144">
        <w:rPr>
          <w:szCs w:val="18"/>
          <w:lang w:val="en-CA"/>
        </w:rPr>
        <w:t xml:space="preserve"> 2 SCR 678.</w:t>
      </w:r>
    </w:p>
    <w:p w14:paraId="5697553C" w14:textId="77777777" w:rsidR="00AA6144" w:rsidRPr="00AA6144" w:rsidRDefault="00247EE8" w:rsidP="00AA6144">
      <w:pPr>
        <w:spacing w:line="240" w:lineRule="auto"/>
        <w:ind w:left="-426" w:hanging="354"/>
        <w:rPr>
          <w:color w:val="auto"/>
          <w:szCs w:val="18"/>
          <w:lang w:val="en-CA"/>
        </w:rPr>
      </w:pPr>
      <w:r w:rsidRPr="00AA6144">
        <w:rPr>
          <w:i/>
          <w:color w:val="auto"/>
          <w:szCs w:val="18"/>
          <w:lang w:val="en-CA"/>
        </w:rPr>
        <w:t>Froom v Canada (Minister of Justice) [No 2]</w:t>
      </w:r>
      <w:r w:rsidRPr="00AA6144">
        <w:rPr>
          <w:color w:val="auto"/>
          <w:szCs w:val="18"/>
          <w:lang w:val="en-CA"/>
        </w:rPr>
        <w:t>, [2003] FCJ No 1655, [2004] 2 FCR 154, 2003 FC 1299 (FC).</w:t>
      </w:r>
    </w:p>
    <w:p w14:paraId="5103BCE7" w14:textId="4E59657D" w:rsidR="00247EE8" w:rsidRPr="00AA6144" w:rsidRDefault="00247EE8" w:rsidP="00AA6144">
      <w:pPr>
        <w:spacing w:line="240" w:lineRule="auto"/>
        <w:ind w:left="-426" w:hanging="354"/>
        <w:rPr>
          <w:color w:val="auto"/>
          <w:szCs w:val="18"/>
          <w:lang w:val="en-CA"/>
        </w:rPr>
      </w:pPr>
      <w:proofErr w:type="spellStart"/>
      <w:r w:rsidRPr="00AA6144">
        <w:rPr>
          <w:i/>
          <w:color w:val="auto"/>
          <w:szCs w:val="18"/>
          <w:lang w:val="en-CA"/>
        </w:rPr>
        <w:t>Girshberger</w:t>
      </w:r>
      <w:proofErr w:type="spellEnd"/>
      <w:r w:rsidRPr="00AA6144">
        <w:rPr>
          <w:i/>
          <w:color w:val="auto"/>
          <w:szCs w:val="18"/>
          <w:lang w:val="en-CA"/>
        </w:rPr>
        <w:t xml:space="preserve"> v </w:t>
      </w:r>
      <w:proofErr w:type="spellStart"/>
      <w:r w:rsidRPr="00AA6144">
        <w:rPr>
          <w:i/>
          <w:color w:val="auto"/>
          <w:szCs w:val="18"/>
          <w:lang w:val="en-CA"/>
        </w:rPr>
        <w:t>Kresz</w:t>
      </w:r>
      <w:proofErr w:type="spellEnd"/>
      <w:r w:rsidRPr="00AA6144">
        <w:rPr>
          <w:i/>
          <w:color w:val="auto"/>
          <w:szCs w:val="18"/>
          <w:lang w:val="en-CA"/>
        </w:rPr>
        <w:t xml:space="preserve"> </w:t>
      </w:r>
      <w:r w:rsidRPr="00AA6144">
        <w:rPr>
          <w:color w:val="auto"/>
          <w:szCs w:val="18"/>
          <w:lang w:val="en-CA"/>
        </w:rPr>
        <w:t>(2000), 47 OR (3d) 145.</w:t>
      </w:r>
    </w:p>
    <w:p w14:paraId="1772B96B" w14:textId="77777777" w:rsidR="00247EE8" w:rsidRPr="00AA6144" w:rsidRDefault="00247EE8" w:rsidP="00AA6144">
      <w:pPr>
        <w:pStyle w:val="FootnoteText"/>
        <w:spacing w:after="0" w:line="240" w:lineRule="auto"/>
        <w:ind w:left="-426" w:hanging="357"/>
        <w:rPr>
          <w:color w:val="auto"/>
          <w:sz w:val="18"/>
          <w:szCs w:val="18"/>
          <w:lang w:val="en-CA"/>
        </w:rPr>
      </w:pPr>
      <w:proofErr w:type="spellStart"/>
      <w:r w:rsidRPr="00AA6144">
        <w:rPr>
          <w:i/>
          <w:color w:val="auto"/>
          <w:sz w:val="18"/>
          <w:szCs w:val="18"/>
          <w:lang w:val="en-CA"/>
        </w:rPr>
        <w:t>Grdic</w:t>
      </w:r>
      <w:proofErr w:type="spellEnd"/>
      <w:r w:rsidRPr="00AA6144">
        <w:rPr>
          <w:i/>
          <w:color w:val="auto"/>
          <w:sz w:val="18"/>
          <w:szCs w:val="18"/>
          <w:lang w:val="en-CA"/>
        </w:rPr>
        <w:t xml:space="preserve"> v The Queen</w:t>
      </w:r>
      <w:r w:rsidRPr="00AA6144">
        <w:rPr>
          <w:color w:val="auto"/>
          <w:sz w:val="18"/>
          <w:szCs w:val="18"/>
          <w:lang w:val="en-CA"/>
        </w:rPr>
        <w:t>, [1985] 1 SCR 810.</w:t>
      </w:r>
    </w:p>
    <w:p w14:paraId="27400CFF" w14:textId="77777777" w:rsidR="00247EE8" w:rsidRPr="00AA6144" w:rsidRDefault="00247EE8" w:rsidP="00AA6144">
      <w:pPr>
        <w:pStyle w:val="FootnoteText"/>
        <w:spacing w:after="0" w:line="240" w:lineRule="auto"/>
        <w:ind w:left="-426" w:hanging="357"/>
        <w:rPr>
          <w:color w:val="auto"/>
          <w:sz w:val="18"/>
          <w:szCs w:val="18"/>
          <w:lang w:val="en-CA"/>
        </w:rPr>
      </w:pPr>
    </w:p>
    <w:p w14:paraId="5F3F6548" w14:textId="77777777" w:rsidR="00247EE8" w:rsidRPr="00AA6144" w:rsidRDefault="00247EE8" w:rsidP="00AA6144">
      <w:pPr>
        <w:spacing w:line="240" w:lineRule="auto"/>
        <w:ind w:left="-426" w:hanging="357"/>
        <w:rPr>
          <w:color w:val="auto"/>
          <w:szCs w:val="18"/>
          <w:lang w:val="en-CA"/>
        </w:rPr>
      </w:pPr>
      <w:proofErr w:type="spellStart"/>
      <w:r w:rsidRPr="00AA6144">
        <w:rPr>
          <w:i/>
          <w:color w:val="auto"/>
          <w:szCs w:val="18"/>
          <w:lang w:val="en-CA"/>
        </w:rPr>
        <w:t>Gushue</w:t>
      </w:r>
      <w:proofErr w:type="spellEnd"/>
      <w:r w:rsidRPr="00AA6144">
        <w:rPr>
          <w:i/>
          <w:color w:val="auto"/>
          <w:szCs w:val="18"/>
          <w:lang w:val="en-CA"/>
        </w:rPr>
        <w:t xml:space="preserve"> v R</w:t>
      </w:r>
      <w:r w:rsidRPr="00AA6144">
        <w:rPr>
          <w:color w:val="auto"/>
          <w:szCs w:val="18"/>
          <w:lang w:val="en-CA"/>
        </w:rPr>
        <w:t>, [1980] 1 SCR 798.</w:t>
      </w:r>
    </w:p>
    <w:p w14:paraId="1E1D6269" w14:textId="77777777" w:rsidR="00247EE8" w:rsidRPr="00AA6144" w:rsidRDefault="00247EE8" w:rsidP="00AA6144">
      <w:pPr>
        <w:spacing w:line="240" w:lineRule="auto"/>
        <w:ind w:left="-426" w:hanging="357"/>
        <w:rPr>
          <w:i/>
          <w:color w:val="auto"/>
          <w:szCs w:val="18"/>
          <w:lang w:val="en-CA"/>
        </w:rPr>
      </w:pPr>
      <w:r w:rsidRPr="00AA6144">
        <w:rPr>
          <w:i/>
          <w:color w:val="auto"/>
          <w:szCs w:val="18"/>
          <w:lang w:val="en-CA"/>
        </w:rPr>
        <w:t>Italy v Caruana [No 2]</w:t>
      </w:r>
      <w:r w:rsidRPr="00AA6144">
        <w:rPr>
          <w:color w:val="auto"/>
          <w:szCs w:val="18"/>
          <w:lang w:val="en-CA"/>
        </w:rPr>
        <w:t>, [2004] OJ No 5851 (</w:t>
      </w:r>
      <w:proofErr w:type="spellStart"/>
      <w:r w:rsidRPr="00AA6144">
        <w:rPr>
          <w:color w:val="auto"/>
          <w:szCs w:val="18"/>
          <w:lang w:val="en-CA"/>
        </w:rPr>
        <w:t>Ont</w:t>
      </w:r>
      <w:proofErr w:type="spellEnd"/>
      <w:r w:rsidRPr="00AA6144">
        <w:rPr>
          <w:color w:val="auto"/>
          <w:szCs w:val="18"/>
          <w:lang w:val="en-CA"/>
        </w:rPr>
        <w:t xml:space="preserve"> SCJ), aff’d [2007] OJ No 2550, 2007 ONCA 488 (</w:t>
      </w:r>
      <w:proofErr w:type="spellStart"/>
      <w:r w:rsidRPr="00AA6144">
        <w:rPr>
          <w:color w:val="auto"/>
          <w:szCs w:val="18"/>
          <w:lang w:val="en-CA"/>
        </w:rPr>
        <w:t>Ont</w:t>
      </w:r>
      <w:proofErr w:type="spellEnd"/>
      <w:r w:rsidRPr="00AA6144">
        <w:rPr>
          <w:color w:val="auto"/>
          <w:szCs w:val="18"/>
          <w:lang w:val="en-CA"/>
        </w:rPr>
        <w:t xml:space="preserve"> CA), leave to appeal </w:t>
      </w:r>
      <w:proofErr w:type="gramStart"/>
      <w:r w:rsidRPr="00AA6144">
        <w:rPr>
          <w:color w:val="auto"/>
          <w:szCs w:val="18"/>
          <w:lang w:val="en-CA"/>
        </w:rPr>
        <w:t>ref’d</w:t>
      </w:r>
      <w:proofErr w:type="gramEnd"/>
      <w:r w:rsidRPr="00AA6144">
        <w:rPr>
          <w:color w:val="auto"/>
          <w:szCs w:val="18"/>
          <w:lang w:val="en-CA"/>
        </w:rPr>
        <w:t xml:space="preserve"> [2007] SCCA No 474 (SCC).</w:t>
      </w:r>
    </w:p>
    <w:p w14:paraId="68551528" w14:textId="77777777" w:rsidR="00247EE8" w:rsidRPr="00AA6144" w:rsidRDefault="00247EE8" w:rsidP="00AA6144">
      <w:pPr>
        <w:spacing w:line="240" w:lineRule="auto"/>
        <w:ind w:left="-426" w:hanging="357"/>
        <w:rPr>
          <w:color w:val="auto"/>
          <w:szCs w:val="18"/>
          <w:lang w:val="en-CA"/>
        </w:rPr>
      </w:pPr>
      <w:r w:rsidRPr="00AA6144">
        <w:rPr>
          <w:i/>
          <w:color w:val="auto"/>
          <w:szCs w:val="18"/>
          <w:lang w:val="en-CA"/>
        </w:rPr>
        <w:t>Kamloops</w:t>
      </w:r>
      <w:r w:rsidRPr="00AA6144">
        <w:rPr>
          <w:color w:val="auto"/>
          <w:szCs w:val="18"/>
          <w:lang w:val="en-CA"/>
        </w:rPr>
        <w:t xml:space="preserve"> v </w:t>
      </w:r>
      <w:r w:rsidRPr="00AA6144">
        <w:rPr>
          <w:i/>
          <w:color w:val="auto"/>
          <w:szCs w:val="18"/>
          <w:lang w:val="en-CA"/>
        </w:rPr>
        <w:t>Nielson</w:t>
      </w:r>
      <w:r w:rsidRPr="00AA6144">
        <w:rPr>
          <w:color w:val="auto"/>
          <w:szCs w:val="18"/>
          <w:lang w:val="en-CA"/>
        </w:rPr>
        <w:t>, [1984] 2 RCS.</w:t>
      </w:r>
    </w:p>
    <w:p w14:paraId="23199685" w14:textId="77777777" w:rsidR="00247EE8" w:rsidRPr="00AA6144" w:rsidRDefault="00247EE8" w:rsidP="00AA6144">
      <w:pPr>
        <w:spacing w:line="240" w:lineRule="auto"/>
        <w:ind w:left="-426" w:hanging="357"/>
        <w:rPr>
          <w:color w:val="auto"/>
          <w:szCs w:val="18"/>
          <w:lang w:val="en-CA"/>
        </w:rPr>
      </w:pPr>
      <w:proofErr w:type="spellStart"/>
      <w:r w:rsidRPr="00AA6144">
        <w:rPr>
          <w:i/>
          <w:color w:val="auto"/>
          <w:szCs w:val="18"/>
          <w:lang w:val="en-CA"/>
        </w:rPr>
        <w:t>Kazemi</w:t>
      </w:r>
      <w:proofErr w:type="spellEnd"/>
      <w:r w:rsidRPr="00AA6144">
        <w:rPr>
          <w:i/>
          <w:color w:val="auto"/>
          <w:szCs w:val="18"/>
          <w:lang w:val="en-CA"/>
        </w:rPr>
        <w:t xml:space="preserve"> (Estate of) v Islamic Republic of Iran </w:t>
      </w:r>
      <w:r w:rsidRPr="00AA6144">
        <w:rPr>
          <w:color w:val="auto"/>
          <w:szCs w:val="18"/>
          <w:lang w:val="en-CA"/>
        </w:rPr>
        <w:t>2012 QCCA 1449.</w:t>
      </w:r>
    </w:p>
    <w:p w14:paraId="27B030E1" w14:textId="77777777" w:rsidR="00247EE8" w:rsidRPr="00AA6144" w:rsidRDefault="00247EE8" w:rsidP="00AA6144">
      <w:pPr>
        <w:spacing w:line="240" w:lineRule="auto"/>
        <w:ind w:left="-426" w:hanging="357"/>
        <w:rPr>
          <w:i/>
          <w:color w:val="auto"/>
          <w:szCs w:val="18"/>
          <w:lang w:val="en-CA"/>
        </w:rPr>
      </w:pPr>
      <w:r w:rsidRPr="00AA6144">
        <w:rPr>
          <w:i/>
          <w:color w:val="auto"/>
          <w:szCs w:val="18"/>
          <w:lang w:val="en-CA"/>
        </w:rPr>
        <w:t>Kindler v Canada (Minister of Justice),</w:t>
      </w:r>
      <w:r w:rsidRPr="00AA6144">
        <w:rPr>
          <w:color w:val="auto"/>
          <w:szCs w:val="18"/>
          <w:lang w:val="en-CA"/>
        </w:rPr>
        <w:t xml:space="preserve"> [1991] 2 SCR 779.</w:t>
      </w:r>
    </w:p>
    <w:p w14:paraId="2D4FE2EF" w14:textId="77777777" w:rsidR="00247EE8" w:rsidRPr="00AA6144" w:rsidRDefault="00247EE8" w:rsidP="00AA6144">
      <w:pPr>
        <w:spacing w:line="240" w:lineRule="auto"/>
        <w:ind w:left="-426" w:hanging="357"/>
        <w:rPr>
          <w:color w:val="auto"/>
          <w:szCs w:val="18"/>
          <w:lang w:val="en-CA"/>
        </w:rPr>
      </w:pPr>
      <w:r w:rsidRPr="00AA6144">
        <w:rPr>
          <w:i/>
          <w:color w:val="auto"/>
          <w:szCs w:val="18"/>
          <w:lang w:val="en-CA"/>
        </w:rPr>
        <w:t xml:space="preserve">Krieger v Law Society of Alberta, </w:t>
      </w:r>
      <w:r w:rsidRPr="00AA6144">
        <w:rPr>
          <w:color w:val="auto"/>
          <w:szCs w:val="18"/>
          <w:lang w:val="en-CA"/>
        </w:rPr>
        <w:t>[2002] 3 SCR 372.</w:t>
      </w:r>
    </w:p>
    <w:p w14:paraId="6CC1B154" w14:textId="77777777" w:rsidR="00247EE8" w:rsidRPr="00AA6144" w:rsidRDefault="00247EE8" w:rsidP="00AA6144">
      <w:pPr>
        <w:spacing w:line="240" w:lineRule="auto"/>
        <w:ind w:left="-426" w:hanging="357"/>
        <w:rPr>
          <w:color w:val="auto"/>
          <w:szCs w:val="18"/>
          <w:lang w:val="en-CA"/>
        </w:rPr>
      </w:pPr>
      <w:r w:rsidRPr="00AA6144">
        <w:rPr>
          <w:i/>
          <w:color w:val="auto"/>
          <w:szCs w:val="18"/>
          <w:lang w:val="en-CA"/>
        </w:rPr>
        <w:t>Lake</w:t>
      </w:r>
      <w:r w:rsidRPr="00AA6144">
        <w:rPr>
          <w:color w:val="auto"/>
          <w:szCs w:val="18"/>
          <w:lang w:val="en-CA"/>
        </w:rPr>
        <w:t xml:space="preserve"> v </w:t>
      </w:r>
      <w:r w:rsidRPr="00AA6144">
        <w:rPr>
          <w:i/>
          <w:color w:val="auto"/>
          <w:szCs w:val="18"/>
          <w:lang w:val="en-CA"/>
        </w:rPr>
        <w:t>Canada</w:t>
      </w:r>
      <w:r w:rsidRPr="00AA6144">
        <w:rPr>
          <w:color w:val="auto"/>
          <w:szCs w:val="18"/>
          <w:lang w:val="en-CA"/>
        </w:rPr>
        <w:t xml:space="preserve"> </w:t>
      </w:r>
      <w:r w:rsidRPr="00AA6144">
        <w:rPr>
          <w:i/>
          <w:color w:val="auto"/>
          <w:szCs w:val="18"/>
          <w:lang w:val="en-CA"/>
        </w:rPr>
        <w:t>(Ministry of Justice)</w:t>
      </w:r>
      <w:r w:rsidRPr="00AA6144">
        <w:rPr>
          <w:color w:val="auto"/>
          <w:szCs w:val="18"/>
          <w:lang w:val="en-CA"/>
        </w:rPr>
        <w:t>, [2008] 1 RCS 761, 2008 CSC 23.</w:t>
      </w:r>
    </w:p>
    <w:p w14:paraId="5DBCE0CB" w14:textId="77777777" w:rsidR="00247EE8" w:rsidRPr="007B53D3" w:rsidRDefault="00247EE8" w:rsidP="00AA6144">
      <w:pPr>
        <w:spacing w:line="240" w:lineRule="auto"/>
        <w:ind w:left="-426" w:hanging="357"/>
        <w:rPr>
          <w:color w:val="auto"/>
          <w:szCs w:val="18"/>
          <w:lang w:val="fr-CA"/>
        </w:rPr>
      </w:pPr>
      <w:r w:rsidRPr="007B53D3">
        <w:rPr>
          <w:i/>
          <w:color w:val="auto"/>
          <w:szCs w:val="18"/>
          <w:lang w:val="fr-CA"/>
        </w:rPr>
        <w:t>Lévis (City)</w:t>
      </w:r>
      <w:r w:rsidRPr="007B53D3">
        <w:rPr>
          <w:color w:val="auto"/>
          <w:szCs w:val="18"/>
          <w:lang w:val="fr-CA"/>
        </w:rPr>
        <w:t xml:space="preserve"> </w:t>
      </w:r>
      <w:r w:rsidRPr="007B53D3">
        <w:rPr>
          <w:iCs/>
          <w:color w:val="auto"/>
          <w:szCs w:val="18"/>
          <w:lang w:val="fr-CA"/>
        </w:rPr>
        <w:t>v</w:t>
      </w:r>
      <w:r w:rsidRPr="007B53D3">
        <w:rPr>
          <w:color w:val="auto"/>
          <w:szCs w:val="18"/>
          <w:lang w:val="fr-CA"/>
        </w:rPr>
        <w:t xml:space="preserve"> </w:t>
      </w:r>
      <w:r w:rsidRPr="007B53D3">
        <w:rPr>
          <w:i/>
          <w:color w:val="auto"/>
          <w:szCs w:val="18"/>
          <w:lang w:val="fr-CA"/>
        </w:rPr>
        <w:t>2629</w:t>
      </w:r>
      <w:r w:rsidRPr="007B53D3">
        <w:rPr>
          <w:i/>
          <w:color w:val="auto"/>
          <w:szCs w:val="18"/>
          <w:lang w:val="fr-CA"/>
        </w:rPr>
        <w:noBreakHyphen/>
        <w:t xml:space="preserve">4470 Québec </w:t>
      </w:r>
      <w:proofErr w:type="spellStart"/>
      <w:r w:rsidRPr="007B53D3">
        <w:rPr>
          <w:i/>
          <w:color w:val="auto"/>
          <w:szCs w:val="18"/>
          <w:lang w:val="fr-CA"/>
        </w:rPr>
        <w:t>inc.</w:t>
      </w:r>
      <w:proofErr w:type="spellEnd"/>
      <w:r w:rsidRPr="007B53D3">
        <w:rPr>
          <w:color w:val="auto"/>
          <w:szCs w:val="18"/>
          <w:lang w:val="fr-CA"/>
        </w:rPr>
        <w:t>, 2006 SCC 12, [2006] 1 SCR 420.</w:t>
      </w:r>
    </w:p>
    <w:p w14:paraId="3208C08F" w14:textId="77777777" w:rsidR="00247EE8" w:rsidRPr="00AA6144" w:rsidRDefault="00247EE8" w:rsidP="00AA6144">
      <w:pPr>
        <w:spacing w:line="240" w:lineRule="auto"/>
        <w:ind w:left="-426" w:hanging="357"/>
        <w:rPr>
          <w:color w:val="auto"/>
          <w:szCs w:val="18"/>
          <w:lang w:val="en-CA"/>
        </w:rPr>
      </w:pPr>
      <w:proofErr w:type="spellStart"/>
      <w:r w:rsidRPr="00AA6144">
        <w:rPr>
          <w:i/>
          <w:color w:val="auto"/>
          <w:szCs w:val="18"/>
          <w:lang w:val="en-CA"/>
        </w:rPr>
        <w:t>Libman</w:t>
      </w:r>
      <w:proofErr w:type="spellEnd"/>
      <w:r w:rsidRPr="00AA6144">
        <w:rPr>
          <w:i/>
          <w:color w:val="auto"/>
          <w:szCs w:val="18"/>
          <w:lang w:val="en-CA"/>
        </w:rPr>
        <w:t xml:space="preserve"> v The Queen, </w:t>
      </w:r>
      <w:r w:rsidRPr="00AA6144">
        <w:rPr>
          <w:color w:val="auto"/>
          <w:szCs w:val="18"/>
          <w:lang w:val="en-CA"/>
        </w:rPr>
        <w:t>[1985] 2 SCR 178.</w:t>
      </w:r>
    </w:p>
    <w:p w14:paraId="14D00E9C" w14:textId="11804FE9" w:rsidR="00247EE8" w:rsidRPr="00FD1463" w:rsidRDefault="00247EE8" w:rsidP="00AA6144">
      <w:pPr>
        <w:spacing w:line="240" w:lineRule="auto"/>
        <w:ind w:left="-426" w:hanging="357"/>
        <w:rPr>
          <w:color w:val="auto"/>
          <w:szCs w:val="18"/>
          <w:lang w:val="es-AR"/>
        </w:rPr>
      </w:pPr>
      <w:proofErr w:type="spellStart"/>
      <w:r w:rsidRPr="00FD1463">
        <w:rPr>
          <w:i/>
          <w:color w:val="auto"/>
          <w:szCs w:val="18"/>
          <w:lang w:val="es-AR"/>
        </w:rPr>
        <w:t>Manolopoulos</w:t>
      </w:r>
      <w:proofErr w:type="spellEnd"/>
      <w:r w:rsidRPr="00FD1463">
        <w:rPr>
          <w:i/>
          <w:color w:val="auto"/>
          <w:szCs w:val="18"/>
          <w:lang w:val="es-AR"/>
        </w:rPr>
        <w:t xml:space="preserve"> c. </w:t>
      </w:r>
      <w:proofErr w:type="spellStart"/>
      <w:r w:rsidRPr="00FD1463">
        <w:rPr>
          <w:i/>
          <w:color w:val="auto"/>
          <w:szCs w:val="18"/>
          <w:lang w:val="es-AR"/>
        </w:rPr>
        <w:t>Canada</w:t>
      </w:r>
      <w:proofErr w:type="spellEnd"/>
      <w:r w:rsidRPr="00FD1463">
        <w:rPr>
          <w:i/>
          <w:color w:val="auto"/>
          <w:szCs w:val="18"/>
          <w:lang w:val="es-AR"/>
        </w:rPr>
        <w:t xml:space="preserve"> (Ministre de la Justice)</w:t>
      </w:r>
      <w:r w:rsidRPr="00FD1463">
        <w:rPr>
          <w:color w:val="auto"/>
          <w:szCs w:val="18"/>
          <w:lang w:val="es-AR"/>
        </w:rPr>
        <w:t>, [2006] JQ no 10858 (</w:t>
      </w:r>
      <w:proofErr w:type="spellStart"/>
      <w:r w:rsidRPr="00FD1463">
        <w:rPr>
          <w:color w:val="auto"/>
          <w:szCs w:val="18"/>
          <w:lang w:val="es-AR"/>
        </w:rPr>
        <w:t>QcCA</w:t>
      </w:r>
      <w:proofErr w:type="spellEnd"/>
      <w:r w:rsidRPr="00FD1463">
        <w:rPr>
          <w:color w:val="auto"/>
          <w:szCs w:val="18"/>
          <w:lang w:val="es-AR"/>
        </w:rPr>
        <w:t>).</w:t>
      </w:r>
    </w:p>
    <w:p w14:paraId="02865027" w14:textId="4F12CB49" w:rsidR="00320005" w:rsidRPr="00AA6144" w:rsidRDefault="00320005" w:rsidP="00AA6144">
      <w:pPr>
        <w:spacing w:line="240" w:lineRule="auto"/>
        <w:ind w:left="-426" w:hanging="357"/>
        <w:rPr>
          <w:color w:val="auto"/>
          <w:szCs w:val="18"/>
          <w:lang w:val="en-CA"/>
        </w:rPr>
      </w:pPr>
      <w:proofErr w:type="spellStart"/>
      <w:r w:rsidRPr="00AA6144">
        <w:rPr>
          <w:rFonts w:ascii="Verdana" w:hAnsi="Verdana"/>
          <w:i/>
          <w:color w:val="212529"/>
          <w:sz w:val="16"/>
          <w:szCs w:val="16"/>
          <w:lang w:val="en-CA" w:eastAsia="en-US"/>
        </w:rPr>
        <w:t>Magtibay</w:t>
      </w:r>
      <w:proofErr w:type="spellEnd"/>
      <w:r w:rsidRPr="00AA6144">
        <w:rPr>
          <w:rFonts w:ascii="Verdana" w:hAnsi="Verdana"/>
          <w:i/>
          <w:color w:val="212529"/>
          <w:sz w:val="16"/>
          <w:szCs w:val="16"/>
          <w:lang w:val="en-CA" w:eastAsia="en-US"/>
        </w:rPr>
        <w:t xml:space="preserve"> v Canada</w:t>
      </w:r>
      <w:r w:rsidRPr="00AA6144">
        <w:rPr>
          <w:rFonts w:ascii="Verdana" w:hAnsi="Verdana"/>
          <w:color w:val="212529"/>
          <w:sz w:val="16"/>
          <w:szCs w:val="16"/>
          <w:lang w:val="en-CA" w:eastAsia="en-US"/>
        </w:rPr>
        <w:t xml:space="preserve"> (Minister of Citizenship and Immigration) (2005), FC 397.</w:t>
      </w:r>
    </w:p>
    <w:p w14:paraId="0CCD364A" w14:textId="77777777" w:rsidR="00247EE8" w:rsidRPr="00FD1463" w:rsidRDefault="00247EE8" w:rsidP="00AA6144">
      <w:pPr>
        <w:spacing w:line="240" w:lineRule="auto"/>
        <w:ind w:left="-426" w:hanging="357"/>
        <w:rPr>
          <w:color w:val="auto"/>
          <w:szCs w:val="18"/>
          <w:lang w:val="es-AR"/>
        </w:rPr>
      </w:pPr>
      <w:proofErr w:type="spellStart"/>
      <w:r w:rsidRPr="00FD1463">
        <w:rPr>
          <w:i/>
          <w:color w:val="auto"/>
          <w:szCs w:val="18"/>
          <w:lang w:val="es-AR"/>
        </w:rPr>
        <w:t>Miron</w:t>
      </w:r>
      <w:proofErr w:type="spellEnd"/>
      <w:r w:rsidRPr="00FD1463">
        <w:rPr>
          <w:i/>
          <w:color w:val="auto"/>
          <w:szCs w:val="18"/>
          <w:lang w:val="es-AR"/>
        </w:rPr>
        <w:t xml:space="preserve"> v </w:t>
      </w:r>
      <w:proofErr w:type="spellStart"/>
      <w:r w:rsidRPr="00FD1463">
        <w:rPr>
          <w:i/>
          <w:color w:val="auto"/>
          <w:szCs w:val="18"/>
          <w:lang w:val="es-AR"/>
        </w:rPr>
        <w:t>Trudel</w:t>
      </w:r>
      <w:proofErr w:type="spellEnd"/>
      <w:r w:rsidRPr="00FD1463">
        <w:rPr>
          <w:color w:val="auto"/>
          <w:szCs w:val="18"/>
          <w:lang w:val="es-AR"/>
        </w:rPr>
        <w:t>, [1995] 2 SCR 415.</w:t>
      </w:r>
    </w:p>
    <w:p w14:paraId="37A87087" w14:textId="77777777" w:rsidR="00247EE8" w:rsidRPr="00FD1463" w:rsidRDefault="00247EE8" w:rsidP="00AA6144">
      <w:pPr>
        <w:spacing w:line="240" w:lineRule="auto"/>
        <w:ind w:left="-426" w:hanging="357"/>
        <w:rPr>
          <w:color w:val="auto"/>
          <w:szCs w:val="18"/>
          <w:lang w:val="es-AR"/>
        </w:rPr>
      </w:pPr>
      <w:proofErr w:type="spellStart"/>
      <w:r w:rsidRPr="00FD1463">
        <w:rPr>
          <w:bCs/>
          <w:i/>
          <w:color w:val="auto"/>
          <w:szCs w:val="18"/>
          <w:lang w:val="es-AR"/>
        </w:rPr>
        <w:t>Munyaneza</w:t>
      </w:r>
      <w:proofErr w:type="spellEnd"/>
      <w:r w:rsidRPr="00FD1463">
        <w:rPr>
          <w:bCs/>
          <w:i/>
          <w:color w:val="auto"/>
          <w:szCs w:val="18"/>
          <w:lang w:val="es-AR"/>
        </w:rPr>
        <w:t xml:space="preserve"> v R</w:t>
      </w:r>
      <w:r w:rsidRPr="00FD1463">
        <w:rPr>
          <w:bCs/>
          <w:color w:val="auto"/>
          <w:szCs w:val="18"/>
          <w:lang w:val="es-AR"/>
        </w:rPr>
        <w:t>, 2014 QCCA 906, [2014] QJ No 3059 (</w:t>
      </w:r>
      <w:proofErr w:type="spellStart"/>
      <w:r w:rsidRPr="00FD1463">
        <w:rPr>
          <w:bCs/>
          <w:color w:val="auto"/>
          <w:szCs w:val="18"/>
          <w:lang w:val="es-AR"/>
        </w:rPr>
        <w:t>Quicklaw</w:t>
      </w:r>
      <w:proofErr w:type="spellEnd"/>
      <w:r w:rsidRPr="00FD1463">
        <w:rPr>
          <w:bCs/>
          <w:color w:val="auto"/>
          <w:szCs w:val="18"/>
          <w:lang w:val="es-AR"/>
        </w:rPr>
        <w:t>).</w:t>
      </w:r>
    </w:p>
    <w:p w14:paraId="53F1B4FF" w14:textId="77777777" w:rsidR="00247EE8" w:rsidRPr="00AA6144" w:rsidRDefault="00247EE8" w:rsidP="00AA6144">
      <w:pPr>
        <w:spacing w:line="240" w:lineRule="auto"/>
        <w:ind w:left="-426" w:hanging="357"/>
        <w:rPr>
          <w:color w:val="auto"/>
          <w:szCs w:val="18"/>
          <w:lang w:val="en-CA"/>
        </w:rPr>
      </w:pPr>
      <w:proofErr w:type="spellStart"/>
      <w:r w:rsidRPr="00AA6144">
        <w:rPr>
          <w:i/>
          <w:color w:val="auto"/>
          <w:szCs w:val="18"/>
          <w:lang w:val="en-CA"/>
        </w:rPr>
        <w:t>Nelles</w:t>
      </w:r>
      <w:proofErr w:type="spellEnd"/>
      <w:r w:rsidRPr="00AA6144">
        <w:rPr>
          <w:color w:val="auto"/>
          <w:szCs w:val="18"/>
          <w:lang w:val="en-CA"/>
        </w:rPr>
        <w:t xml:space="preserve"> v </w:t>
      </w:r>
      <w:r w:rsidRPr="00AA6144">
        <w:rPr>
          <w:i/>
          <w:color w:val="auto"/>
          <w:szCs w:val="18"/>
          <w:lang w:val="en-CA"/>
        </w:rPr>
        <w:t>Ontario</w:t>
      </w:r>
      <w:r w:rsidRPr="00AA6144">
        <w:rPr>
          <w:color w:val="auto"/>
          <w:szCs w:val="18"/>
          <w:lang w:val="en-CA"/>
        </w:rPr>
        <w:t>, [1989] 2 SCR 170.</w:t>
      </w:r>
    </w:p>
    <w:p w14:paraId="7AB97F30" w14:textId="77777777" w:rsidR="00247EE8" w:rsidRPr="00AA6144" w:rsidRDefault="00247EE8" w:rsidP="00AA6144">
      <w:pPr>
        <w:spacing w:line="240" w:lineRule="auto"/>
        <w:ind w:left="-426" w:hanging="357"/>
        <w:rPr>
          <w:color w:val="auto"/>
          <w:szCs w:val="18"/>
          <w:lang w:val="en-CA"/>
        </w:rPr>
      </w:pPr>
      <w:proofErr w:type="spellStart"/>
      <w:r w:rsidRPr="00AA6144">
        <w:rPr>
          <w:i/>
          <w:color w:val="auto"/>
          <w:szCs w:val="18"/>
          <w:lang w:val="en-CA"/>
        </w:rPr>
        <w:t>Németh</w:t>
      </w:r>
      <w:proofErr w:type="spellEnd"/>
      <w:r w:rsidRPr="00AA6144">
        <w:rPr>
          <w:i/>
          <w:color w:val="auto"/>
          <w:szCs w:val="18"/>
          <w:lang w:val="en-CA"/>
        </w:rPr>
        <w:t xml:space="preserve"> v Canada (Justice)</w:t>
      </w:r>
      <w:r w:rsidRPr="00AA6144">
        <w:rPr>
          <w:color w:val="auto"/>
          <w:szCs w:val="18"/>
          <w:lang w:val="en-CA"/>
        </w:rPr>
        <w:t xml:space="preserve"> [2010] 3 SCR 281.</w:t>
      </w:r>
    </w:p>
    <w:p w14:paraId="39514B80" w14:textId="77777777" w:rsidR="00247EE8" w:rsidRPr="00AA6144" w:rsidRDefault="00247EE8" w:rsidP="00AA6144">
      <w:pPr>
        <w:spacing w:line="240" w:lineRule="auto"/>
        <w:ind w:left="-426" w:hanging="357"/>
        <w:rPr>
          <w:color w:val="auto"/>
          <w:szCs w:val="18"/>
          <w:lang w:val="en-CA"/>
        </w:rPr>
      </w:pPr>
      <w:proofErr w:type="spellStart"/>
      <w:r w:rsidRPr="00AA6144">
        <w:rPr>
          <w:i/>
          <w:color w:val="auto"/>
          <w:szCs w:val="18"/>
          <w:lang w:val="en-CA"/>
        </w:rPr>
        <w:t>Perka</w:t>
      </w:r>
      <w:proofErr w:type="spellEnd"/>
      <w:r w:rsidRPr="00AA6144">
        <w:rPr>
          <w:i/>
          <w:color w:val="auto"/>
          <w:szCs w:val="18"/>
          <w:lang w:val="en-CA"/>
        </w:rPr>
        <w:t xml:space="preserve"> v R,</w:t>
      </w:r>
      <w:r w:rsidRPr="00AA6144">
        <w:rPr>
          <w:color w:val="auto"/>
          <w:szCs w:val="18"/>
          <w:lang w:val="en-CA"/>
        </w:rPr>
        <w:t xml:space="preserve"> [1984] 2 SCR 232, 42 CR (3d) 113 (SCC).</w:t>
      </w:r>
    </w:p>
    <w:p w14:paraId="7ECA3919" w14:textId="77777777" w:rsidR="00247EE8" w:rsidRPr="00356280" w:rsidRDefault="00247EE8" w:rsidP="00AA6144">
      <w:pPr>
        <w:spacing w:line="240" w:lineRule="auto"/>
        <w:ind w:left="-426" w:hanging="357"/>
        <w:rPr>
          <w:color w:val="auto"/>
          <w:szCs w:val="18"/>
          <w:lang w:val="en-US"/>
        </w:rPr>
      </w:pPr>
      <w:r w:rsidRPr="00356280">
        <w:rPr>
          <w:i/>
          <w:color w:val="auto"/>
          <w:szCs w:val="18"/>
          <w:lang w:val="en-US"/>
        </w:rPr>
        <w:t xml:space="preserve">Philippines (Republic) v </w:t>
      </w:r>
      <w:proofErr w:type="spellStart"/>
      <w:r w:rsidRPr="00356280">
        <w:rPr>
          <w:i/>
          <w:color w:val="auto"/>
          <w:szCs w:val="18"/>
          <w:lang w:val="en-US"/>
        </w:rPr>
        <w:t>Pacificador</w:t>
      </w:r>
      <w:proofErr w:type="spellEnd"/>
      <w:r w:rsidRPr="00356280">
        <w:rPr>
          <w:i/>
          <w:color w:val="auto"/>
          <w:szCs w:val="18"/>
          <w:lang w:val="en-US"/>
        </w:rPr>
        <w:t xml:space="preserve">, </w:t>
      </w:r>
      <w:r w:rsidRPr="00356280">
        <w:rPr>
          <w:color w:val="auto"/>
          <w:szCs w:val="18"/>
          <w:lang w:val="en-US"/>
        </w:rPr>
        <w:t>[2002] OB No. 3024 ONCA.</w:t>
      </w:r>
    </w:p>
    <w:p w14:paraId="2EFD7EDA" w14:textId="77777777" w:rsidR="00247EE8" w:rsidRPr="00FD1463" w:rsidRDefault="00247EE8" w:rsidP="00AA6144">
      <w:pPr>
        <w:pStyle w:val="FootnoteText"/>
        <w:spacing w:after="0" w:line="240" w:lineRule="auto"/>
        <w:ind w:left="-426" w:hanging="357"/>
        <w:rPr>
          <w:color w:val="auto"/>
          <w:sz w:val="18"/>
          <w:szCs w:val="18"/>
          <w:lang w:val="es-AR"/>
        </w:rPr>
      </w:pPr>
      <w:proofErr w:type="spellStart"/>
      <w:r w:rsidRPr="00FD1463">
        <w:rPr>
          <w:i/>
          <w:color w:val="auto"/>
          <w:sz w:val="18"/>
          <w:szCs w:val="18"/>
          <w:lang w:val="es-AR"/>
        </w:rPr>
        <w:t>Plagaro-Perez</w:t>
      </w:r>
      <w:proofErr w:type="spellEnd"/>
      <w:r w:rsidRPr="00FD1463">
        <w:rPr>
          <w:i/>
          <w:color w:val="auto"/>
          <w:sz w:val="18"/>
          <w:szCs w:val="18"/>
          <w:lang w:val="es-AR"/>
        </w:rPr>
        <w:t xml:space="preserve"> De Arrilucea c. </w:t>
      </w:r>
      <w:proofErr w:type="spellStart"/>
      <w:r w:rsidRPr="00FD1463">
        <w:rPr>
          <w:i/>
          <w:color w:val="auto"/>
          <w:sz w:val="18"/>
          <w:szCs w:val="18"/>
          <w:lang w:val="es-AR"/>
        </w:rPr>
        <w:t>Royaume</w:t>
      </w:r>
      <w:proofErr w:type="spellEnd"/>
      <w:r w:rsidRPr="00FD1463">
        <w:rPr>
          <w:i/>
          <w:color w:val="auto"/>
          <w:sz w:val="18"/>
          <w:szCs w:val="18"/>
          <w:lang w:val="es-AR"/>
        </w:rPr>
        <w:t xml:space="preserve"> </w:t>
      </w:r>
      <w:proofErr w:type="spellStart"/>
      <w:r w:rsidRPr="00FD1463">
        <w:rPr>
          <w:i/>
          <w:color w:val="auto"/>
          <w:sz w:val="18"/>
          <w:szCs w:val="18"/>
          <w:lang w:val="es-AR"/>
        </w:rPr>
        <w:t>d’Espagne</w:t>
      </w:r>
      <w:proofErr w:type="spellEnd"/>
      <w:r w:rsidRPr="00FD1463">
        <w:rPr>
          <w:color w:val="auto"/>
          <w:sz w:val="18"/>
          <w:szCs w:val="18"/>
          <w:lang w:val="es-AR"/>
        </w:rPr>
        <w:t>, [2004] JQ no 13397 (</w:t>
      </w:r>
      <w:proofErr w:type="spellStart"/>
      <w:r w:rsidRPr="00FD1463">
        <w:rPr>
          <w:color w:val="auto"/>
          <w:sz w:val="18"/>
          <w:szCs w:val="18"/>
          <w:lang w:val="es-AR"/>
        </w:rPr>
        <w:t>QcCA</w:t>
      </w:r>
      <w:proofErr w:type="spellEnd"/>
      <w:r w:rsidRPr="00FD1463">
        <w:rPr>
          <w:color w:val="auto"/>
          <w:sz w:val="18"/>
          <w:szCs w:val="18"/>
          <w:lang w:val="es-AR"/>
        </w:rPr>
        <w:t>).</w:t>
      </w:r>
    </w:p>
    <w:p w14:paraId="4DF833F5" w14:textId="77777777" w:rsidR="00247EE8" w:rsidRPr="00FD1463" w:rsidRDefault="00247EE8" w:rsidP="00AA6144">
      <w:pPr>
        <w:pStyle w:val="FootnoteText"/>
        <w:spacing w:after="0" w:line="240" w:lineRule="auto"/>
        <w:ind w:left="-426" w:hanging="357"/>
        <w:rPr>
          <w:color w:val="auto"/>
          <w:sz w:val="18"/>
          <w:szCs w:val="18"/>
          <w:lang w:val="es-AR"/>
        </w:rPr>
      </w:pPr>
    </w:p>
    <w:p w14:paraId="45EE11C6" w14:textId="77777777" w:rsidR="00247EE8" w:rsidRPr="00356280" w:rsidRDefault="00247EE8" w:rsidP="00AA6144">
      <w:pPr>
        <w:spacing w:line="240" w:lineRule="auto"/>
        <w:ind w:left="-426" w:hanging="357"/>
        <w:rPr>
          <w:color w:val="auto"/>
          <w:szCs w:val="18"/>
          <w:lang w:val="es-AR"/>
        </w:rPr>
      </w:pPr>
      <w:proofErr w:type="gramStart"/>
      <w:r w:rsidRPr="00356280">
        <w:rPr>
          <w:i/>
          <w:color w:val="auto"/>
          <w:szCs w:val="18"/>
          <w:lang w:val="es-AR"/>
        </w:rPr>
        <w:t>Pro Swing</w:t>
      </w:r>
      <w:proofErr w:type="gramEnd"/>
      <w:r w:rsidRPr="00356280">
        <w:rPr>
          <w:i/>
          <w:color w:val="auto"/>
          <w:szCs w:val="18"/>
          <w:lang w:val="es-AR"/>
        </w:rPr>
        <w:t xml:space="preserve"> </w:t>
      </w:r>
      <w:proofErr w:type="spellStart"/>
      <w:r w:rsidRPr="00356280">
        <w:rPr>
          <w:i/>
          <w:color w:val="auto"/>
          <w:szCs w:val="18"/>
          <w:lang w:val="es-AR"/>
        </w:rPr>
        <w:t>Inc</w:t>
      </w:r>
      <w:proofErr w:type="spellEnd"/>
      <w:r w:rsidRPr="00356280">
        <w:rPr>
          <w:i/>
          <w:color w:val="auto"/>
          <w:szCs w:val="18"/>
          <w:lang w:val="es-AR"/>
        </w:rPr>
        <w:t xml:space="preserve"> v </w:t>
      </w:r>
      <w:proofErr w:type="spellStart"/>
      <w:r w:rsidRPr="00356280">
        <w:rPr>
          <w:i/>
          <w:color w:val="auto"/>
          <w:szCs w:val="18"/>
          <w:lang w:val="es-AR"/>
        </w:rPr>
        <w:t>Elta</w:t>
      </w:r>
      <w:proofErr w:type="spellEnd"/>
      <w:r w:rsidRPr="00356280">
        <w:rPr>
          <w:i/>
          <w:color w:val="auto"/>
          <w:szCs w:val="18"/>
          <w:lang w:val="es-AR"/>
        </w:rPr>
        <w:t xml:space="preserve"> Golf </w:t>
      </w:r>
      <w:proofErr w:type="spellStart"/>
      <w:r w:rsidRPr="00356280">
        <w:rPr>
          <w:i/>
          <w:color w:val="auto"/>
          <w:szCs w:val="18"/>
          <w:lang w:val="es-AR"/>
        </w:rPr>
        <w:t>Inc</w:t>
      </w:r>
      <w:proofErr w:type="spellEnd"/>
      <w:r w:rsidRPr="00356280">
        <w:rPr>
          <w:color w:val="auto"/>
          <w:szCs w:val="18"/>
          <w:lang w:val="es-AR"/>
        </w:rPr>
        <w:t>, 2006 SCC 52, [2006] 2 SCR 612.</w:t>
      </w:r>
    </w:p>
    <w:p w14:paraId="592CB59D" w14:textId="77777777" w:rsidR="00247EE8" w:rsidRPr="007B53D3" w:rsidRDefault="00247EE8" w:rsidP="00247EE8">
      <w:pPr>
        <w:spacing w:line="240" w:lineRule="auto"/>
        <w:ind w:hanging="357"/>
        <w:rPr>
          <w:color w:val="auto"/>
          <w:szCs w:val="18"/>
          <w:lang w:val="fr-CA"/>
        </w:rPr>
      </w:pPr>
      <w:r w:rsidRPr="007B53D3">
        <w:rPr>
          <w:i/>
          <w:color w:val="auto"/>
          <w:szCs w:val="18"/>
          <w:lang w:val="fr-CA"/>
        </w:rPr>
        <w:t>Proulx v Québec (PG),</w:t>
      </w:r>
      <w:r w:rsidRPr="007B53D3">
        <w:rPr>
          <w:color w:val="auto"/>
          <w:szCs w:val="18"/>
          <w:lang w:val="fr-CA"/>
        </w:rPr>
        <w:t xml:space="preserve"> [2001] 3 SCR 9, 2001 SCC 66.</w:t>
      </w:r>
    </w:p>
    <w:p w14:paraId="23403C53"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c </w:t>
      </w:r>
      <w:proofErr w:type="spellStart"/>
      <w:r w:rsidRPr="00AA6144">
        <w:rPr>
          <w:i/>
          <w:color w:val="auto"/>
          <w:szCs w:val="18"/>
          <w:lang w:val="en-CA"/>
        </w:rPr>
        <w:t>Mungwarere</w:t>
      </w:r>
      <w:proofErr w:type="spellEnd"/>
      <w:r w:rsidRPr="00AA6144">
        <w:rPr>
          <w:i/>
          <w:color w:val="auto"/>
          <w:szCs w:val="18"/>
          <w:lang w:val="en-CA"/>
        </w:rPr>
        <w:t xml:space="preserve">, </w:t>
      </w:r>
      <w:r w:rsidRPr="00AA6144">
        <w:rPr>
          <w:color w:val="auto"/>
          <w:szCs w:val="18"/>
          <w:lang w:val="en-CA"/>
        </w:rPr>
        <w:t>2013 ONCS 4594.</w:t>
      </w:r>
    </w:p>
    <w:p w14:paraId="72571264"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c </w:t>
      </w:r>
      <w:proofErr w:type="spellStart"/>
      <w:r w:rsidRPr="00AA6144">
        <w:rPr>
          <w:i/>
          <w:color w:val="auto"/>
          <w:szCs w:val="18"/>
          <w:lang w:val="en-CA"/>
        </w:rPr>
        <w:t>Munyaneza</w:t>
      </w:r>
      <w:proofErr w:type="spellEnd"/>
      <w:r w:rsidRPr="00AA6144">
        <w:rPr>
          <w:color w:val="auto"/>
          <w:szCs w:val="18"/>
          <w:lang w:val="en-CA"/>
        </w:rPr>
        <w:t xml:space="preserve"> (2006) QCCS 8007.</w:t>
      </w:r>
    </w:p>
    <w:p w14:paraId="051FCF93" w14:textId="02AC69FB" w:rsidR="00BE1518" w:rsidRPr="00AA6144" w:rsidRDefault="00247EE8" w:rsidP="00E0182A">
      <w:pPr>
        <w:spacing w:line="240" w:lineRule="auto"/>
        <w:ind w:hanging="357"/>
        <w:rPr>
          <w:color w:val="auto"/>
          <w:szCs w:val="18"/>
          <w:lang w:val="en-CA"/>
        </w:rPr>
      </w:pPr>
      <w:r w:rsidRPr="00AA6144">
        <w:rPr>
          <w:i/>
          <w:color w:val="auto"/>
          <w:szCs w:val="18"/>
          <w:lang w:val="en-CA"/>
        </w:rPr>
        <w:t xml:space="preserve">R v Bain, </w:t>
      </w:r>
      <w:r w:rsidRPr="00AA6144">
        <w:rPr>
          <w:color w:val="auto"/>
          <w:szCs w:val="18"/>
          <w:lang w:val="en-CA"/>
        </w:rPr>
        <w:t>[1992] 1 SCR 91.</w:t>
      </w:r>
    </w:p>
    <w:p w14:paraId="306AE723"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w:t>
      </w:r>
      <w:r w:rsidRPr="00AA6144">
        <w:rPr>
          <w:color w:val="auto"/>
          <w:szCs w:val="18"/>
          <w:lang w:val="en-CA"/>
        </w:rPr>
        <w:t xml:space="preserve"> v </w:t>
      </w:r>
      <w:r w:rsidRPr="00AA6144">
        <w:rPr>
          <w:i/>
          <w:color w:val="auto"/>
          <w:szCs w:val="18"/>
          <w:lang w:val="en-CA"/>
        </w:rPr>
        <w:t>Bulmer</w:t>
      </w:r>
      <w:r w:rsidRPr="00AA6144">
        <w:rPr>
          <w:color w:val="auto"/>
          <w:szCs w:val="18"/>
          <w:lang w:val="en-CA"/>
        </w:rPr>
        <w:t>, [1987] 1 SCR 782.</w:t>
      </w:r>
    </w:p>
    <w:p w14:paraId="1031EE0D"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w:t>
      </w:r>
      <w:r w:rsidRPr="00AA6144">
        <w:rPr>
          <w:color w:val="auto"/>
          <w:szCs w:val="18"/>
          <w:lang w:val="en-CA"/>
        </w:rPr>
        <w:t xml:space="preserve">v </w:t>
      </w:r>
      <w:proofErr w:type="spellStart"/>
      <w:r w:rsidRPr="00AA6144">
        <w:rPr>
          <w:i/>
          <w:color w:val="auto"/>
          <w:szCs w:val="18"/>
          <w:lang w:val="en-CA"/>
        </w:rPr>
        <w:t>Chaulk</w:t>
      </w:r>
      <w:proofErr w:type="spellEnd"/>
      <w:r w:rsidRPr="00AA6144">
        <w:rPr>
          <w:color w:val="auto"/>
          <w:szCs w:val="18"/>
          <w:lang w:val="en-CA"/>
        </w:rPr>
        <w:t>, [1990] 3 RCS 1303.</w:t>
      </w:r>
    </w:p>
    <w:p w14:paraId="6686355F"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 v Cloud</w:t>
      </w:r>
      <w:r w:rsidRPr="00AA6144">
        <w:rPr>
          <w:color w:val="auto"/>
          <w:szCs w:val="18"/>
          <w:lang w:val="en-CA"/>
        </w:rPr>
        <w:t xml:space="preserve"> (2014), QCCQ 464 at para 22, 8 CR (7</w:t>
      </w:r>
      <w:r w:rsidRPr="00AA6144">
        <w:rPr>
          <w:color w:val="auto"/>
          <w:szCs w:val="18"/>
          <w:vertAlign w:val="superscript"/>
          <w:lang w:val="en-CA"/>
        </w:rPr>
        <w:t>th</w:t>
      </w:r>
      <w:r w:rsidRPr="00AA6144">
        <w:rPr>
          <w:color w:val="auto"/>
          <w:szCs w:val="18"/>
          <w:lang w:val="en-CA"/>
        </w:rPr>
        <w:t>) 364.</w:t>
      </w:r>
    </w:p>
    <w:p w14:paraId="45BA76BF" w14:textId="77777777" w:rsidR="00247EE8" w:rsidRPr="00FD1463" w:rsidRDefault="00247EE8" w:rsidP="00247EE8">
      <w:pPr>
        <w:spacing w:line="240" w:lineRule="auto"/>
        <w:ind w:hanging="357"/>
        <w:rPr>
          <w:color w:val="auto"/>
          <w:szCs w:val="18"/>
          <w:lang w:val="es-AR"/>
        </w:rPr>
      </w:pPr>
      <w:r w:rsidRPr="00FD1463">
        <w:rPr>
          <w:i/>
          <w:color w:val="auto"/>
          <w:szCs w:val="18"/>
          <w:lang w:val="es-AR"/>
        </w:rPr>
        <w:t>R</w:t>
      </w:r>
      <w:r w:rsidRPr="00FD1463">
        <w:rPr>
          <w:color w:val="auto"/>
          <w:szCs w:val="18"/>
          <w:lang w:val="es-AR"/>
        </w:rPr>
        <w:t xml:space="preserve"> v </w:t>
      </w:r>
      <w:r w:rsidRPr="00FD1463">
        <w:rPr>
          <w:i/>
          <w:color w:val="auto"/>
          <w:szCs w:val="18"/>
          <w:lang w:val="es-AR"/>
        </w:rPr>
        <w:t>Curran</w:t>
      </w:r>
      <w:r w:rsidRPr="00FD1463">
        <w:rPr>
          <w:color w:val="auto"/>
          <w:szCs w:val="18"/>
          <w:lang w:val="es-AR"/>
        </w:rPr>
        <w:t xml:space="preserve"> (1977), 38 CCC (2d) 151 (Alta CA).</w:t>
      </w:r>
    </w:p>
    <w:p w14:paraId="1D6A532F"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w:t>
      </w:r>
      <w:r w:rsidRPr="00AA6144">
        <w:rPr>
          <w:color w:val="auto"/>
          <w:szCs w:val="18"/>
          <w:lang w:val="en-CA"/>
        </w:rPr>
        <w:t xml:space="preserve"> v </w:t>
      </w:r>
      <w:proofErr w:type="spellStart"/>
      <w:r w:rsidRPr="00AA6144">
        <w:rPr>
          <w:i/>
          <w:color w:val="auto"/>
          <w:szCs w:val="18"/>
          <w:lang w:val="en-CA"/>
        </w:rPr>
        <w:t>Daviault</w:t>
      </w:r>
      <w:proofErr w:type="spellEnd"/>
      <w:r w:rsidRPr="00AA6144">
        <w:rPr>
          <w:color w:val="auto"/>
          <w:szCs w:val="18"/>
          <w:lang w:val="en-CA"/>
        </w:rPr>
        <w:t>, [1994] 3 SCR 63.</w:t>
      </w:r>
    </w:p>
    <w:p w14:paraId="1305E4BB"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v </w:t>
      </w:r>
      <w:proofErr w:type="spellStart"/>
      <w:r w:rsidRPr="00AA6144">
        <w:rPr>
          <w:i/>
          <w:color w:val="auto"/>
          <w:szCs w:val="18"/>
          <w:lang w:val="en-CA"/>
        </w:rPr>
        <w:t>Finta</w:t>
      </w:r>
      <w:proofErr w:type="spellEnd"/>
      <w:r w:rsidRPr="00AA6144">
        <w:rPr>
          <w:i/>
          <w:color w:val="auto"/>
          <w:szCs w:val="18"/>
          <w:lang w:val="en-CA"/>
        </w:rPr>
        <w:t xml:space="preserve"> </w:t>
      </w:r>
      <w:r w:rsidRPr="00AA6144">
        <w:rPr>
          <w:color w:val="auto"/>
          <w:szCs w:val="18"/>
          <w:lang w:val="en-CA"/>
        </w:rPr>
        <w:t>[1994] 1 SCR 701.</w:t>
      </w:r>
    </w:p>
    <w:p w14:paraId="64248551"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 v Forster</w:t>
      </w:r>
      <w:r w:rsidRPr="00AA6144">
        <w:rPr>
          <w:color w:val="auto"/>
          <w:szCs w:val="18"/>
          <w:lang w:val="en-CA"/>
        </w:rPr>
        <w:t>, [1992] 1 SCR 339.</w:t>
      </w:r>
    </w:p>
    <w:p w14:paraId="681B54C8"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v </w:t>
      </w:r>
      <w:proofErr w:type="spellStart"/>
      <w:r w:rsidRPr="00AA6144">
        <w:rPr>
          <w:i/>
          <w:color w:val="auto"/>
          <w:szCs w:val="18"/>
          <w:lang w:val="en-CA"/>
        </w:rPr>
        <w:t>Grujicic</w:t>
      </w:r>
      <w:proofErr w:type="spellEnd"/>
      <w:r w:rsidRPr="00AA6144">
        <w:rPr>
          <w:i/>
          <w:color w:val="auto"/>
          <w:szCs w:val="18"/>
          <w:lang w:val="en-CA"/>
        </w:rPr>
        <w:t xml:space="preserve">, </w:t>
      </w:r>
      <w:r w:rsidRPr="00AA6144">
        <w:rPr>
          <w:color w:val="auto"/>
          <w:szCs w:val="18"/>
          <w:lang w:val="en-CA"/>
        </w:rPr>
        <w:t>(1994) OJ 2280.</w:t>
      </w:r>
    </w:p>
    <w:p w14:paraId="7B906D1F"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v </w:t>
      </w:r>
      <w:proofErr w:type="spellStart"/>
      <w:r w:rsidRPr="00AA6144">
        <w:rPr>
          <w:i/>
          <w:color w:val="auto"/>
          <w:szCs w:val="18"/>
          <w:lang w:val="en-CA"/>
        </w:rPr>
        <w:t>Hape</w:t>
      </w:r>
      <w:proofErr w:type="spellEnd"/>
      <w:r w:rsidRPr="00AA6144">
        <w:rPr>
          <w:i/>
          <w:color w:val="auto"/>
          <w:szCs w:val="18"/>
          <w:lang w:val="en-CA"/>
        </w:rPr>
        <w:t xml:space="preserve">, </w:t>
      </w:r>
      <w:r w:rsidRPr="00AA6144">
        <w:rPr>
          <w:color w:val="auto"/>
          <w:szCs w:val="18"/>
          <w:lang w:val="en-CA"/>
        </w:rPr>
        <w:t>[2007] SCJ No 26,</w:t>
      </w:r>
      <w:r w:rsidRPr="00AA6144">
        <w:rPr>
          <w:i/>
          <w:color w:val="auto"/>
          <w:szCs w:val="18"/>
          <w:lang w:val="en-CA"/>
        </w:rPr>
        <w:t xml:space="preserve"> </w:t>
      </w:r>
      <w:r w:rsidRPr="00AA6144">
        <w:rPr>
          <w:color w:val="auto"/>
          <w:szCs w:val="18"/>
          <w:lang w:val="en-CA"/>
        </w:rPr>
        <w:t>[2007] 2 SCR 292.</w:t>
      </w:r>
    </w:p>
    <w:p w14:paraId="6EB730C0"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w:t>
      </w:r>
      <w:r w:rsidRPr="00AA6144">
        <w:rPr>
          <w:color w:val="auto"/>
          <w:szCs w:val="18"/>
          <w:lang w:val="en-CA"/>
        </w:rPr>
        <w:t xml:space="preserve"> v </w:t>
      </w:r>
      <w:r w:rsidRPr="00AA6144">
        <w:rPr>
          <w:i/>
          <w:color w:val="auto"/>
          <w:szCs w:val="18"/>
          <w:lang w:val="en-CA"/>
        </w:rPr>
        <w:t xml:space="preserve">Hartford and </w:t>
      </w:r>
      <w:proofErr w:type="spellStart"/>
      <w:r w:rsidRPr="00AA6144">
        <w:rPr>
          <w:i/>
          <w:color w:val="auto"/>
          <w:szCs w:val="18"/>
          <w:lang w:val="en-CA"/>
        </w:rPr>
        <w:t>Frigon</w:t>
      </w:r>
      <w:proofErr w:type="spellEnd"/>
      <w:r w:rsidRPr="00AA6144">
        <w:rPr>
          <w:color w:val="auto"/>
          <w:szCs w:val="18"/>
          <w:lang w:val="en-CA"/>
        </w:rPr>
        <w:t xml:space="preserve"> (1979) 51 CCC (2d) 462 (B-C CA).</w:t>
      </w:r>
    </w:p>
    <w:p w14:paraId="04D62493"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v Henry, </w:t>
      </w:r>
      <w:r w:rsidRPr="00AA6144">
        <w:rPr>
          <w:color w:val="auto"/>
          <w:szCs w:val="18"/>
          <w:lang w:val="en-CA"/>
        </w:rPr>
        <w:t>[2005] 3 SCR 609.</w:t>
      </w:r>
    </w:p>
    <w:p w14:paraId="2645C165" w14:textId="77777777" w:rsidR="00247EE8" w:rsidRPr="00AA6144" w:rsidRDefault="00247EE8" w:rsidP="00247EE8">
      <w:pPr>
        <w:spacing w:line="240" w:lineRule="auto"/>
        <w:ind w:hanging="357"/>
        <w:rPr>
          <w:color w:val="auto"/>
          <w:szCs w:val="18"/>
          <w:lang w:val="en-CA"/>
        </w:rPr>
      </w:pPr>
      <w:r w:rsidRPr="00AA6144">
        <w:rPr>
          <w:bCs/>
          <w:i/>
          <w:color w:val="auto"/>
          <w:szCs w:val="18"/>
          <w:lang w:val="en-CA"/>
        </w:rPr>
        <w:t xml:space="preserve">R v </w:t>
      </w:r>
      <w:proofErr w:type="spellStart"/>
      <w:r w:rsidRPr="00AA6144">
        <w:rPr>
          <w:bCs/>
          <w:i/>
          <w:color w:val="auto"/>
          <w:szCs w:val="18"/>
          <w:lang w:val="en-CA"/>
        </w:rPr>
        <w:t>Kienapple</w:t>
      </w:r>
      <w:proofErr w:type="spellEnd"/>
      <w:r w:rsidRPr="00AA6144">
        <w:rPr>
          <w:bCs/>
          <w:color w:val="auto"/>
          <w:szCs w:val="18"/>
          <w:lang w:val="en-CA"/>
        </w:rPr>
        <w:t xml:space="preserve"> (1974), SCJ no 76.</w:t>
      </w:r>
    </w:p>
    <w:p w14:paraId="5D18F6B0" w14:textId="77777777" w:rsidR="00247EE8" w:rsidRPr="007B53D3" w:rsidRDefault="00247EE8" w:rsidP="00247EE8">
      <w:pPr>
        <w:spacing w:line="240" w:lineRule="auto"/>
        <w:ind w:hanging="357"/>
        <w:rPr>
          <w:color w:val="auto"/>
          <w:szCs w:val="18"/>
          <w:lang w:val="fr-CA"/>
        </w:rPr>
      </w:pPr>
      <w:r w:rsidRPr="007B53D3">
        <w:rPr>
          <w:i/>
          <w:color w:val="auto"/>
          <w:szCs w:val="18"/>
          <w:lang w:val="fr-CA"/>
        </w:rPr>
        <w:t>R</w:t>
      </w:r>
      <w:r w:rsidRPr="007B53D3">
        <w:rPr>
          <w:color w:val="auto"/>
          <w:szCs w:val="18"/>
          <w:lang w:val="fr-CA"/>
        </w:rPr>
        <w:t xml:space="preserve"> v </w:t>
      </w:r>
      <w:r w:rsidRPr="007B53D3">
        <w:rPr>
          <w:i/>
          <w:color w:val="auto"/>
          <w:szCs w:val="18"/>
          <w:lang w:val="fr-CA"/>
        </w:rPr>
        <w:t>L (WK),</w:t>
      </w:r>
      <w:r w:rsidRPr="007B53D3">
        <w:rPr>
          <w:color w:val="auto"/>
          <w:szCs w:val="18"/>
          <w:lang w:val="fr-CA"/>
        </w:rPr>
        <w:t xml:space="preserve"> [1991] 1 SCR 1091.</w:t>
      </w:r>
    </w:p>
    <w:p w14:paraId="21BCA437" w14:textId="77777777" w:rsidR="00247EE8" w:rsidRPr="007B53D3" w:rsidRDefault="00247EE8" w:rsidP="00247EE8">
      <w:pPr>
        <w:pStyle w:val="FootnoteText"/>
        <w:spacing w:after="0" w:line="240" w:lineRule="auto"/>
        <w:ind w:hanging="357"/>
        <w:jc w:val="both"/>
        <w:rPr>
          <w:color w:val="auto"/>
          <w:sz w:val="18"/>
          <w:szCs w:val="18"/>
          <w:lang w:val="fr-CA"/>
        </w:rPr>
      </w:pPr>
      <w:r w:rsidRPr="007B53D3">
        <w:rPr>
          <w:i/>
          <w:color w:val="auto"/>
          <w:sz w:val="18"/>
          <w:szCs w:val="18"/>
          <w:lang w:val="fr-CA"/>
        </w:rPr>
        <w:t>R</w:t>
      </w:r>
      <w:r w:rsidRPr="007B53D3">
        <w:rPr>
          <w:color w:val="auto"/>
          <w:sz w:val="18"/>
          <w:szCs w:val="18"/>
          <w:lang w:val="fr-CA"/>
        </w:rPr>
        <w:t xml:space="preserve"> v </w:t>
      </w:r>
      <w:r w:rsidRPr="007B53D3">
        <w:rPr>
          <w:i/>
          <w:color w:val="auto"/>
          <w:sz w:val="18"/>
          <w:szCs w:val="18"/>
          <w:lang w:val="fr-CA"/>
        </w:rPr>
        <w:t>Li</w:t>
      </w:r>
      <w:r w:rsidRPr="007B53D3">
        <w:rPr>
          <w:color w:val="auto"/>
          <w:sz w:val="18"/>
          <w:szCs w:val="18"/>
          <w:lang w:val="fr-CA"/>
        </w:rPr>
        <w:t xml:space="preserve"> (2002), 162 CCC (3d) 360 (Ont CA).</w:t>
      </w:r>
    </w:p>
    <w:p w14:paraId="5CF4A97F" w14:textId="77777777" w:rsidR="00247EE8" w:rsidRPr="007B53D3" w:rsidRDefault="00247EE8" w:rsidP="00247EE8">
      <w:pPr>
        <w:pStyle w:val="FootnoteText"/>
        <w:spacing w:after="0" w:line="240" w:lineRule="auto"/>
        <w:ind w:hanging="357"/>
        <w:jc w:val="both"/>
        <w:rPr>
          <w:color w:val="auto"/>
          <w:sz w:val="18"/>
          <w:szCs w:val="18"/>
          <w:lang w:val="fr-CA"/>
        </w:rPr>
      </w:pPr>
    </w:p>
    <w:p w14:paraId="31174CF9" w14:textId="77777777" w:rsidR="00247EE8" w:rsidRPr="00AA6144" w:rsidRDefault="00247EE8" w:rsidP="00247EE8">
      <w:pPr>
        <w:spacing w:line="240" w:lineRule="auto"/>
        <w:ind w:hanging="357"/>
        <w:rPr>
          <w:rFonts w:eastAsia="Times-Roman" w:cs="Times-Roman"/>
          <w:bCs/>
          <w:color w:val="auto"/>
          <w:szCs w:val="18"/>
          <w:lang w:val="en-CA"/>
        </w:rPr>
      </w:pPr>
      <w:r w:rsidRPr="00AA6144">
        <w:rPr>
          <w:rFonts w:eastAsia="Times-Roman" w:cs="Times-Roman"/>
          <w:bCs/>
          <w:i/>
          <w:color w:val="auto"/>
          <w:szCs w:val="18"/>
          <w:lang w:val="en-CA"/>
        </w:rPr>
        <w:t>R v MacDonald</w:t>
      </w:r>
      <w:r w:rsidRPr="00AA6144">
        <w:rPr>
          <w:rFonts w:eastAsia="Times-Roman" w:cs="Times-Roman"/>
          <w:bCs/>
          <w:color w:val="auto"/>
          <w:szCs w:val="18"/>
          <w:lang w:val="en-CA"/>
        </w:rPr>
        <w:t>, 2014 SCC 3.</w:t>
      </w:r>
    </w:p>
    <w:p w14:paraId="65F0AC25" w14:textId="066AC841"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v </w:t>
      </w:r>
      <w:proofErr w:type="spellStart"/>
      <w:r w:rsidRPr="00AA6144">
        <w:rPr>
          <w:i/>
          <w:color w:val="auto"/>
          <w:szCs w:val="18"/>
          <w:lang w:val="en-CA"/>
        </w:rPr>
        <w:t>Mahalingan</w:t>
      </w:r>
      <w:proofErr w:type="spellEnd"/>
      <w:r w:rsidRPr="00AA6144">
        <w:rPr>
          <w:color w:val="auto"/>
          <w:szCs w:val="18"/>
          <w:lang w:val="en-CA"/>
        </w:rPr>
        <w:t>, [2008] 3 SCR 316.</w:t>
      </w:r>
    </w:p>
    <w:p w14:paraId="49911FE8" w14:textId="0304B58C" w:rsidR="00320005" w:rsidRPr="00AA6144" w:rsidRDefault="00320005" w:rsidP="00247EE8">
      <w:pPr>
        <w:spacing w:line="240" w:lineRule="auto"/>
        <w:ind w:hanging="357"/>
        <w:rPr>
          <w:color w:val="auto"/>
          <w:szCs w:val="18"/>
          <w:lang w:val="en-CA"/>
        </w:rPr>
      </w:pPr>
      <w:r w:rsidRPr="00AA6144">
        <w:rPr>
          <w:i/>
          <w:lang w:val="en-CA"/>
        </w:rPr>
        <w:t xml:space="preserve">R </w:t>
      </w:r>
      <w:r w:rsidR="00D03F73" w:rsidRPr="00AA6144">
        <w:rPr>
          <w:i/>
          <w:lang w:val="en-CA"/>
        </w:rPr>
        <w:t>v</w:t>
      </w:r>
      <w:r w:rsidRPr="00AA6144">
        <w:rPr>
          <w:i/>
          <w:lang w:val="en-CA"/>
        </w:rPr>
        <w:t xml:space="preserve"> </w:t>
      </w:r>
      <w:proofErr w:type="spellStart"/>
      <w:r w:rsidRPr="00AA6144">
        <w:rPr>
          <w:i/>
          <w:lang w:val="en-CA"/>
        </w:rPr>
        <w:t>Munyaneza</w:t>
      </w:r>
      <w:proofErr w:type="spellEnd"/>
      <w:r w:rsidRPr="00AA6144">
        <w:rPr>
          <w:i/>
          <w:lang w:val="en-CA"/>
        </w:rPr>
        <w:t xml:space="preserve"> </w:t>
      </w:r>
      <w:r w:rsidRPr="00AA6144">
        <w:rPr>
          <w:lang w:val="en-CA"/>
        </w:rPr>
        <w:t>(2014</w:t>
      </w:r>
      <w:proofErr w:type="gramStart"/>
      <w:r w:rsidRPr="00AA6144">
        <w:rPr>
          <w:lang w:val="en-CA"/>
        </w:rPr>
        <w:t>),QCCA</w:t>
      </w:r>
      <w:proofErr w:type="gramEnd"/>
      <w:r w:rsidRPr="00AA6144">
        <w:rPr>
          <w:lang w:val="en-CA"/>
        </w:rPr>
        <w:t xml:space="preserve"> 904.</w:t>
      </w:r>
    </w:p>
    <w:p w14:paraId="5D08F06A"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 v Pan; R v Sawyer,</w:t>
      </w:r>
      <w:r w:rsidRPr="00AA6144">
        <w:rPr>
          <w:color w:val="auto"/>
          <w:szCs w:val="18"/>
          <w:lang w:val="en-CA"/>
        </w:rPr>
        <w:t xml:space="preserve"> [2001] 2 SCR 344.</w:t>
      </w:r>
    </w:p>
    <w:p w14:paraId="3AFBFEB4"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v </w:t>
      </w:r>
      <w:proofErr w:type="spellStart"/>
      <w:r w:rsidRPr="00AA6144">
        <w:rPr>
          <w:i/>
          <w:color w:val="auto"/>
          <w:szCs w:val="18"/>
          <w:lang w:val="en-CA"/>
        </w:rPr>
        <w:t>Pappajohn</w:t>
      </w:r>
      <w:proofErr w:type="spellEnd"/>
      <w:r w:rsidRPr="00AA6144">
        <w:rPr>
          <w:i/>
          <w:color w:val="auto"/>
          <w:szCs w:val="18"/>
          <w:lang w:val="en-CA"/>
        </w:rPr>
        <w:t>,</w:t>
      </w:r>
      <w:r w:rsidRPr="00AA6144">
        <w:rPr>
          <w:color w:val="auto"/>
          <w:szCs w:val="18"/>
          <w:lang w:val="en-CA"/>
        </w:rPr>
        <w:t xml:space="preserve"> [1980] 2 SCR 120.</w:t>
      </w:r>
    </w:p>
    <w:p w14:paraId="70672451" w14:textId="77777777" w:rsidR="00247EE8" w:rsidRPr="00356280" w:rsidRDefault="00247EE8" w:rsidP="00247EE8">
      <w:pPr>
        <w:spacing w:line="240" w:lineRule="auto"/>
        <w:ind w:hanging="357"/>
        <w:rPr>
          <w:color w:val="auto"/>
          <w:szCs w:val="18"/>
          <w:lang w:val="es-AR"/>
        </w:rPr>
      </w:pPr>
      <w:r w:rsidRPr="00356280">
        <w:rPr>
          <w:i/>
          <w:color w:val="auto"/>
          <w:szCs w:val="18"/>
          <w:lang w:val="es-AR"/>
        </w:rPr>
        <w:t xml:space="preserve">R v </w:t>
      </w:r>
      <w:proofErr w:type="spellStart"/>
      <w:r w:rsidRPr="00356280">
        <w:rPr>
          <w:i/>
          <w:color w:val="auto"/>
          <w:szCs w:val="18"/>
          <w:lang w:val="es-AR"/>
        </w:rPr>
        <w:t>Parisien</w:t>
      </w:r>
      <w:proofErr w:type="spellEnd"/>
      <w:r w:rsidRPr="00356280">
        <w:rPr>
          <w:color w:val="auto"/>
          <w:szCs w:val="18"/>
          <w:lang w:val="es-AR"/>
        </w:rPr>
        <w:t>, [1988] SCJ No 49, [1988] 1 SCR 950.</w:t>
      </w:r>
    </w:p>
    <w:p w14:paraId="3FE92AF7"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 v Pawlowski</w:t>
      </w:r>
      <w:r w:rsidRPr="00AA6144">
        <w:rPr>
          <w:color w:val="auto"/>
          <w:szCs w:val="18"/>
          <w:lang w:val="en-CA"/>
        </w:rPr>
        <w:t>, (1993) 12 OR (3d) 709; 101 DLR (4</w:t>
      </w:r>
      <w:r w:rsidRPr="00AA6144">
        <w:rPr>
          <w:color w:val="auto"/>
          <w:szCs w:val="18"/>
          <w:vertAlign w:val="superscript"/>
          <w:lang w:val="en-CA"/>
        </w:rPr>
        <w:t>th</w:t>
      </w:r>
      <w:r w:rsidRPr="00AA6144">
        <w:rPr>
          <w:color w:val="auto"/>
          <w:szCs w:val="18"/>
          <w:lang w:val="en-CA"/>
        </w:rPr>
        <w:t>) 267 (ONCA).</w:t>
      </w:r>
    </w:p>
    <w:p w14:paraId="6F22232A"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 v Power,</w:t>
      </w:r>
      <w:r w:rsidRPr="00AA6144">
        <w:rPr>
          <w:color w:val="auto"/>
          <w:szCs w:val="18"/>
          <w:lang w:val="en-CA"/>
        </w:rPr>
        <w:t xml:space="preserve"> [1994] 1 SCR 601.</w:t>
      </w:r>
    </w:p>
    <w:p w14:paraId="0BABEF82"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v </w:t>
      </w:r>
      <w:proofErr w:type="spellStart"/>
      <w:r w:rsidRPr="00AA6144">
        <w:rPr>
          <w:i/>
          <w:color w:val="auto"/>
          <w:szCs w:val="18"/>
          <w:lang w:val="en-CA"/>
        </w:rPr>
        <w:t>Reistetter</w:t>
      </w:r>
      <w:proofErr w:type="spellEnd"/>
      <w:r w:rsidRPr="00AA6144">
        <w:rPr>
          <w:color w:val="auto"/>
          <w:szCs w:val="18"/>
          <w:lang w:val="en-CA"/>
        </w:rPr>
        <w:t>, (1990) OJ 2100.</w:t>
      </w:r>
    </w:p>
    <w:p w14:paraId="5E0FFB68"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R v </w:t>
      </w:r>
      <w:proofErr w:type="spellStart"/>
      <w:r w:rsidRPr="00AA6144">
        <w:rPr>
          <w:i/>
          <w:color w:val="auto"/>
          <w:szCs w:val="18"/>
          <w:lang w:val="en-CA"/>
        </w:rPr>
        <w:t>Ribic</w:t>
      </w:r>
      <w:proofErr w:type="spellEnd"/>
      <w:r w:rsidRPr="00AA6144">
        <w:rPr>
          <w:i/>
          <w:color w:val="auto"/>
          <w:szCs w:val="18"/>
          <w:lang w:val="en-CA"/>
        </w:rPr>
        <w:t xml:space="preserve">, </w:t>
      </w:r>
      <w:r w:rsidRPr="00AA6144">
        <w:rPr>
          <w:color w:val="auto"/>
          <w:szCs w:val="18"/>
          <w:lang w:val="en-CA"/>
        </w:rPr>
        <w:t>2008 ONCA 790.</w:t>
      </w:r>
    </w:p>
    <w:p w14:paraId="262CB2EE"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 v Riddle</w:t>
      </w:r>
      <w:r w:rsidRPr="00AA6144">
        <w:rPr>
          <w:color w:val="auto"/>
          <w:szCs w:val="18"/>
          <w:lang w:val="en-CA"/>
        </w:rPr>
        <w:t xml:space="preserve"> [1980] 1 SCR 380.</w:t>
      </w:r>
    </w:p>
    <w:p w14:paraId="1BD90864"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w:t>
      </w:r>
      <w:r w:rsidRPr="00AA6144">
        <w:rPr>
          <w:color w:val="auto"/>
          <w:szCs w:val="18"/>
          <w:lang w:val="en-CA"/>
        </w:rPr>
        <w:t xml:space="preserve"> v </w:t>
      </w:r>
      <w:proofErr w:type="spellStart"/>
      <w:r w:rsidRPr="00AA6144">
        <w:rPr>
          <w:i/>
          <w:color w:val="auto"/>
          <w:szCs w:val="18"/>
          <w:lang w:val="en-CA"/>
        </w:rPr>
        <w:t>Ruzic</w:t>
      </w:r>
      <w:proofErr w:type="spellEnd"/>
      <w:r w:rsidRPr="00AA6144">
        <w:rPr>
          <w:color w:val="auto"/>
          <w:szCs w:val="18"/>
          <w:lang w:val="en-CA"/>
        </w:rPr>
        <w:t xml:space="preserve"> (2001), 153 CCC (3d) 1 (SCC).</w:t>
      </w:r>
    </w:p>
    <w:p w14:paraId="70239315"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R</w:t>
      </w:r>
      <w:r w:rsidRPr="00AA6144">
        <w:rPr>
          <w:color w:val="auto"/>
          <w:szCs w:val="18"/>
          <w:lang w:val="en-CA"/>
        </w:rPr>
        <w:t xml:space="preserve"> v </w:t>
      </w:r>
      <w:r w:rsidRPr="00AA6144">
        <w:rPr>
          <w:i/>
          <w:color w:val="auto"/>
          <w:szCs w:val="18"/>
          <w:lang w:val="en-CA"/>
        </w:rPr>
        <w:t>Swain</w:t>
      </w:r>
      <w:r w:rsidRPr="00AA6144">
        <w:rPr>
          <w:color w:val="auto"/>
          <w:szCs w:val="18"/>
          <w:lang w:val="en-CA"/>
        </w:rPr>
        <w:t>, [1991] 1 SCR 933.</w:t>
      </w:r>
    </w:p>
    <w:p w14:paraId="1FCE73A8" w14:textId="77777777" w:rsidR="00247EE8" w:rsidRPr="00AA6144" w:rsidRDefault="00247EE8" w:rsidP="00247EE8">
      <w:pPr>
        <w:spacing w:line="240" w:lineRule="auto"/>
        <w:ind w:hanging="357"/>
        <w:rPr>
          <w:bCs/>
          <w:color w:val="auto"/>
          <w:szCs w:val="18"/>
          <w:lang w:val="en-CA"/>
        </w:rPr>
      </w:pPr>
      <w:r w:rsidRPr="00AA6144">
        <w:rPr>
          <w:bCs/>
          <w:i/>
          <w:color w:val="auto"/>
          <w:szCs w:val="18"/>
          <w:lang w:val="en-CA"/>
        </w:rPr>
        <w:t>R v Wigglesworth</w:t>
      </w:r>
      <w:r w:rsidRPr="00AA6144">
        <w:rPr>
          <w:bCs/>
          <w:color w:val="auto"/>
          <w:szCs w:val="18"/>
          <w:lang w:val="en-CA"/>
        </w:rPr>
        <w:t xml:space="preserve"> (1984), SJ no 204 SKCA.</w:t>
      </w:r>
    </w:p>
    <w:p w14:paraId="4E37C494" w14:textId="77777777" w:rsidR="00247EE8" w:rsidRPr="00AA6144" w:rsidRDefault="00247EE8" w:rsidP="00247EE8">
      <w:pPr>
        <w:spacing w:line="240" w:lineRule="auto"/>
        <w:ind w:hanging="357"/>
        <w:rPr>
          <w:rStyle w:val="tightinline"/>
          <w:color w:val="auto"/>
          <w:szCs w:val="18"/>
          <w:lang w:val="en-CA"/>
        </w:rPr>
      </w:pPr>
      <w:proofErr w:type="spellStart"/>
      <w:r w:rsidRPr="00AA6144">
        <w:rPr>
          <w:rStyle w:val="italic"/>
          <w:i/>
          <w:color w:val="auto"/>
          <w:szCs w:val="18"/>
          <w:lang w:val="en-CA"/>
        </w:rPr>
        <w:t>Raulin</w:t>
      </w:r>
      <w:proofErr w:type="spellEnd"/>
      <w:r w:rsidRPr="00AA6144">
        <w:rPr>
          <w:rStyle w:val="italic"/>
          <w:i/>
          <w:color w:val="auto"/>
          <w:szCs w:val="18"/>
          <w:lang w:val="en-CA"/>
        </w:rPr>
        <w:t xml:space="preserve"> v Fischer</w:t>
      </w:r>
      <w:r w:rsidRPr="00AA6144">
        <w:rPr>
          <w:rStyle w:val="tightinline"/>
          <w:color w:val="auto"/>
          <w:szCs w:val="18"/>
          <w:lang w:val="en-CA"/>
        </w:rPr>
        <w:t>, [1911] 2 KB 93</w:t>
      </w:r>
      <w:r w:rsidR="00BE1518" w:rsidRPr="00AA6144">
        <w:rPr>
          <w:rStyle w:val="tightinline"/>
          <w:color w:val="auto"/>
          <w:szCs w:val="18"/>
          <w:lang w:val="en-CA"/>
        </w:rPr>
        <w:t>.</w:t>
      </w:r>
    </w:p>
    <w:p w14:paraId="4C7D45B8" w14:textId="2C7EB486" w:rsidR="00247EE8" w:rsidRPr="00AA6144" w:rsidRDefault="00247EE8" w:rsidP="00247EE8">
      <w:pPr>
        <w:spacing w:line="240" w:lineRule="auto"/>
        <w:ind w:hanging="357"/>
        <w:rPr>
          <w:color w:val="auto"/>
          <w:szCs w:val="18"/>
          <w:lang w:val="en-CA"/>
        </w:rPr>
      </w:pPr>
      <w:r w:rsidRPr="00AA6144">
        <w:rPr>
          <w:i/>
          <w:color w:val="auto"/>
          <w:szCs w:val="18"/>
          <w:lang w:val="en-CA"/>
        </w:rPr>
        <w:t>Romania v Alexa</w:t>
      </w:r>
      <w:r w:rsidRPr="00AA6144">
        <w:rPr>
          <w:color w:val="auto"/>
          <w:szCs w:val="18"/>
          <w:lang w:val="en-CA"/>
        </w:rPr>
        <w:t>, [2009] OJ No 2568.</w:t>
      </w:r>
    </w:p>
    <w:p w14:paraId="13E03F6A" w14:textId="7993845F" w:rsidR="00320005" w:rsidRPr="00AA6144" w:rsidRDefault="00320005" w:rsidP="00247EE8">
      <w:pPr>
        <w:spacing w:line="240" w:lineRule="auto"/>
        <w:ind w:hanging="357"/>
        <w:rPr>
          <w:color w:val="auto"/>
          <w:szCs w:val="18"/>
          <w:lang w:val="en-CA"/>
        </w:rPr>
      </w:pPr>
      <w:r w:rsidRPr="00AA6144">
        <w:rPr>
          <w:i/>
          <w:szCs w:val="18"/>
          <w:lang w:val="en-CA"/>
        </w:rPr>
        <w:t>S.A. v Canada (Minister of Citizenship and Immigration)</w:t>
      </w:r>
      <w:r w:rsidR="00E0182A" w:rsidRPr="00AA6144">
        <w:rPr>
          <w:i/>
          <w:szCs w:val="18"/>
          <w:lang w:val="en-CA"/>
        </w:rPr>
        <w:t>,</w:t>
      </w:r>
      <w:r w:rsidRPr="00AA6144">
        <w:rPr>
          <w:szCs w:val="18"/>
          <w:lang w:val="en-CA"/>
        </w:rPr>
        <w:t xml:space="preserve"> (</w:t>
      </w:r>
      <w:r w:rsidRPr="00AA6144">
        <w:rPr>
          <w:rFonts w:ascii="-webkit-standard" w:hAnsi="-webkit-standard"/>
          <w:szCs w:val="18"/>
          <w:lang w:val="en-CA" w:eastAsia="en-US"/>
        </w:rPr>
        <w:t>2006)</w:t>
      </w:r>
      <w:r w:rsidR="00E0182A" w:rsidRPr="00AA6144">
        <w:rPr>
          <w:rFonts w:ascii="-webkit-standard" w:hAnsi="-webkit-standard"/>
          <w:szCs w:val="18"/>
          <w:lang w:val="en-CA" w:eastAsia="en-US"/>
        </w:rPr>
        <w:t xml:space="preserve"> </w:t>
      </w:r>
      <w:r w:rsidRPr="00AA6144">
        <w:rPr>
          <w:rFonts w:ascii="-webkit-standard" w:hAnsi="-webkit-standard"/>
          <w:szCs w:val="18"/>
          <w:lang w:val="en-CA" w:eastAsia="en-US"/>
        </w:rPr>
        <w:t>FC 515.</w:t>
      </w:r>
    </w:p>
    <w:p w14:paraId="705BFE35" w14:textId="35DF1E3B" w:rsidR="00320005" w:rsidRPr="00AA6144" w:rsidRDefault="00320005" w:rsidP="00247EE8">
      <w:pPr>
        <w:spacing w:line="240" w:lineRule="auto"/>
        <w:ind w:hanging="357"/>
        <w:rPr>
          <w:bCs/>
          <w:color w:val="auto"/>
          <w:szCs w:val="18"/>
          <w:lang w:val="en-CA"/>
        </w:rPr>
      </w:pPr>
      <w:proofErr w:type="spellStart"/>
      <w:r w:rsidRPr="00AA6144">
        <w:rPr>
          <w:rFonts w:ascii="Verdana" w:hAnsi="Verdana"/>
          <w:color w:val="212529"/>
          <w:sz w:val="16"/>
          <w:szCs w:val="16"/>
          <w:shd w:val="clear" w:color="auto" w:fill="FFFFFF"/>
          <w:lang w:val="en-CA" w:eastAsia="en-US"/>
        </w:rPr>
        <w:t>Sicuro</w:t>
      </w:r>
      <w:proofErr w:type="spellEnd"/>
      <w:r w:rsidRPr="00AA6144">
        <w:rPr>
          <w:rFonts w:ascii="Verdana" w:hAnsi="Verdana"/>
          <w:color w:val="212529"/>
          <w:sz w:val="16"/>
          <w:szCs w:val="16"/>
          <w:shd w:val="clear" w:color="auto" w:fill="FFFFFF"/>
          <w:lang w:val="en-CA" w:eastAsia="en-US"/>
        </w:rPr>
        <w:t xml:space="preserve"> v Canada (Minister of Citizenship and Immigration)</w:t>
      </w:r>
      <w:r w:rsidR="00E0182A" w:rsidRPr="00AA6144">
        <w:rPr>
          <w:rFonts w:ascii="Verdana" w:hAnsi="Verdana"/>
          <w:color w:val="212529"/>
          <w:sz w:val="16"/>
          <w:szCs w:val="16"/>
          <w:shd w:val="clear" w:color="auto" w:fill="FFFFFF"/>
          <w:lang w:val="en-CA" w:eastAsia="en-US"/>
        </w:rPr>
        <w:t>,</w:t>
      </w:r>
      <w:r w:rsidRPr="00AA6144">
        <w:rPr>
          <w:rFonts w:ascii="Verdana" w:hAnsi="Verdana"/>
          <w:color w:val="212529"/>
          <w:sz w:val="16"/>
          <w:szCs w:val="16"/>
          <w:shd w:val="clear" w:color="auto" w:fill="FFFFFF"/>
          <w:lang w:val="en-CA" w:eastAsia="en-US"/>
        </w:rPr>
        <w:t xml:space="preserve"> (2004) FC 461.</w:t>
      </w:r>
    </w:p>
    <w:p w14:paraId="7CE88985" w14:textId="77777777" w:rsidR="00247EE8" w:rsidRPr="00AA6144" w:rsidRDefault="00247EE8" w:rsidP="00247EE8">
      <w:pPr>
        <w:pStyle w:val="FootnoteText"/>
        <w:spacing w:after="0" w:line="240" w:lineRule="auto"/>
        <w:ind w:hanging="357"/>
        <w:jc w:val="both"/>
        <w:rPr>
          <w:color w:val="auto"/>
          <w:sz w:val="18"/>
          <w:szCs w:val="18"/>
          <w:lang w:val="en-CA"/>
        </w:rPr>
      </w:pPr>
      <w:r w:rsidRPr="00AA6144">
        <w:rPr>
          <w:i/>
          <w:color w:val="auto"/>
          <w:sz w:val="18"/>
          <w:szCs w:val="18"/>
          <w:lang w:val="en-CA"/>
        </w:rPr>
        <w:t>Smith</w:t>
      </w:r>
      <w:r w:rsidRPr="00AA6144">
        <w:rPr>
          <w:color w:val="auto"/>
          <w:sz w:val="18"/>
          <w:szCs w:val="18"/>
          <w:lang w:val="en-CA"/>
        </w:rPr>
        <w:t xml:space="preserve"> v </w:t>
      </w:r>
      <w:r w:rsidRPr="00AA6144">
        <w:rPr>
          <w:i/>
          <w:color w:val="auto"/>
          <w:sz w:val="18"/>
          <w:szCs w:val="18"/>
          <w:lang w:val="en-CA"/>
        </w:rPr>
        <w:t>Canada (Minister of Citizenship and Immigration)</w:t>
      </w:r>
      <w:r w:rsidRPr="00AA6144">
        <w:rPr>
          <w:color w:val="auto"/>
          <w:sz w:val="18"/>
          <w:szCs w:val="18"/>
          <w:lang w:val="en-CA"/>
        </w:rPr>
        <w:t>, [1998] 3 FC 144 (TD).</w:t>
      </w:r>
    </w:p>
    <w:p w14:paraId="7FF09FCF" w14:textId="77777777" w:rsidR="00247EE8" w:rsidRPr="00AA6144" w:rsidRDefault="00247EE8" w:rsidP="00247EE8">
      <w:pPr>
        <w:pStyle w:val="FootnoteText"/>
        <w:spacing w:after="0" w:line="240" w:lineRule="auto"/>
        <w:ind w:hanging="357"/>
        <w:jc w:val="both"/>
        <w:rPr>
          <w:color w:val="auto"/>
          <w:sz w:val="18"/>
          <w:szCs w:val="18"/>
          <w:lang w:val="en-CA"/>
        </w:rPr>
      </w:pPr>
    </w:p>
    <w:p w14:paraId="4D2FC900" w14:textId="77777777" w:rsidR="00247EE8" w:rsidRPr="00AA6144" w:rsidRDefault="00247EE8" w:rsidP="00247EE8">
      <w:pPr>
        <w:pStyle w:val="FootnoteText"/>
        <w:spacing w:after="0" w:line="240" w:lineRule="auto"/>
        <w:ind w:hanging="357"/>
        <w:jc w:val="both"/>
        <w:rPr>
          <w:color w:val="auto"/>
          <w:sz w:val="18"/>
          <w:szCs w:val="18"/>
          <w:lang w:val="en-CA"/>
        </w:rPr>
      </w:pPr>
      <w:proofErr w:type="spellStart"/>
      <w:r w:rsidRPr="00AA6144">
        <w:rPr>
          <w:i/>
          <w:color w:val="auto"/>
          <w:sz w:val="18"/>
          <w:szCs w:val="18"/>
          <w:lang w:val="en-CA"/>
        </w:rPr>
        <w:t>Sriskandarajah</w:t>
      </w:r>
      <w:proofErr w:type="spellEnd"/>
      <w:r w:rsidRPr="00AA6144">
        <w:rPr>
          <w:i/>
          <w:color w:val="auto"/>
          <w:sz w:val="18"/>
          <w:szCs w:val="18"/>
          <w:lang w:val="en-CA"/>
        </w:rPr>
        <w:t xml:space="preserve"> v. United States of America </w:t>
      </w:r>
      <w:r w:rsidRPr="00AA6144">
        <w:rPr>
          <w:color w:val="auto"/>
          <w:sz w:val="18"/>
          <w:szCs w:val="18"/>
          <w:lang w:val="en-CA"/>
        </w:rPr>
        <w:t>[2012] 3 SCR 609.</w:t>
      </w:r>
    </w:p>
    <w:p w14:paraId="3D3EE821" w14:textId="77777777" w:rsidR="00247EE8" w:rsidRPr="00AA6144" w:rsidRDefault="00247EE8" w:rsidP="00247EE8">
      <w:pPr>
        <w:pStyle w:val="FootnoteText"/>
        <w:spacing w:after="0" w:line="240" w:lineRule="auto"/>
        <w:ind w:hanging="357"/>
        <w:jc w:val="both"/>
        <w:rPr>
          <w:color w:val="auto"/>
          <w:sz w:val="18"/>
          <w:szCs w:val="18"/>
          <w:lang w:val="en-CA"/>
        </w:rPr>
      </w:pPr>
    </w:p>
    <w:p w14:paraId="315C1FBE" w14:textId="77777777" w:rsidR="00247EE8" w:rsidRPr="00AA6144" w:rsidRDefault="00247EE8" w:rsidP="00247EE8">
      <w:pPr>
        <w:pStyle w:val="FootnoteText"/>
        <w:spacing w:after="0" w:line="240" w:lineRule="auto"/>
        <w:ind w:hanging="357"/>
        <w:jc w:val="both"/>
        <w:rPr>
          <w:color w:val="auto"/>
          <w:sz w:val="18"/>
          <w:szCs w:val="18"/>
          <w:lang w:val="en-CA"/>
        </w:rPr>
      </w:pPr>
      <w:r w:rsidRPr="00AA6144">
        <w:rPr>
          <w:i/>
          <w:color w:val="auto"/>
          <w:sz w:val="18"/>
          <w:szCs w:val="18"/>
          <w:lang w:val="en-CA"/>
        </w:rPr>
        <w:t xml:space="preserve">Suresh v Canada (Minister of Citizenship and Immigration), </w:t>
      </w:r>
      <w:r w:rsidRPr="00AA6144">
        <w:rPr>
          <w:color w:val="auto"/>
          <w:sz w:val="18"/>
          <w:szCs w:val="18"/>
          <w:lang w:val="en-CA"/>
        </w:rPr>
        <w:t>2002 SCC 1, [2002] 1 SCR 3.</w:t>
      </w:r>
    </w:p>
    <w:p w14:paraId="363A8920" w14:textId="77777777" w:rsidR="00247EE8" w:rsidRPr="00AA6144" w:rsidRDefault="00247EE8" w:rsidP="00247EE8">
      <w:pPr>
        <w:pStyle w:val="FootnoteText"/>
        <w:spacing w:after="0" w:line="240" w:lineRule="auto"/>
        <w:ind w:hanging="357"/>
        <w:jc w:val="both"/>
        <w:rPr>
          <w:color w:val="auto"/>
          <w:sz w:val="18"/>
          <w:szCs w:val="18"/>
          <w:lang w:val="en-CA"/>
        </w:rPr>
      </w:pPr>
    </w:p>
    <w:p w14:paraId="7EAB66F0" w14:textId="77777777" w:rsidR="00247EE8" w:rsidRPr="00AA6144" w:rsidRDefault="00247EE8" w:rsidP="00247EE8">
      <w:pPr>
        <w:pStyle w:val="FootnoteText"/>
        <w:spacing w:after="0" w:line="240" w:lineRule="auto"/>
        <w:ind w:hanging="357"/>
        <w:jc w:val="both"/>
        <w:rPr>
          <w:color w:val="auto"/>
          <w:sz w:val="18"/>
          <w:szCs w:val="18"/>
          <w:lang w:val="en-CA"/>
        </w:rPr>
      </w:pPr>
      <w:r w:rsidRPr="00AA6144">
        <w:rPr>
          <w:i/>
          <w:color w:val="auto"/>
          <w:sz w:val="18"/>
          <w:szCs w:val="18"/>
          <w:lang w:val="en-CA"/>
        </w:rPr>
        <w:t>Therrien (Re)</w:t>
      </w:r>
      <w:r w:rsidRPr="00AA6144">
        <w:rPr>
          <w:color w:val="auto"/>
          <w:sz w:val="18"/>
          <w:szCs w:val="18"/>
          <w:lang w:val="en-CA"/>
        </w:rPr>
        <w:t>, [2001] 2 SCR 3, 2001 SCC 35.</w:t>
      </w:r>
    </w:p>
    <w:p w14:paraId="10990EFC" w14:textId="77777777" w:rsidR="00247EE8" w:rsidRPr="00AA6144" w:rsidRDefault="00247EE8" w:rsidP="00247EE8">
      <w:pPr>
        <w:pStyle w:val="FootnoteText"/>
        <w:spacing w:after="0" w:line="240" w:lineRule="auto"/>
        <w:ind w:hanging="357"/>
        <w:jc w:val="both"/>
        <w:rPr>
          <w:color w:val="auto"/>
          <w:sz w:val="18"/>
          <w:szCs w:val="18"/>
          <w:lang w:val="en-CA"/>
        </w:rPr>
      </w:pPr>
    </w:p>
    <w:p w14:paraId="5AE08E85" w14:textId="77777777" w:rsidR="00247EE8" w:rsidRPr="00AA6144" w:rsidRDefault="00247EE8" w:rsidP="00247EE8">
      <w:pPr>
        <w:spacing w:line="240" w:lineRule="auto"/>
        <w:ind w:hanging="357"/>
        <w:rPr>
          <w:color w:val="auto"/>
          <w:szCs w:val="18"/>
          <w:lang w:val="en-CA"/>
        </w:rPr>
      </w:pPr>
      <w:proofErr w:type="spellStart"/>
      <w:r w:rsidRPr="00AA6144">
        <w:rPr>
          <w:i/>
          <w:color w:val="auto"/>
          <w:szCs w:val="18"/>
          <w:lang w:val="en-CA"/>
        </w:rPr>
        <w:t>Tolofson</w:t>
      </w:r>
      <w:proofErr w:type="spellEnd"/>
      <w:r w:rsidRPr="00AA6144">
        <w:rPr>
          <w:i/>
          <w:color w:val="auto"/>
          <w:szCs w:val="18"/>
          <w:lang w:val="en-CA"/>
        </w:rPr>
        <w:t xml:space="preserve"> v Jensen, </w:t>
      </w:r>
      <w:r w:rsidRPr="00AA6144">
        <w:rPr>
          <w:color w:val="auto"/>
          <w:szCs w:val="18"/>
          <w:lang w:val="en-CA"/>
        </w:rPr>
        <w:t>[1994] 3 SCR 1022.</w:t>
      </w:r>
    </w:p>
    <w:p w14:paraId="73C86E43"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United States of America v </w:t>
      </w:r>
      <w:proofErr w:type="spellStart"/>
      <w:r w:rsidRPr="00AA6144">
        <w:rPr>
          <w:i/>
          <w:color w:val="auto"/>
          <w:szCs w:val="18"/>
          <w:lang w:val="en-CA"/>
        </w:rPr>
        <w:t>Anekwu</w:t>
      </w:r>
      <w:proofErr w:type="spellEnd"/>
      <w:r w:rsidRPr="00AA6144">
        <w:rPr>
          <w:color w:val="auto"/>
          <w:szCs w:val="18"/>
          <w:lang w:val="en-CA"/>
        </w:rPr>
        <w:t xml:space="preserve"> [2009] 3 SCR 3.</w:t>
      </w:r>
    </w:p>
    <w:p w14:paraId="6B3AFA65"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United States of America v </w:t>
      </w:r>
      <w:proofErr w:type="spellStart"/>
      <w:r w:rsidRPr="00AA6144">
        <w:rPr>
          <w:i/>
          <w:color w:val="auto"/>
          <w:szCs w:val="18"/>
          <w:lang w:val="en-CA"/>
        </w:rPr>
        <w:t>Ferras</w:t>
      </w:r>
      <w:proofErr w:type="spellEnd"/>
      <w:r w:rsidRPr="00AA6144">
        <w:rPr>
          <w:i/>
          <w:color w:val="auto"/>
          <w:szCs w:val="18"/>
          <w:lang w:val="en-CA"/>
        </w:rPr>
        <w:t xml:space="preserve">; United States of America v </w:t>
      </w:r>
      <w:proofErr w:type="spellStart"/>
      <w:r w:rsidRPr="00AA6144">
        <w:rPr>
          <w:i/>
          <w:color w:val="auto"/>
          <w:szCs w:val="18"/>
          <w:lang w:val="en-CA"/>
        </w:rPr>
        <w:t>Latty</w:t>
      </w:r>
      <w:proofErr w:type="spellEnd"/>
      <w:r w:rsidRPr="00AA6144">
        <w:rPr>
          <w:color w:val="auto"/>
          <w:szCs w:val="18"/>
          <w:lang w:val="en-CA"/>
        </w:rPr>
        <w:t>, 2006 SCC 33, [2006] 2 SCR 77.</w:t>
      </w:r>
    </w:p>
    <w:p w14:paraId="50A4F0D9"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United States of America</w:t>
      </w:r>
      <w:r w:rsidRPr="00AA6144">
        <w:rPr>
          <w:color w:val="auto"/>
          <w:szCs w:val="18"/>
          <w:lang w:val="en-CA"/>
        </w:rPr>
        <w:t xml:space="preserve"> v </w:t>
      </w:r>
      <w:r w:rsidRPr="00AA6144">
        <w:rPr>
          <w:i/>
          <w:color w:val="auto"/>
          <w:szCs w:val="18"/>
          <w:lang w:val="en-CA"/>
        </w:rPr>
        <w:t>Kwok</w:t>
      </w:r>
      <w:r w:rsidRPr="00AA6144">
        <w:rPr>
          <w:color w:val="auto"/>
          <w:szCs w:val="18"/>
          <w:lang w:val="en-CA"/>
        </w:rPr>
        <w:t>, [2001] 1 RCS 532.</w:t>
      </w:r>
    </w:p>
    <w:p w14:paraId="62B88DEC"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United States v Burns</w:t>
      </w:r>
      <w:r w:rsidRPr="00AA6144">
        <w:rPr>
          <w:color w:val="auto"/>
          <w:szCs w:val="18"/>
          <w:lang w:val="en-CA"/>
        </w:rPr>
        <w:t>, [2001] 1 SCR 283, [2001] SCJ No 8, 2001 SCC 7.</w:t>
      </w:r>
    </w:p>
    <w:p w14:paraId="5D296F73" w14:textId="77777777" w:rsidR="00247EE8" w:rsidRPr="00AA6144" w:rsidRDefault="00247EE8" w:rsidP="00247EE8">
      <w:pPr>
        <w:spacing w:line="240" w:lineRule="auto"/>
        <w:ind w:hanging="357"/>
        <w:rPr>
          <w:color w:val="auto"/>
          <w:szCs w:val="18"/>
          <w:lang w:val="en-CA"/>
        </w:rPr>
      </w:pPr>
      <w:r w:rsidRPr="00AA6144">
        <w:rPr>
          <w:rStyle w:val="verdana"/>
          <w:i/>
          <w:color w:val="auto"/>
          <w:szCs w:val="18"/>
          <w:lang w:val="en-CA"/>
        </w:rPr>
        <w:t xml:space="preserve">United States v </w:t>
      </w:r>
      <w:proofErr w:type="spellStart"/>
      <w:r w:rsidRPr="00AA6144">
        <w:rPr>
          <w:rStyle w:val="verdana"/>
          <w:i/>
          <w:color w:val="auto"/>
          <w:szCs w:val="18"/>
          <w:lang w:val="en-CA"/>
        </w:rPr>
        <w:t>Cotroni</w:t>
      </w:r>
      <w:proofErr w:type="spellEnd"/>
      <w:r w:rsidRPr="00AA6144">
        <w:rPr>
          <w:rStyle w:val="verdana"/>
          <w:i/>
          <w:color w:val="auto"/>
          <w:szCs w:val="18"/>
          <w:lang w:val="en-CA"/>
        </w:rPr>
        <w:t>,</w:t>
      </w:r>
      <w:r w:rsidRPr="00AA6144">
        <w:rPr>
          <w:rStyle w:val="verdana"/>
          <w:color w:val="auto"/>
          <w:szCs w:val="18"/>
          <w:lang w:val="en-CA"/>
        </w:rPr>
        <w:t xml:space="preserve"> </w:t>
      </w:r>
      <w:r w:rsidRPr="00AA6144">
        <w:rPr>
          <w:color w:val="auto"/>
          <w:szCs w:val="18"/>
          <w:lang w:val="en-CA"/>
        </w:rPr>
        <w:t>[1989] 1 SCR 1469, [1989] SCJ No 56.</w:t>
      </w:r>
    </w:p>
    <w:p w14:paraId="19A56B04"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United States v Dhillon [No 2]</w:t>
      </w:r>
      <w:r w:rsidRPr="00AA6144">
        <w:rPr>
          <w:color w:val="auto"/>
          <w:szCs w:val="18"/>
          <w:lang w:val="en-CA"/>
        </w:rPr>
        <w:t>, [2009] OJ No 1129, 2009 ONCE 247 (</w:t>
      </w:r>
      <w:proofErr w:type="spellStart"/>
      <w:r w:rsidRPr="00AA6144">
        <w:rPr>
          <w:color w:val="auto"/>
          <w:szCs w:val="18"/>
          <w:lang w:val="en-CA"/>
        </w:rPr>
        <w:t>Ont</w:t>
      </w:r>
      <w:proofErr w:type="spellEnd"/>
      <w:r w:rsidRPr="00AA6144">
        <w:rPr>
          <w:color w:val="auto"/>
          <w:szCs w:val="18"/>
          <w:lang w:val="en-CA"/>
        </w:rPr>
        <w:t xml:space="preserve"> CA).</w:t>
      </w:r>
    </w:p>
    <w:p w14:paraId="7A0742EE"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United States v </w:t>
      </w:r>
      <w:proofErr w:type="spellStart"/>
      <w:r w:rsidRPr="00AA6144">
        <w:rPr>
          <w:i/>
          <w:color w:val="auto"/>
          <w:szCs w:val="18"/>
          <w:lang w:val="en-CA"/>
        </w:rPr>
        <w:t>Gorcyca</w:t>
      </w:r>
      <w:proofErr w:type="spellEnd"/>
      <w:r w:rsidRPr="00AA6144">
        <w:rPr>
          <w:color w:val="auto"/>
          <w:szCs w:val="18"/>
          <w:lang w:val="en-CA"/>
        </w:rPr>
        <w:t xml:space="preserve">, [2007] OJ No 395, 216 CCC (3d) 403, 73 </w:t>
      </w:r>
      <w:proofErr w:type="spellStart"/>
      <w:r w:rsidRPr="00AA6144">
        <w:rPr>
          <w:color w:val="auto"/>
          <w:szCs w:val="18"/>
          <w:lang w:val="en-CA"/>
        </w:rPr>
        <w:t>Wcb</w:t>
      </w:r>
      <w:proofErr w:type="spellEnd"/>
      <w:r w:rsidRPr="00AA6144">
        <w:rPr>
          <w:color w:val="auto"/>
          <w:szCs w:val="18"/>
          <w:lang w:val="en-CA"/>
        </w:rPr>
        <w:t xml:space="preserve"> (2d) 120 (</w:t>
      </w:r>
      <w:proofErr w:type="spellStart"/>
      <w:r w:rsidRPr="00AA6144">
        <w:rPr>
          <w:color w:val="auto"/>
          <w:szCs w:val="18"/>
          <w:lang w:val="en-CA"/>
        </w:rPr>
        <w:t>Ont</w:t>
      </w:r>
      <w:proofErr w:type="spellEnd"/>
      <w:r w:rsidRPr="00AA6144">
        <w:rPr>
          <w:color w:val="auto"/>
          <w:szCs w:val="18"/>
          <w:lang w:val="en-CA"/>
        </w:rPr>
        <w:t xml:space="preserve"> CA).</w:t>
      </w:r>
    </w:p>
    <w:p w14:paraId="039F936F"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United States v Ivey</w:t>
      </w:r>
      <w:r w:rsidRPr="00AA6144">
        <w:rPr>
          <w:color w:val="auto"/>
          <w:szCs w:val="18"/>
          <w:lang w:val="en-CA"/>
        </w:rPr>
        <w:t>, 26 OR (3d) 533, [1995] OJ No 3579.</w:t>
      </w:r>
    </w:p>
    <w:p w14:paraId="1BE7BD41"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United States v </w:t>
      </w:r>
      <w:proofErr w:type="spellStart"/>
      <w:r w:rsidRPr="00AA6144">
        <w:rPr>
          <w:i/>
          <w:color w:val="auto"/>
          <w:szCs w:val="18"/>
          <w:lang w:val="en-CA"/>
        </w:rPr>
        <w:t>Prudenza</w:t>
      </w:r>
      <w:proofErr w:type="spellEnd"/>
      <w:r w:rsidRPr="00AA6144">
        <w:rPr>
          <w:color w:val="auto"/>
          <w:szCs w:val="18"/>
          <w:lang w:val="en-CA"/>
        </w:rPr>
        <w:t>, [2006] OJ No 4321 (</w:t>
      </w:r>
      <w:proofErr w:type="spellStart"/>
      <w:r w:rsidRPr="00AA6144">
        <w:rPr>
          <w:color w:val="auto"/>
          <w:szCs w:val="18"/>
          <w:lang w:val="en-CA"/>
        </w:rPr>
        <w:t>Ont</w:t>
      </w:r>
      <w:proofErr w:type="spellEnd"/>
      <w:r w:rsidRPr="00AA6144">
        <w:rPr>
          <w:color w:val="auto"/>
          <w:szCs w:val="18"/>
          <w:lang w:val="en-CA"/>
        </w:rPr>
        <w:t xml:space="preserve"> CA), leave to appeal to SCC </w:t>
      </w:r>
      <w:proofErr w:type="gramStart"/>
      <w:r w:rsidRPr="00AA6144">
        <w:rPr>
          <w:color w:val="auto"/>
          <w:szCs w:val="18"/>
          <w:lang w:val="en-CA"/>
        </w:rPr>
        <w:t>ref’d</w:t>
      </w:r>
      <w:proofErr w:type="gramEnd"/>
      <w:r w:rsidRPr="00AA6144">
        <w:rPr>
          <w:color w:val="auto"/>
          <w:szCs w:val="18"/>
          <w:lang w:val="en-CA"/>
        </w:rPr>
        <w:t xml:space="preserve"> [2007] SCCA No 418 (SCC).</w:t>
      </w:r>
    </w:p>
    <w:p w14:paraId="2454155F" w14:textId="77777777" w:rsidR="00247EE8" w:rsidRPr="00AA6144" w:rsidRDefault="00247EE8" w:rsidP="00247EE8">
      <w:pPr>
        <w:spacing w:line="240" w:lineRule="auto"/>
        <w:ind w:hanging="357"/>
        <w:rPr>
          <w:rStyle w:val="bold"/>
          <w:color w:val="auto"/>
          <w:szCs w:val="18"/>
          <w:lang w:val="en-CA"/>
        </w:rPr>
      </w:pPr>
      <w:r w:rsidRPr="00AA6144">
        <w:rPr>
          <w:i/>
          <w:color w:val="auto"/>
          <w:szCs w:val="18"/>
          <w:lang w:val="en-CA"/>
        </w:rPr>
        <w:t>United States v Shull [No 3]</w:t>
      </w:r>
      <w:r w:rsidRPr="00AA6144">
        <w:rPr>
          <w:color w:val="auto"/>
          <w:szCs w:val="18"/>
          <w:lang w:val="en-CA"/>
        </w:rPr>
        <w:t>, [2007] BCJ No 2506, 2007 BCSC 1681, 76 WCB (2d) 255 (BCSC).</w:t>
      </w:r>
    </w:p>
    <w:p w14:paraId="48C49E2D" w14:textId="77777777" w:rsidR="00247EE8" w:rsidRPr="00AA6144" w:rsidRDefault="00247EE8" w:rsidP="00247EE8">
      <w:pPr>
        <w:spacing w:line="240" w:lineRule="auto"/>
        <w:ind w:hanging="357"/>
        <w:rPr>
          <w:rStyle w:val="bold"/>
          <w:color w:val="auto"/>
          <w:szCs w:val="18"/>
          <w:lang w:val="en-CA"/>
        </w:rPr>
      </w:pPr>
      <w:r w:rsidRPr="00AA6144">
        <w:rPr>
          <w:rStyle w:val="bold"/>
          <w:i/>
          <w:color w:val="auto"/>
          <w:szCs w:val="18"/>
          <w:lang w:val="en-CA"/>
        </w:rPr>
        <w:t>United States v Sosa</w:t>
      </w:r>
      <w:r w:rsidRPr="00AA6144">
        <w:rPr>
          <w:rStyle w:val="bold"/>
          <w:color w:val="auto"/>
          <w:szCs w:val="18"/>
          <w:lang w:val="en-CA"/>
        </w:rPr>
        <w:t>, 2011 ABQB 534, [2011] 521 AR 356.</w:t>
      </w:r>
    </w:p>
    <w:p w14:paraId="39F4F4D2"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United States v Weber</w:t>
      </w:r>
      <w:r w:rsidRPr="00AA6144">
        <w:rPr>
          <w:color w:val="auto"/>
          <w:szCs w:val="18"/>
          <w:lang w:val="en-CA"/>
        </w:rPr>
        <w:t>, [2004] OJ No 1971 (</w:t>
      </w:r>
      <w:proofErr w:type="spellStart"/>
      <w:r w:rsidRPr="00AA6144">
        <w:rPr>
          <w:color w:val="auto"/>
          <w:szCs w:val="18"/>
          <w:lang w:val="en-CA"/>
        </w:rPr>
        <w:t>Ont</w:t>
      </w:r>
      <w:proofErr w:type="spellEnd"/>
      <w:r w:rsidRPr="00AA6144">
        <w:rPr>
          <w:color w:val="auto"/>
          <w:szCs w:val="18"/>
          <w:lang w:val="en-CA"/>
        </w:rPr>
        <w:t xml:space="preserve"> SCJ).</w:t>
      </w:r>
    </w:p>
    <w:p w14:paraId="0560F947"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 xml:space="preserve">USA v Leonard </w:t>
      </w:r>
      <w:r w:rsidRPr="00AA6144">
        <w:rPr>
          <w:color w:val="auto"/>
          <w:szCs w:val="18"/>
          <w:lang w:val="en-CA"/>
        </w:rPr>
        <w:t>2012 ONCA 622.</w:t>
      </w:r>
    </w:p>
    <w:p w14:paraId="7447DC3A"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Van Breda v Village Resorts Limited</w:t>
      </w:r>
      <w:r w:rsidRPr="00AA6144">
        <w:rPr>
          <w:color w:val="auto"/>
          <w:szCs w:val="18"/>
          <w:lang w:val="en-CA"/>
        </w:rPr>
        <w:t>, 2012 SCC 17, [2012] 1 SCR 572, SCJ No 17.</w:t>
      </w:r>
    </w:p>
    <w:p w14:paraId="03D88932" w14:textId="77777777" w:rsidR="00247EE8" w:rsidRPr="00AA6144" w:rsidRDefault="00247EE8" w:rsidP="00247EE8">
      <w:pPr>
        <w:spacing w:line="240" w:lineRule="auto"/>
        <w:ind w:hanging="357"/>
        <w:rPr>
          <w:color w:val="auto"/>
          <w:szCs w:val="18"/>
          <w:lang w:val="en-CA"/>
        </w:rPr>
      </w:pPr>
      <w:proofErr w:type="spellStart"/>
      <w:r w:rsidRPr="00AA6144">
        <w:rPr>
          <w:i/>
          <w:color w:val="auto"/>
          <w:szCs w:val="18"/>
          <w:lang w:val="en-CA"/>
        </w:rPr>
        <w:t>Vriend</w:t>
      </w:r>
      <w:proofErr w:type="spellEnd"/>
      <w:r w:rsidRPr="00AA6144">
        <w:rPr>
          <w:i/>
          <w:color w:val="auto"/>
          <w:szCs w:val="18"/>
          <w:lang w:val="en-CA"/>
        </w:rPr>
        <w:t xml:space="preserve"> v Alberta</w:t>
      </w:r>
      <w:r w:rsidRPr="00AA6144">
        <w:rPr>
          <w:color w:val="auto"/>
          <w:szCs w:val="18"/>
          <w:lang w:val="en-CA"/>
        </w:rPr>
        <w:t>, [1998] 1 SCR 493.</w:t>
      </w:r>
    </w:p>
    <w:p w14:paraId="2513FAD6"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Zhang v Canada (Attorney General)</w:t>
      </w:r>
      <w:r w:rsidRPr="00AA6144">
        <w:rPr>
          <w:color w:val="auto"/>
          <w:szCs w:val="18"/>
          <w:lang w:val="en-CA"/>
        </w:rPr>
        <w:t>, 2006 FC 276 (available on CanLII), 139 CRR (2d) 137.</w:t>
      </w:r>
    </w:p>
    <w:p w14:paraId="0A8ABC03" w14:textId="77777777" w:rsidR="00247EE8" w:rsidRPr="00AA6144" w:rsidRDefault="00247EE8" w:rsidP="00247EE8">
      <w:pPr>
        <w:spacing w:line="240" w:lineRule="auto"/>
        <w:ind w:hanging="357"/>
        <w:rPr>
          <w:color w:val="auto"/>
          <w:szCs w:val="18"/>
          <w:lang w:val="en-CA"/>
        </w:rPr>
      </w:pPr>
      <w:r w:rsidRPr="00AA6144">
        <w:rPr>
          <w:i/>
          <w:color w:val="auto"/>
          <w:szCs w:val="18"/>
          <w:lang w:val="en-CA"/>
        </w:rPr>
        <w:t>Zhang v Canada (Attorney General)</w:t>
      </w:r>
      <w:r w:rsidRPr="00AA6144">
        <w:rPr>
          <w:color w:val="auto"/>
          <w:szCs w:val="18"/>
          <w:lang w:val="en-CA"/>
        </w:rPr>
        <w:t>, 2007 FCA 201 (available on CanLII), 365 NR 277.</w:t>
      </w:r>
    </w:p>
    <w:p w14:paraId="075B7185" w14:textId="77777777" w:rsidR="00247EE8" w:rsidRPr="00AA6144" w:rsidRDefault="00247EE8" w:rsidP="00247EE8">
      <w:pPr>
        <w:spacing w:line="240" w:lineRule="auto"/>
        <w:ind w:hanging="357"/>
        <w:rPr>
          <w:color w:val="auto"/>
          <w:szCs w:val="18"/>
          <w:lang w:val="en-CA"/>
        </w:rPr>
      </w:pPr>
      <w:proofErr w:type="spellStart"/>
      <w:r w:rsidRPr="00AA6144">
        <w:rPr>
          <w:i/>
          <w:color w:val="auto"/>
          <w:szCs w:val="18"/>
          <w:lang w:val="en-CA"/>
        </w:rPr>
        <w:t>Zschiegner</w:t>
      </w:r>
      <w:proofErr w:type="spellEnd"/>
      <w:r w:rsidRPr="00AA6144">
        <w:rPr>
          <w:i/>
          <w:color w:val="auto"/>
          <w:szCs w:val="18"/>
          <w:lang w:val="en-CA"/>
        </w:rPr>
        <w:t xml:space="preserve"> v USA</w:t>
      </w:r>
      <w:r w:rsidRPr="00AA6144">
        <w:rPr>
          <w:color w:val="auto"/>
          <w:szCs w:val="18"/>
          <w:lang w:val="en-CA"/>
        </w:rPr>
        <w:t>, [2001] NSCA 74.</w:t>
      </w:r>
    </w:p>
    <w:p w14:paraId="5A1EB828" w14:textId="77777777" w:rsidR="00BE1518" w:rsidRPr="00AA6144" w:rsidRDefault="00BE1518">
      <w:pPr>
        <w:widowControl/>
        <w:suppressAutoHyphens w:val="0"/>
        <w:spacing w:after="0" w:line="240" w:lineRule="auto"/>
        <w:rPr>
          <w:color w:val="auto"/>
          <w:lang w:val="en-CA"/>
        </w:rPr>
      </w:pPr>
      <w:r w:rsidRPr="00AA6144">
        <w:rPr>
          <w:color w:val="auto"/>
          <w:lang w:val="en-CA"/>
        </w:rPr>
        <w:br w:type="page"/>
      </w:r>
    </w:p>
    <w:p w14:paraId="678BC340" w14:textId="77777777" w:rsidR="00247EE8" w:rsidRPr="00AA6144" w:rsidRDefault="00247EE8" w:rsidP="00971925">
      <w:pPr>
        <w:rPr>
          <w:color w:val="auto"/>
          <w:lang w:val="en-CA"/>
        </w:rPr>
      </w:pPr>
    </w:p>
    <w:p w14:paraId="77CE5D97" w14:textId="77777777" w:rsidR="00991F0E" w:rsidRPr="00AA6144" w:rsidRDefault="00991F0E" w:rsidP="00EF610D">
      <w:pPr>
        <w:jc w:val="center"/>
        <w:rPr>
          <w:sz w:val="24"/>
          <w:lang w:val="en-CA"/>
        </w:rPr>
      </w:pPr>
      <w:bookmarkStart w:id="331" w:name="_Toc220954506"/>
      <w:r w:rsidRPr="00AA6144">
        <w:rPr>
          <w:sz w:val="24"/>
          <w:lang w:val="en-CA"/>
        </w:rPr>
        <w:t>GOVERNMENT DOCUMENTS</w:t>
      </w:r>
      <w:bookmarkEnd w:id="331"/>
    </w:p>
    <w:p w14:paraId="42E966E9" w14:textId="77777777" w:rsidR="00366E57" w:rsidRPr="00AA6144" w:rsidRDefault="00366E57" w:rsidP="00366E57">
      <w:pPr>
        <w:spacing w:after="0" w:line="240" w:lineRule="auto"/>
        <w:ind w:left="357" w:hanging="357"/>
        <w:rPr>
          <w:color w:val="auto"/>
          <w:szCs w:val="18"/>
          <w:lang w:val="en-CA"/>
        </w:rPr>
      </w:pPr>
    </w:p>
    <w:p w14:paraId="0F1DD8A2" w14:textId="77777777" w:rsidR="00366E57" w:rsidRPr="00AA6144" w:rsidRDefault="00366E57" w:rsidP="00366E57">
      <w:pPr>
        <w:spacing w:after="0" w:line="240" w:lineRule="auto"/>
        <w:ind w:left="357" w:hanging="357"/>
        <w:rPr>
          <w:color w:val="auto"/>
          <w:szCs w:val="18"/>
          <w:lang w:val="en-CA"/>
        </w:rPr>
      </w:pPr>
      <w:r w:rsidRPr="00AA6144">
        <w:rPr>
          <w:color w:val="auto"/>
          <w:szCs w:val="18"/>
          <w:lang w:val="en-CA"/>
        </w:rPr>
        <w:t xml:space="preserve">Canada Border Services Agency et al, </w:t>
      </w:r>
      <w:r w:rsidRPr="00AA6144">
        <w:rPr>
          <w:i/>
          <w:color w:val="auto"/>
          <w:szCs w:val="18"/>
          <w:lang w:val="en-CA"/>
        </w:rPr>
        <w:t>12th Report: Canada’s Program on Crimes Against Humanity and War Crimes 2008-2011</w:t>
      </w:r>
      <w:r w:rsidRPr="00AA6144">
        <w:rPr>
          <w:color w:val="auto"/>
          <w:szCs w:val="18"/>
          <w:lang w:val="en-CA"/>
        </w:rPr>
        <w:t>, online: Canada Border Services Agency &lt;http://cbsa.gc.ca/security-securite/wc-cg/bsf5039-eng.pdf&gt;.</w:t>
      </w:r>
    </w:p>
    <w:p w14:paraId="070C661E" w14:textId="77777777" w:rsidR="00366E57" w:rsidRPr="00AA6144" w:rsidRDefault="00366E57" w:rsidP="00366E57">
      <w:pPr>
        <w:spacing w:after="0" w:line="240" w:lineRule="auto"/>
        <w:ind w:left="357" w:hanging="357"/>
        <w:rPr>
          <w:color w:val="auto"/>
          <w:szCs w:val="18"/>
          <w:lang w:val="en-CA"/>
        </w:rPr>
      </w:pPr>
    </w:p>
    <w:p w14:paraId="01B64746" w14:textId="77777777" w:rsidR="00366E57" w:rsidRPr="00AA6144" w:rsidRDefault="00366E57" w:rsidP="00366E57">
      <w:pPr>
        <w:spacing w:after="0" w:line="240" w:lineRule="auto"/>
        <w:ind w:left="357" w:hanging="357"/>
        <w:rPr>
          <w:bCs/>
          <w:color w:val="auto"/>
          <w:szCs w:val="18"/>
          <w:lang w:val="en-CA"/>
        </w:rPr>
      </w:pPr>
      <w:r w:rsidRPr="00AA6144">
        <w:rPr>
          <w:color w:val="auto"/>
          <w:szCs w:val="18"/>
          <w:lang w:val="en-CA"/>
        </w:rPr>
        <w:t xml:space="preserve">Canada Border Services Agency et al., </w:t>
      </w:r>
      <w:r w:rsidRPr="00AA6144">
        <w:rPr>
          <w:bCs/>
          <w:i/>
          <w:color w:val="auto"/>
          <w:szCs w:val="18"/>
          <w:lang w:val="en-CA"/>
        </w:rPr>
        <w:t>Eleventh Annual Report: Canada’s Program on Crimes Against Humanity and War Crimes, 2007-2008</w:t>
      </w:r>
      <w:r w:rsidRPr="00AA6144">
        <w:rPr>
          <w:bCs/>
          <w:color w:val="auto"/>
          <w:szCs w:val="18"/>
          <w:lang w:val="en-CA"/>
        </w:rPr>
        <w:t xml:space="preserve"> (Ottawa: Canada Border Services Agency et al., 2008).</w:t>
      </w:r>
    </w:p>
    <w:p w14:paraId="48D8E8A6" w14:textId="77777777" w:rsidR="00366E57" w:rsidRPr="00AA6144" w:rsidRDefault="00366E57" w:rsidP="00366E57">
      <w:pPr>
        <w:spacing w:after="0" w:line="240" w:lineRule="auto"/>
        <w:ind w:left="357" w:hanging="357"/>
        <w:rPr>
          <w:bCs/>
          <w:color w:val="auto"/>
          <w:szCs w:val="18"/>
          <w:lang w:val="en-CA"/>
        </w:rPr>
      </w:pPr>
    </w:p>
    <w:p w14:paraId="44620631" w14:textId="77777777" w:rsidR="00366E57" w:rsidRPr="00AA6144" w:rsidRDefault="00366E57" w:rsidP="00366E57">
      <w:pPr>
        <w:spacing w:after="0" w:line="240" w:lineRule="auto"/>
        <w:ind w:left="357" w:hanging="357"/>
        <w:rPr>
          <w:color w:val="auto"/>
          <w:szCs w:val="18"/>
          <w:lang w:val="en-CA"/>
        </w:rPr>
      </w:pPr>
      <w:r w:rsidRPr="00AA6144">
        <w:rPr>
          <w:color w:val="auto"/>
          <w:szCs w:val="18"/>
          <w:lang w:val="en-CA"/>
        </w:rPr>
        <w:t>Canadian Department of Justice,</w:t>
      </w:r>
      <w:r w:rsidRPr="00AA6144">
        <w:rPr>
          <w:i/>
          <w:color w:val="auto"/>
          <w:szCs w:val="18"/>
          <w:lang w:val="en-CA"/>
        </w:rPr>
        <w:t xml:space="preserve"> Victims Fund</w:t>
      </w:r>
      <w:r w:rsidRPr="00AA6144">
        <w:rPr>
          <w:color w:val="auto"/>
          <w:szCs w:val="18"/>
          <w:lang w:val="en-CA"/>
        </w:rPr>
        <w:t>, online: Government of Canada, Department of Justice &lt;http://www.justice.gc.ca/eng/pi/pb-dgp/prog/vf-fv.html&gt;.</w:t>
      </w:r>
    </w:p>
    <w:p w14:paraId="7F946721" w14:textId="77777777" w:rsidR="00366E57" w:rsidRPr="00AA6144" w:rsidRDefault="00366E57" w:rsidP="00366E57">
      <w:pPr>
        <w:spacing w:after="0" w:line="240" w:lineRule="auto"/>
        <w:ind w:left="357" w:hanging="357"/>
        <w:rPr>
          <w:color w:val="auto"/>
          <w:szCs w:val="18"/>
          <w:lang w:val="en-CA"/>
        </w:rPr>
      </w:pPr>
    </w:p>
    <w:p w14:paraId="7B455B50" w14:textId="77777777" w:rsidR="00366E57" w:rsidRPr="00AA6144" w:rsidRDefault="00366E57" w:rsidP="00366E57">
      <w:pPr>
        <w:spacing w:after="0" w:line="240" w:lineRule="auto"/>
        <w:ind w:left="357" w:hanging="357"/>
        <w:rPr>
          <w:color w:val="auto"/>
          <w:szCs w:val="18"/>
          <w:lang w:val="en-CA"/>
        </w:rPr>
      </w:pPr>
      <w:r w:rsidRPr="00AA6144">
        <w:rPr>
          <w:color w:val="auto"/>
          <w:szCs w:val="18"/>
          <w:lang w:val="en-CA"/>
        </w:rPr>
        <w:t>Canadian Department of Justice,</w:t>
      </w:r>
      <w:r w:rsidRPr="00AA6144">
        <w:rPr>
          <w:i/>
          <w:color w:val="auto"/>
          <w:szCs w:val="18"/>
          <w:lang w:val="en-CA"/>
        </w:rPr>
        <w:t xml:space="preserve"> War Crimes and Crimes Against Humanity</w:t>
      </w:r>
      <w:r w:rsidRPr="00AA6144">
        <w:rPr>
          <w:color w:val="auto"/>
          <w:szCs w:val="18"/>
          <w:lang w:val="en-CA"/>
        </w:rPr>
        <w:t>, online: Canadian Department of Justice &lt;http://canada.justice.gc.ca/eng/cj-jp/wc-cdg/index.html&gt;.</w:t>
      </w:r>
    </w:p>
    <w:p w14:paraId="2ECD15DB" w14:textId="77777777" w:rsidR="00366E57" w:rsidRPr="00AA6144" w:rsidRDefault="00366E57" w:rsidP="00366E57">
      <w:pPr>
        <w:spacing w:after="0" w:line="240" w:lineRule="auto"/>
        <w:ind w:left="357" w:hanging="357"/>
        <w:rPr>
          <w:color w:val="auto"/>
          <w:szCs w:val="18"/>
          <w:lang w:val="en-CA"/>
        </w:rPr>
      </w:pPr>
    </w:p>
    <w:p w14:paraId="0CCC4DE6" w14:textId="77777777" w:rsidR="00366E57" w:rsidRPr="00AA6144" w:rsidRDefault="00366E57" w:rsidP="00366E57">
      <w:pPr>
        <w:pStyle w:val="FootnoteText"/>
        <w:spacing w:after="0" w:line="240" w:lineRule="auto"/>
        <w:ind w:left="357" w:hanging="357"/>
        <w:rPr>
          <w:color w:val="auto"/>
          <w:sz w:val="18"/>
          <w:szCs w:val="18"/>
          <w:lang w:val="en-CA"/>
        </w:rPr>
      </w:pPr>
      <w:r w:rsidRPr="00AA6144">
        <w:rPr>
          <w:color w:val="auto"/>
          <w:sz w:val="18"/>
          <w:szCs w:val="18"/>
          <w:lang w:val="en-CA"/>
        </w:rPr>
        <w:t xml:space="preserve">Citizenship and Immigration Canada, </w:t>
      </w:r>
      <w:r w:rsidRPr="00AA6144">
        <w:rPr>
          <w:i/>
          <w:color w:val="auto"/>
          <w:sz w:val="18"/>
          <w:szCs w:val="18"/>
          <w:lang w:val="en-CA"/>
        </w:rPr>
        <w:t>ENF-18 War crimes and crimes against humanity</w:t>
      </w:r>
      <w:r w:rsidRPr="00AA6144">
        <w:rPr>
          <w:color w:val="auto"/>
          <w:sz w:val="18"/>
          <w:szCs w:val="18"/>
          <w:lang w:val="en-CA"/>
        </w:rPr>
        <w:t>, online: Citizenship and Immigration Canada &lt;http://www.cic.gc.ca/english/resources/manuals/enf/enf18-eng.pdf&gt;.</w:t>
      </w:r>
    </w:p>
    <w:p w14:paraId="14D53425" w14:textId="77777777" w:rsidR="00366E57" w:rsidRPr="00AA6144" w:rsidRDefault="00366E57" w:rsidP="00366E57">
      <w:pPr>
        <w:pStyle w:val="FootnoteText"/>
        <w:spacing w:after="0" w:line="240" w:lineRule="auto"/>
        <w:ind w:left="357" w:hanging="357"/>
        <w:rPr>
          <w:color w:val="auto"/>
          <w:sz w:val="18"/>
          <w:szCs w:val="18"/>
          <w:lang w:val="en-CA"/>
        </w:rPr>
      </w:pPr>
    </w:p>
    <w:p w14:paraId="523E1CC6" w14:textId="77777777" w:rsidR="00366E57" w:rsidRPr="00AA6144" w:rsidRDefault="00366E57" w:rsidP="00366E57">
      <w:pPr>
        <w:spacing w:after="0" w:line="240" w:lineRule="auto"/>
        <w:ind w:left="357" w:hanging="357"/>
        <w:rPr>
          <w:color w:val="auto"/>
          <w:szCs w:val="18"/>
          <w:lang w:val="en-CA"/>
        </w:rPr>
      </w:pPr>
      <w:proofErr w:type="gramStart"/>
      <w:r w:rsidRPr="00AA6144">
        <w:rPr>
          <w:color w:val="auto"/>
          <w:szCs w:val="18"/>
          <w:lang w:val="en-CA"/>
        </w:rPr>
        <w:t>Court Martial Appeal Court of Canada,</w:t>
      </w:r>
      <w:proofErr w:type="gramEnd"/>
      <w:r w:rsidRPr="00AA6144">
        <w:rPr>
          <w:color w:val="auto"/>
          <w:szCs w:val="18"/>
          <w:lang w:val="en-CA"/>
        </w:rPr>
        <w:t xml:space="preserve"> </w:t>
      </w:r>
      <w:r w:rsidRPr="00AA6144">
        <w:rPr>
          <w:i/>
          <w:color w:val="auto"/>
          <w:szCs w:val="18"/>
          <w:lang w:val="en-CA"/>
        </w:rPr>
        <w:t>Appeals From Courts Martial</w:t>
      </w:r>
      <w:r w:rsidRPr="00AA6144">
        <w:rPr>
          <w:color w:val="auto"/>
          <w:szCs w:val="18"/>
          <w:lang w:val="en-CA"/>
        </w:rPr>
        <w:t>, online: Court Martial Appeal Court of Canada &lt;http://www.cmac-cacm.ca/business/military_law4_e.shtml&gt;.</w:t>
      </w:r>
    </w:p>
    <w:p w14:paraId="33E2ADA6" w14:textId="77777777" w:rsidR="00366E57" w:rsidRPr="00AA6144" w:rsidRDefault="00366E57" w:rsidP="00366E57">
      <w:pPr>
        <w:spacing w:after="0" w:line="240" w:lineRule="auto"/>
        <w:ind w:left="357" w:hanging="357"/>
        <w:rPr>
          <w:color w:val="auto"/>
          <w:szCs w:val="18"/>
          <w:lang w:val="en-CA"/>
        </w:rPr>
      </w:pPr>
    </w:p>
    <w:p w14:paraId="1A2C8B5B" w14:textId="77777777" w:rsidR="00366E57" w:rsidRPr="00AA6144" w:rsidRDefault="00366E57" w:rsidP="00366E57">
      <w:pPr>
        <w:spacing w:after="0" w:line="240" w:lineRule="auto"/>
        <w:ind w:left="357" w:hanging="357"/>
        <w:rPr>
          <w:color w:val="auto"/>
          <w:szCs w:val="18"/>
          <w:lang w:val="en-CA"/>
        </w:rPr>
      </w:pPr>
      <w:r w:rsidRPr="00AA6144">
        <w:rPr>
          <w:color w:val="auto"/>
          <w:szCs w:val="18"/>
          <w:lang w:val="en-CA"/>
        </w:rPr>
        <w:t xml:space="preserve">David Goetz, Parliamentary Research Branch, Law and Government Division, </w:t>
      </w:r>
      <w:r w:rsidRPr="00AA6144">
        <w:rPr>
          <w:i/>
          <w:color w:val="auto"/>
          <w:szCs w:val="18"/>
          <w:lang w:val="en-CA"/>
        </w:rPr>
        <w:t>Bill C-19: Crimes Against Humanity Act, LS-230E</w:t>
      </w:r>
      <w:r w:rsidRPr="00AA6144">
        <w:rPr>
          <w:color w:val="auto"/>
          <w:szCs w:val="18"/>
          <w:lang w:val="en-CA"/>
        </w:rPr>
        <w:t>, 5 April 2000, online: Government of Canada Publications &lt;http://publications.gc.ca/Collection-R/LoPBdP/LS/362/c19-e.htm&gt;.</w:t>
      </w:r>
    </w:p>
    <w:p w14:paraId="39EAD190" w14:textId="77777777" w:rsidR="00366E57" w:rsidRPr="00AA6144" w:rsidRDefault="00366E57" w:rsidP="00366E57">
      <w:pPr>
        <w:spacing w:after="0" w:line="240" w:lineRule="auto"/>
        <w:ind w:left="357" w:hanging="357"/>
        <w:rPr>
          <w:color w:val="auto"/>
          <w:szCs w:val="18"/>
          <w:lang w:val="en-CA"/>
        </w:rPr>
      </w:pPr>
    </w:p>
    <w:p w14:paraId="0076614D" w14:textId="77777777" w:rsidR="00366E57" w:rsidRPr="00AA6144" w:rsidRDefault="00366E57" w:rsidP="00366E57">
      <w:pPr>
        <w:spacing w:after="0" w:line="240" w:lineRule="auto"/>
        <w:ind w:left="357" w:hanging="357"/>
        <w:rPr>
          <w:color w:val="auto"/>
          <w:szCs w:val="18"/>
          <w:lang w:val="en-CA"/>
        </w:rPr>
      </w:pPr>
      <w:r w:rsidRPr="00AA6144">
        <w:rPr>
          <w:color w:val="auto"/>
          <w:szCs w:val="18"/>
          <w:lang w:val="en-CA"/>
        </w:rPr>
        <w:t xml:space="preserve">Department of Justice Canada, </w:t>
      </w:r>
      <w:r w:rsidRPr="00AA6144">
        <w:rPr>
          <w:i/>
          <w:color w:val="auto"/>
          <w:szCs w:val="18"/>
          <w:lang w:val="en-CA"/>
        </w:rPr>
        <w:t>Canadian Statement of Basic Principles of Justice for Victims of Crime</w:t>
      </w:r>
      <w:r w:rsidRPr="00AA6144">
        <w:rPr>
          <w:color w:val="auto"/>
          <w:szCs w:val="18"/>
          <w:lang w:val="en-CA"/>
        </w:rPr>
        <w:t xml:space="preserve"> (2003), online: Department of Justice Canada &lt;http://www.justice.gc.ca/eng/pi/pcvi-cpcv/pub/03/princ.html&gt;.</w:t>
      </w:r>
    </w:p>
    <w:p w14:paraId="587F6E3C" w14:textId="77777777" w:rsidR="00366E57" w:rsidRPr="00AA6144" w:rsidRDefault="00366E57" w:rsidP="00366E57">
      <w:pPr>
        <w:spacing w:after="0" w:line="240" w:lineRule="auto"/>
        <w:ind w:left="357" w:hanging="357"/>
        <w:rPr>
          <w:color w:val="auto"/>
          <w:szCs w:val="18"/>
          <w:lang w:val="en-CA"/>
        </w:rPr>
      </w:pPr>
    </w:p>
    <w:p w14:paraId="2BB4D488" w14:textId="77777777" w:rsidR="00366E57" w:rsidRPr="00AA6144" w:rsidRDefault="00366E57" w:rsidP="00366E57">
      <w:pPr>
        <w:spacing w:after="0" w:line="240" w:lineRule="auto"/>
        <w:ind w:left="357" w:hanging="357"/>
        <w:rPr>
          <w:color w:val="auto"/>
          <w:szCs w:val="18"/>
          <w:lang w:val="en-CA"/>
        </w:rPr>
      </w:pPr>
      <w:r w:rsidRPr="00AA6144">
        <w:rPr>
          <w:color w:val="auto"/>
          <w:szCs w:val="18"/>
          <w:lang w:val="en-CA"/>
        </w:rPr>
        <w:t xml:space="preserve">Department of Justice Canada, </w:t>
      </w:r>
      <w:r w:rsidRPr="00AA6144">
        <w:rPr>
          <w:i/>
          <w:color w:val="auto"/>
          <w:szCs w:val="18"/>
          <w:lang w:val="en-CA"/>
        </w:rPr>
        <w:t xml:space="preserve">Crimes against humanity and war crimes program – Summative evaluation (Final report) </w:t>
      </w:r>
      <w:r w:rsidRPr="00AA6144">
        <w:rPr>
          <w:color w:val="auto"/>
          <w:szCs w:val="18"/>
          <w:lang w:val="en-CA"/>
        </w:rPr>
        <w:t>(Ottawa: Evaluation Division, Office of Strategic Planning and Performance Management, 2008) online: &lt;http://www.justice.gc.ca/eng/pi/eval/rep-rap/08/war-guerre/war.pdf&gt;.</w:t>
      </w:r>
    </w:p>
    <w:p w14:paraId="534A3774" w14:textId="77777777" w:rsidR="00366E57" w:rsidRPr="00AA6144" w:rsidRDefault="00366E57" w:rsidP="00366E57">
      <w:pPr>
        <w:spacing w:after="0" w:line="240" w:lineRule="auto"/>
        <w:ind w:left="357" w:hanging="357"/>
        <w:rPr>
          <w:color w:val="auto"/>
          <w:szCs w:val="18"/>
          <w:lang w:val="en-CA"/>
        </w:rPr>
      </w:pPr>
    </w:p>
    <w:p w14:paraId="613E3302" w14:textId="137CBCD7" w:rsidR="00366E57" w:rsidRPr="00AA6144" w:rsidRDefault="00366E57" w:rsidP="00366E57">
      <w:pPr>
        <w:spacing w:after="0" w:line="240" w:lineRule="auto"/>
        <w:ind w:left="357" w:hanging="357"/>
        <w:rPr>
          <w:bCs/>
          <w:color w:val="auto"/>
          <w:szCs w:val="18"/>
          <w:lang w:val="en-CA"/>
        </w:rPr>
      </w:pPr>
      <w:r w:rsidRPr="00AA6144">
        <w:rPr>
          <w:bCs/>
          <w:color w:val="auto"/>
          <w:szCs w:val="18"/>
          <w:lang w:val="en-CA"/>
        </w:rPr>
        <w:t xml:space="preserve">Department of Justice Canada, </w:t>
      </w:r>
      <w:r w:rsidRPr="00AA6144">
        <w:rPr>
          <w:bCs/>
          <w:i/>
          <w:color w:val="auto"/>
          <w:szCs w:val="18"/>
          <w:lang w:val="en-CA"/>
        </w:rPr>
        <w:t>Final Report: Crimes Against Humanity and War Crimes Program Summative Evaluation</w:t>
      </w:r>
      <w:r w:rsidRPr="00AA6144">
        <w:rPr>
          <w:bCs/>
          <w:color w:val="auto"/>
          <w:szCs w:val="18"/>
          <w:lang w:val="en-CA"/>
        </w:rPr>
        <w:t xml:space="preserve"> (Ottawa: </w:t>
      </w:r>
      <w:r w:rsidR="0077043E" w:rsidRPr="00AA6144">
        <w:rPr>
          <w:bCs/>
          <w:color w:val="auto"/>
          <w:szCs w:val="18"/>
          <w:lang w:val="en-CA"/>
        </w:rPr>
        <w:t xml:space="preserve">Evaluation Division Office of Strategic Planning and Performance Management, </w:t>
      </w:r>
      <w:r w:rsidRPr="00AA6144">
        <w:rPr>
          <w:bCs/>
          <w:color w:val="auto"/>
          <w:szCs w:val="18"/>
          <w:lang w:val="en-CA"/>
        </w:rPr>
        <w:t>2008).</w:t>
      </w:r>
    </w:p>
    <w:p w14:paraId="0D3C5737" w14:textId="77777777" w:rsidR="0077043E" w:rsidRPr="00AA6144" w:rsidRDefault="0077043E" w:rsidP="00366E57">
      <w:pPr>
        <w:spacing w:after="0" w:line="240" w:lineRule="auto"/>
        <w:ind w:left="357" w:hanging="357"/>
        <w:rPr>
          <w:bCs/>
          <w:color w:val="auto"/>
          <w:szCs w:val="18"/>
          <w:lang w:val="en-CA"/>
        </w:rPr>
      </w:pPr>
    </w:p>
    <w:p w14:paraId="7C6E7CC4" w14:textId="4895B996" w:rsidR="0077043E" w:rsidRPr="00AA6144" w:rsidRDefault="0077043E" w:rsidP="00366E57">
      <w:pPr>
        <w:spacing w:after="0" w:line="240" w:lineRule="auto"/>
        <w:ind w:left="357" w:hanging="357"/>
        <w:rPr>
          <w:bCs/>
          <w:color w:val="auto"/>
          <w:szCs w:val="18"/>
          <w:lang w:val="en-CA"/>
        </w:rPr>
      </w:pPr>
      <w:r w:rsidRPr="00AA6144">
        <w:rPr>
          <w:lang w:val="en-CA"/>
        </w:rPr>
        <w:t xml:space="preserve">Department of Justice, </w:t>
      </w:r>
      <w:r w:rsidRPr="00AA6144">
        <w:rPr>
          <w:i/>
          <w:lang w:val="en-CA"/>
        </w:rPr>
        <w:t>Crimes Against Humanity and War Crimes Program Evaluation: Final Report</w:t>
      </w:r>
      <w:r w:rsidRPr="00AA6144">
        <w:rPr>
          <w:lang w:val="en-CA"/>
        </w:rPr>
        <w:t>, (Ottawa: Evaluation Division Corporate Services Branch, 2016).</w:t>
      </w:r>
    </w:p>
    <w:p w14:paraId="2A37B3B6" w14:textId="77777777" w:rsidR="00366E57" w:rsidRPr="00AA6144" w:rsidRDefault="00366E57" w:rsidP="00366E57">
      <w:pPr>
        <w:spacing w:after="0" w:line="240" w:lineRule="auto"/>
        <w:ind w:left="357" w:hanging="357"/>
        <w:rPr>
          <w:bCs/>
          <w:color w:val="auto"/>
          <w:szCs w:val="18"/>
          <w:lang w:val="en-CA"/>
        </w:rPr>
      </w:pPr>
    </w:p>
    <w:p w14:paraId="35F61ABE" w14:textId="77777777" w:rsidR="00366E57" w:rsidRPr="00AA6144" w:rsidRDefault="00366E57" w:rsidP="00366E57">
      <w:pPr>
        <w:spacing w:after="0" w:line="240" w:lineRule="auto"/>
        <w:ind w:left="357" w:hanging="357"/>
        <w:rPr>
          <w:color w:val="auto"/>
          <w:szCs w:val="18"/>
          <w:lang w:val="en-CA"/>
        </w:rPr>
      </w:pPr>
      <w:r w:rsidRPr="00AA6144">
        <w:rPr>
          <w:color w:val="auto"/>
          <w:szCs w:val="18"/>
          <w:lang w:val="en-CA"/>
        </w:rPr>
        <w:t xml:space="preserve">Federal Ombudsman for Victims of Crime, </w:t>
      </w:r>
      <w:r w:rsidRPr="00AA6144">
        <w:rPr>
          <w:i/>
          <w:color w:val="auto"/>
          <w:szCs w:val="18"/>
          <w:lang w:val="en-CA"/>
        </w:rPr>
        <w:t>Victims’ rights in Canada</w:t>
      </w:r>
      <w:r w:rsidRPr="00AA6144">
        <w:rPr>
          <w:color w:val="auto"/>
          <w:szCs w:val="18"/>
          <w:lang w:val="en-CA"/>
        </w:rPr>
        <w:t>, online: Federal Ombudsman for Victims of Crime &lt;http://www.victimsfirst.gc.ca/serv/wvr-qdv.html&gt;.</w:t>
      </w:r>
    </w:p>
    <w:p w14:paraId="3D6CCBC2" w14:textId="77777777" w:rsidR="00366E57" w:rsidRPr="00AA6144" w:rsidRDefault="00366E57" w:rsidP="00366E57">
      <w:pPr>
        <w:spacing w:after="0" w:line="240" w:lineRule="auto"/>
        <w:ind w:left="357" w:hanging="357"/>
        <w:rPr>
          <w:color w:val="auto"/>
          <w:szCs w:val="18"/>
          <w:lang w:val="en-CA"/>
        </w:rPr>
      </w:pPr>
    </w:p>
    <w:p w14:paraId="11D19810" w14:textId="77777777" w:rsidR="00366E57" w:rsidRPr="00AA6144" w:rsidRDefault="00366E57" w:rsidP="00366E57">
      <w:pPr>
        <w:pStyle w:val="FootnoteText"/>
        <w:spacing w:after="0" w:line="240" w:lineRule="auto"/>
        <w:ind w:left="357" w:hanging="357"/>
        <w:rPr>
          <w:color w:val="auto"/>
          <w:sz w:val="18"/>
          <w:szCs w:val="18"/>
          <w:lang w:val="en-CA"/>
        </w:rPr>
      </w:pPr>
      <w:r w:rsidRPr="00AA6144">
        <w:rPr>
          <w:color w:val="auto"/>
          <w:sz w:val="18"/>
          <w:szCs w:val="18"/>
          <w:lang w:val="en-CA"/>
        </w:rPr>
        <w:t xml:space="preserve">Foreign Affairs, Trade and Development Canada, </w:t>
      </w:r>
      <w:r w:rsidRPr="00AA6144">
        <w:rPr>
          <w:i/>
          <w:color w:val="auto"/>
          <w:sz w:val="18"/>
          <w:szCs w:val="18"/>
          <w:lang w:val="en-CA"/>
        </w:rPr>
        <w:t>Canada’s Crimes Against Humanity and War Crimes Act</w:t>
      </w:r>
      <w:r w:rsidRPr="00AA6144">
        <w:rPr>
          <w:color w:val="auto"/>
          <w:sz w:val="18"/>
          <w:szCs w:val="18"/>
          <w:lang w:val="en-CA"/>
        </w:rPr>
        <w:t>, online: Foreign Affairs, Trade and Development Canada &lt;www.international.gc.ca/court-cour/war-crimes-guerres.aspx?view=d&gt;.</w:t>
      </w:r>
    </w:p>
    <w:p w14:paraId="30C35556" w14:textId="77777777" w:rsidR="00366E57" w:rsidRPr="00AA6144" w:rsidRDefault="00366E57" w:rsidP="00366E57">
      <w:pPr>
        <w:pStyle w:val="FootnoteText"/>
        <w:spacing w:after="0" w:line="240" w:lineRule="auto"/>
        <w:ind w:left="357" w:hanging="357"/>
        <w:rPr>
          <w:color w:val="auto"/>
          <w:sz w:val="18"/>
          <w:szCs w:val="18"/>
          <w:lang w:val="en-CA"/>
        </w:rPr>
      </w:pPr>
    </w:p>
    <w:p w14:paraId="50AD8E92" w14:textId="4088E1CA" w:rsidR="00366E57" w:rsidRDefault="00366E57" w:rsidP="00366E57">
      <w:pPr>
        <w:spacing w:after="0" w:line="240" w:lineRule="auto"/>
        <w:ind w:left="357" w:hanging="357"/>
        <w:rPr>
          <w:rStyle w:val="tightinline"/>
          <w:color w:val="auto"/>
          <w:szCs w:val="18"/>
          <w:lang w:val="en-CA"/>
        </w:rPr>
      </w:pPr>
      <w:r w:rsidRPr="00AA6144">
        <w:rPr>
          <w:rStyle w:val="tightinline"/>
          <w:color w:val="auto"/>
          <w:szCs w:val="18"/>
          <w:lang w:val="en-CA"/>
        </w:rPr>
        <w:t xml:space="preserve">Government of Canada, </w:t>
      </w:r>
      <w:r w:rsidRPr="00AA6144">
        <w:rPr>
          <w:rStyle w:val="tightinline"/>
          <w:i/>
          <w:color w:val="auto"/>
          <w:szCs w:val="18"/>
          <w:lang w:val="en-CA"/>
        </w:rPr>
        <w:t>Canada’s list of bilateral and multilateral conventions,</w:t>
      </w:r>
      <w:r w:rsidRPr="00AA6144">
        <w:rPr>
          <w:rStyle w:val="tightinline"/>
          <w:color w:val="auto"/>
          <w:szCs w:val="18"/>
          <w:lang w:val="en-CA"/>
        </w:rPr>
        <w:t xml:space="preserve"> online: Canada Treaty Information &lt;http://www.treaty-accord.gc.ca&gt;.  </w:t>
      </w:r>
    </w:p>
    <w:p w14:paraId="5E4AEA28" w14:textId="7B05F052" w:rsidR="00D751E8" w:rsidRDefault="00D751E8" w:rsidP="00366E57">
      <w:pPr>
        <w:spacing w:after="0" w:line="240" w:lineRule="auto"/>
        <w:ind w:left="357" w:hanging="357"/>
        <w:rPr>
          <w:rStyle w:val="tightinline"/>
          <w:color w:val="auto"/>
          <w:szCs w:val="18"/>
          <w:lang w:val="en-CA"/>
        </w:rPr>
      </w:pPr>
    </w:p>
    <w:p w14:paraId="2DE17A4B" w14:textId="3E1D5681" w:rsidR="00D751E8" w:rsidRPr="00AA6144" w:rsidRDefault="00D751E8" w:rsidP="00366E57">
      <w:pPr>
        <w:spacing w:after="0" w:line="240" w:lineRule="auto"/>
        <w:ind w:left="357" w:hanging="357"/>
        <w:rPr>
          <w:rStyle w:val="tightinline"/>
          <w:color w:val="auto"/>
          <w:sz w:val="16"/>
          <w:lang w:val="en-CA"/>
        </w:rPr>
      </w:pPr>
      <w:r>
        <w:t xml:space="preserve">National Inquiry into Missing and Murdered Indigenous Women and Girls, </w:t>
      </w:r>
      <w:r w:rsidRPr="005137FC">
        <w:t>Reclaiming Power and Place: The Final Report of the National Inquiry into Missing and Murdered Indigenous Women and Girls</w:t>
      </w:r>
      <w:r>
        <w:t xml:space="preserve"> (2019) online: &lt;</w:t>
      </w:r>
      <w:r w:rsidRPr="005137FC">
        <w:t>https://www.mmiwg-ffada.ca/final-report/</w:t>
      </w:r>
      <w:r>
        <w:t>&gt;.</w:t>
      </w:r>
    </w:p>
    <w:p w14:paraId="2D435813" w14:textId="77777777" w:rsidR="00366E57" w:rsidRPr="00AA6144" w:rsidRDefault="00366E57" w:rsidP="00366E57">
      <w:pPr>
        <w:spacing w:after="0" w:line="240" w:lineRule="auto"/>
        <w:ind w:left="357" w:hanging="357"/>
        <w:rPr>
          <w:rStyle w:val="tightinline"/>
          <w:color w:val="auto"/>
          <w:lang w:val="en-CA"/>
        </w:rPr>
      </w:pPr>
    </w:p>
    <w:p w14:paraId="0B968D00" w14:textId="403639A8" w:rsidR="00366E57" w:rsidRPr="00AA6144" w:rsidRDefault="00366E57" w:rsidP="00366E57">
      <w:pPr>
        <w:spacing w:after="0" w:line="240" w:lineRule="auto"/>
        <w:ind w:left="357" w:hanging="357"/>
        <w:rPr>
          <w:color w:val="auto"/>
          <w:szCs w:val="18"/>
          <w:lang w:val="en-CA"/>
        </w:rPr>
      </w:pPr>
      <w:r w:rsidRPr="00AA6144">
        <w:rPr>
          <w:color w:val="auto"/>
          <w:szCs w:val="18"/>
          <w:lang w:val="en-CA"/>
        </w:rPr>
        <w:t>Public Prosecution Service of Canada,</w:t>
      </w:r>
      <w:r w:rsidRPr="00AA6144">
        <w:rPr>
          <w:i/>
          <w:color w:val="auto"/>
          <w:szCs w:val="18"/>
          <w:lang w:val="en-CA"/>
        </w:rPr>
        <w:t xml:space="preserve"> The Federal Prosecution Service </w:t>
      </w:r>
      <w:proofErr w:type="spellStart"/>
      <w:r w:rsidRPr="00AA6144">
        <w:rPr>
          <w:i/>
          <w:color w:val="auto"/>
          <w:szCs w:val="18"/>
          <w:lang w:val="en-CA"/>
        </w:rPr>
        <w:t>Deskbook</w:t>
      </w:r>
      <w:proofErr w:type="spellEnd"/>
      <w:r w:rsidRPr="00AA6144">
        <w:rPr>
          <w:color w:val="auto"/>
          <w:szCs w:val="18"/>
          <w:lang w:val="en-CA"/>
        </w:rPr>
        <w:t>, online: Public Prosecution Service of Canada</w:t>
      </w:r>
      <w:r w:rsidR="00855076">
        <w:rPr>
          <w:color w:val="auto"/>
          <w:szCs w:val="18"/>
          <w:lang w:val="en-CA"/>
        </w:rPr>
        <w:t>,</w:t>
      </w:r>
      <w:r w:rsidRPr="00AA6144">
        <w:rPr>
          <w:color w:val="auto"/>
          <w:szCs w:val="18"/>
          <w:lang w:val="en-CA"/>
        </w:rPr>
        <w:t xml:space="preserve"> &lt;http://www.ppsc-sppc.gc.ca/eng/pub/fpsd-sfpg/fps-sfp/fpd/index.html&gt;.</w:t>
      </w:r>
    </w:p>
    <w:p w14:paraId="29ABE00A" w14:textId="77777777" w:rsidR="009A5C7C" w:rsidRPr="00AA6144" w:rsidRDefault="009A5C7C" w:rsidP="00366E57">
      <w:pPr>
        <w:spacing w:after="0" w:line="240" w:lineRule="auto"/>
        <w:ind w:left="357" w:hanging="357"/>
        <w:rPr>
          <w:color w:val="auto"/>
          <w:szCs w:val="18"/>
          <w:lang w:val="en-CA"/>
        </w:rPr>
      </w:pPr>
    </w:p>
    <w:p w14:paraId="41BEAB76" w14:textId="7B4EBDAA" w:rsidR="00366E57" w:rsidRDefault="00366E57" w:rsidP="00366E57">
      <w:pPr>
        <w:spacing w:after="0" w:line="240" w:lineRule="auto"/>
        <w:ind w:left="357" w:hanging="357"/>
        <w:rPr>
          <w:color w:val="auto"/>
          <w:szCs w:val="18"/>
          <w:lang w:val="en-CA"/>
        </w:rPr>
      </w:pPr>
      <w:r w:rsidRPr="00AA6144">
        <w:rPr>
          <w:color w:val="auto"/>
          <w:szCs w:val="18"/>
          <w:lang w:val="en-CA"/>
        </w:rPr>
        <w:t>Royal Canadian Mounted Police</w:t>
      </w:r>
      <w:r w:rsidRPr="00AA6144">
        <w:rPr>
          <w:i/>
          <w:color w:val="auto"/>
          <w:szCs w:val="18"/>
          <w:lang w:val="en-CA"/>
        </w:rPr>
        <w:t>, Beyond the Red Serge</w:t>
      </w:r>
      <w:r w:rsidRPr="00AA6144">
        <w:rPr>
          <w:color w:val="auto"/>
          <w:szCs w:val="18"/>
          <w:lang w:val="en-CA"/>
        </w:rPr>
        <w:t xml:space="preserve"> (Fact Sheet),</w:t>
      </w:r>
      <w:r w:rsidR="009A5C7C" w:rsidRPr="00AA6144">
        <w:rPr>
          <w:color w:val="auto"/>
          <w:szCs w:val="18"/>
          <w:lang w:val="en-CA"/>
        </w:rPr>
        <w:t xml:space="preserve"> online: Royal Canadian Mounted </w:t>
      </w:r>
      <w:r w:rsidRPr="00AA6144">
        <w:rPr>
          <w:color w:val="auto"/>
          <w:szCs w:val="18"/>
          <w:lang w:val="en-CA"/>
        </w:rPr>
        <w:t>Police</w:t>
      </w:r>
      <w:r w:rsidR="00855076">
        <w:rPr>
          <w:color w:val="auto"/>
          <w:szCs w:val="18"/>
          <w:lang w:val="en-CA"/>
        </w:rPr>
        <w:t>,</w:t>
      </w:r>
      <w:r w:rsidRPr="00AA6144">
        <w:rPr>
          <w:color w:val="auto"/>
          <w:szCs w:val="18"/>
          <w:lang w:val="en-CA"/>
        </w:rPr>
        <w:t xml:space="preserve"> &lt;http://www.rcmp-grc.gc.ca/about-ausujet/mod-eng.htm&gt;.</w:t>
      </w:r>
    </w:p>
    <w:p w14:paraId="3DDED673" w14:textId="3A3D34AE" w:rsidR="00855076" w:rsidRDefault="00855076" w:rsidP="00366E57">
      <w:pPr>
        <w:spacing w:after="0" w:line="240" w:lineRule="auto"/>
        <w:ind w:left="357" w:hanging="357"/>
        <w:rPr>
          <w:color w:val="auto"/>
          <w:szCs w:val="18"/>
          <w:lang w:val="en-CA"/>
        </w:rPr>
      </w:pPr>
    </w:p>
    <w:p w14:paraId="591ADB77" w14:textId="6FAFB18E" w:rsidR="00855076" w:rsidRDefault="00855076" w:rsidP="00366E57">
      <w:pPr>
        <w:spacing w:after="0" w:line="240" w:lineRule="auto"/>
        <w:ind w:left="357" w:hanging="357"/>
        <w:rPr>
          <w:color w:val="auto"/>
          <w:szCs w:val="18"/>
          <w:lang w:val="en-CA"/>
        </w:rPr>
      </w:pPr>
      <w:r w:rsidRPr="00417CF4">
        <w:t xml:space="preserve">Truth and Reconciliation Commission of Canada, </w:t>
      </w:r>
      <w:r w:rsidRPr="00417CF4">
        <w:rPr>
          <w:i/>
          <w:iCs/>
        </w:rPr>
        <w:t>Honouring the Truth, Reconciling for the Future: Summary of the Final Report of the Truth and Reconciliation Commission of Canada</w:t>
      </w:r>
      <w:r w:rsidRPr="00417CF4">
        <w:t xml:space="preserve"> (Winnipeg: TRC, 2015)</w:t>
      </w:r>
      <w:r>
        <w:t xml:space="preserve">: </w:t>
      </w:r>
      <w:r w:rsidRPr="00855076">
        <w:t>&lt;http://www.trc.ca/assets/pdf/Honouring_the_Truth_Reconciling_for_the_Future_July_23_2015.pd</w:t>
      </w:r>
      <w:r>
        <w:t xml:space="preserve">f&gt;.  </w:t>
      </w:r>
    </w:p>
    <w:p w14:paraId="2A9AAECF" w14:textId="0E386E56" w:rsidR="00855076" w:rsidRPr="00AA6144" w:rsidRDefault="00855076" w:rsidP="00366E57">
      <w:pPr>
        <w:spacing w:after="0" w:line="240" w:lineRule="auto"/>
        <w:ind w:left="357" w:hanging="357"/>
        <w:rPr>
          <w:color w:val="auto"/>
          <w:szCs w:val="18"/>
          <w:lang w:val="en-CA"/>
        </w:rPr>
      </w:pPr>
    </w:p>
    <w:p w14:paraId="4AC4A0D0" w14:textId="77777777" w:rsidR="00B805DE" w:rsidRPr="00AA6144" w:rsidRDefault="00366E57" w:rsidP="00366E57">
      <w:pPr>
        <w:rPr>
          <w:color w:val="auto"/>
          <w:lang w:val="en-CA"/>
        </w:rPr>
      </w:pPr>
      <w:r w:rsidRPr="00AA6144" w:rsidDel="00366E57">
        <w:rPr>
          <w:color w:val="auto"/>
          <w:lang w:val="en-CA"/>
        </w:rPr>
        <w:t xml:space="preserve"> </w:t>
      </w:r>
    </w:p>
    <w:p w14:paraId="745A2852" w14:textId="77777777" w:rsidR="00EA3E22" w:rsidRPr="00AA6144" w:rsidRDefault="00EA3E22">
      <w:pPr>
        <w:widowControl/>
        <w:suppressAutoHyphens w:val="0"/>
        <w:spacing w:after="0" w:line="240" w:lineRule="auto"/>
        <w:rPr>
          <w:color w:val="auto"/>
          <w:lang w:val="en-CA"/>
        </w:rPr>
      </w:pPr>
      <w:r w:rsidRPr="00AA6144">
        <w:rPr>
          <w:color w:val="auto"/>
          <w:lang w:val="en-CA"/>
        </w:rPr>
        <w:br w:type="page"/>
      </w:r>
    </w:p>
    <w:p w14:paraId="41C9CD0C" w14:textId="77777777" w:rsidR="00BE1518" w:rsidRPr="00AA6144" w:rsidRDefault="00BE1518" w:rsidP="00B805DE">
      <w:pPr>
        <w:rPr>
          <w:color w:val="auto"/>
          <w:lang w:val="en-CA"/>
        </w:rPr>
      </w:pPr>
    </w:p>
    <w:p w14:paraId="75CC178E" w14:textId="77777777" w:rsidR="00D72F35" w:rsidRPr="00AA6144" w:rsidRDefault="00D72F35" w:rsidP="00EF610D">
      <w:pPr>
        <w:jc w:val="center"/>
        <w:rPr>
          <w:sz w:val="24"/>
          <w:lang w:val="en-CA"/>
        </w:rPr>
      </w:pPr>
      <w:bookmarkStart w:id="332" w:name="_Toc220954507"/>
      <w:r w:rsidRPr="00AA6144">
        <w:rPr>
          <w:sz w:val="24"/>
          <w:lang w:val="en-CA"/>
        </w:rPr>
        <w:t>INTERNATIONAL MATERIALS</w:t>
      </w:r>
    </w:p>
    <w:p w14:paraId="31B08664" w14:textId="77777777" w:rsidR="00D72F35" w:rsidRPr="00AA6144" w:rsidRDefault="00D72F35" w:rsidP="00290395">
      <w:pPr>
        <w:pStyle w:val="Heading2"/>
        <w:rPr>
          <w:color w:val="auto"/>
          <w:lang w:val="en-CA"/>
        </w:rPr>
      </w:pPr>
    </w:p>
    <w:p w14:paraId="5C208211" w14:textId="77777777" w:rsidR="00933062" w:rsidRPr="00AA6144" w:rsidRDefault="00933062" w:rsidP="00EA3E22">
      <w:pPr>
        <w:spacing w:after="0" w:line="240" w:lineRule="auto"/>
        <w:ind w:hanging="357"/>
        <w:rPr>
          <w:color w:val="auto"/>
          <w:szCs w:val="18"/>
          <w:lang w:val="en-CA"/>
        </w:rPr>
      </w:pPr>
      <w:r w:rsidRPr="00AA6144">
        <w:rPr>
          <w:color w:val="auto"/>
          <w:szCs w:val="18"/>
          <w:lang w:val="en-CA"/>
        </w:rPr>
        <w:t>INTERNATIONAL INSTRUMENTS</w:t>
      </w:r>
    </w:p>
    <w:p w14:paraId="662ABAE9" w14:textId="77777777" w:rsidR="00933062" w:rsidRPr="00AA6144" w:rsidRDefault="00933062" w:rsidP="00EA3E22">
      <w:pPr>
        <w:spacing w:after="0" w:line="240" w:lineRule="auto"/>
        <w:ind w:hanging="357"/>
        <w:rPr>
          <w:color w:val="auto"/>
          <w:szCs w:val="18"/>
          <w:lang w:val="en-CA"/>
        </w:rPr>
      </w:pPr>
    </w:p>
    <w:p w14:paraId="10517CB3"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1907 Hague Convention IV Respecting the Laws and Customs of War on Land</w:t>
      </w:r>
      <w:r w:rsidRPr="00AA6144">
        <w:rPr>
          <w:color w:val="auto"/>
          <w:szCs w:val="18"/>
          <w:lang w:val="en-CA"/>
        </w:rPr>
        <w:t xml:space="preserve">, reprinted in Adam Roberts &amp; Richard </w:t>
      </w:r>
      <w:proofErr w:type="spellStart"/>
      <w:r w:rsidRPr="00AA6144">
        <w:rPr>
          <w:color w:val="auto"/>
          <w:szCs w:val="18"/>
          <w:lang w:val="en-CA"/>
        </w:rPr>
        <w:t>Guelff</w:t>
      </w:r>
      <w:proofErr w:type="spellEnd"/>
      <w:r w:rsidRPr="00AA6144">
        <w:rPr>
          <w:color w:val="auto"/>
          <w:szCs w:val="18"/>
          <w:lang w:val="en-CA"/>
        </w:rPr>
        <w:t xml:space="preserve">, </w:t>
      </w:r>
      <w:r w:rsidRPr="00AA6144">
        <w:rPr>
          <w:i/>
          <w:color w:val="auto"/>
          <w:szCs w:val="18"/>
          <w:lang w:val="en-CA"/>
        </w:rPr>
        <w:t>Documents on the Laws of War</w:t>
      </w:r>
      <w:r w:rsidRPr="00AA6144">
        <w:rPr>
          <w:color w:val="auto"/>
          <w:szCs w:val="18"/>
          <w:lang w:val="en-CA"/>
        </w:rPr>
        <w:t xml:space="preserve"> 67, 3</w:t>
      </w:r>
      <w:r w:rsidRPr="00AA6144">
        <w:rPr>
          <w:color w:val="auto"/>
          <w:szCs w:val="18"/>
          <w:vertAlign w:val="superscript"/>
          <w:lang w:val="en-CA"/>
        </w:rPr>
        <w:t>rd</w:t>
      </w:r>
      <w:r w:rsidRPr="00AA6144">
        <w:rPr>
          <w:color w:val="auto"/>
          <w:szCs w:val="18"/>
          <w:lang w:val="en-CA"/>
        </w:rPr>
        <w:t xml:space="preserve"> ed (Oxford: Oxford University Press, 2000).</w:t>
      </w:r>
    </w:p>
    <w:p w14:paraId="2129A2C4" w14:textId="77777777" w:rsidR="00EA3E22" w:rsidRPr="00AA6144" w:rsidRDefault="00EA3E22" w:rsidP="00EA3E22">
      <w:pPr>
        <w:spacing w:after="0" w:line="240" w:lineRule="auto"/>
        <w:ind w:hanging="357"/>
        <w:rPr>
          <w:color w:val="auto"/>
          <w:szCs w:val="18"/>
          <w:lang w:val="en-CA"/>
        </w:rPr>
      </w:pPr>
    </w:p>
    <w:p w14:paraId="5555F478" w14:textId="77777777" w:rsidR="00EA3E22" w:rsidRPr="00AA6144" w:rsidRDefault="00EA3E22" w:rsidP="00EA3E22">
      <w:pPr>
        <w:spacing w:after="0" w:line="240" w:lineRule="auto"/>
        <w:ind w:hanging="357"/>
        <w:rPr>
          <w:i/>
          <w:color w:val="auto"/>
          <w:szCs w:val="18"/>
          <w:lang w:val="en-CA"/>
        </w:rPr>
      </w:pPr>
      <w:r w:rsidRPr="00AA6144">
        <w:rPr>
          <w:rFonts w:eastAsia="Times-Roman" w:cs="Times-Roman"/>
          <w:i/>
          <w:color w:val="auto"/>
          <w:szCs w:val="18"/>
          <w:lang w:val="en-CA"/>
        </w:rPr>
        <w:t>1996 Draft Code of Crimes against the Peace and Security of Mankind</w:t>
      </w:r>
      <w:r w:rsidRPr="00AA6144">
        <w:rPr>
          <w:rFonts w:eastAsia="Times-Roman" w:cs="Times-Roman"/>
          <w:color w:val="auto"/>
          <w:szCs w:val="18"/>
          <w:lang w:val="en-CA"/>
        </w:rPr>
        <w:t xml:space="preserve">, </w:t>
      </w:r>
      <w:r w:rsidRPr="00AA6144">
        <w:rPr>
          <w:rFonts w:eastAsia="Times-Roman" w:cs="Times-Roman"/>
          <w:i/>
          <w:color w:val="auto"/>
          <w:szCs w:val="18"/>
          <w:lang w:val="en-CA"/>
        </w:rPr>
        <w:t>supra</w:t>
      </w:r>
      <w:r w:rsidRPr="00AA6144">
        <w:rPr>
          <w:rFonts w:eastAsia="Times-Roman" w:cs="Times-Roman"/>
          <w:color w:val="auto"/>
          <w:szCs w:val="18"/>
          <w:lang w:val="en-CA"/>
        </w:rPr>
        <w:t xml:space="preserve"> note 261, art </w:t>
      </w:r>
      <w:proofErr w:type="gramStart"/>
      <w:r w:rsidRPr="00AA6144">
        <w:rPr>
          <w:rFonts w:eastAsia="Times-Roman" w:cs="Times-Roman"/>
          <w:color w:val="auto"/>
          <w:szCs w:val="18"/>
          <w:lang w:val="en-CA"/>
        </w:rPr>
        <w:t>5;</w:t>
      </w:r>
      <w:proofErr w:type="gramEnd"/>
      <w:r w:rsidRPr="00AA6144">
        <w:rPr>
          <w:rFonts w:eastAsia="Times-Roman" w:cs="Times-Roman"/>
          <w:color w:val="auto"/>
          <w:szCs w:val="18"/>
          <w:lang w:val="en-CA"/>
        </w:rPr>
        <w:t xml:space="preserve"> </w:t>
      </w:r>
      <w:r w:rsidRPr="00AA6144">
        <w:rPr>
          <w:i/>
          <w:color w:val="auto"/>
          <w:szCs w:val="18"/>
          <w:lang w:val="en-CA"/>
        </w:rPr>
        <w:t>UNTAET, ‘On the Establishment of Panels with Executive Jurisdiction Over Serious Criminal Offences’, UN Doc UNTAET/Reg/2000/15 (6 June 2000).</w:t>
      </w:r>
    </w:p>
    <w:p w14:paraId="5D90936E" w14:textId="77777777" w:rsidR="00EA3E22" w:rsidRPr="00AA6144" w:rsidRDefault="00EA3E22" w:rsidP="00EA3E22">
      <w:pPr>
        <w:spacing w:after="0" w:line="240" w:lineRule="auto"/>
        <w:ind w:hanging="357"/>
        <w:rPr>
          <w:i/>
          <w:color w:val="auto"/>
          <w:szCs w:val="18"/>
          <w:lang w:val="en-CA"/>
        </w:rPr>
      </w:pPr>
    </w:p>
    <w:p w14:paraId="0E74DC20" w14:textId="77777777" w:rsidR="00EA3E22" w:rsidRPr="00AA6144" w:rsidRDefault="00EA3E22" w:rsidP="00EA3E22">
      <w:pPr>
        <w:spacing w:after="0" w:line="240" w:lineRule="auto"/>
        <w:ind w:hanging="357"/>
        <w:rPr>
          <w:color w:val="auto"/>
          <w:szCs w:val="18"/>
          <w:lang w:val="en-CA"/>
        </w:rPr>
      </w:pPr>
      <w:r w:rsidRPr="00AA6144">
        <w:rPr>
          <w:i/>
          <w:iCs/>
          <w:color w:val="auto"/>
          <w:szCs w:val="18"/>
          <w:lang w:val="en-CA"/>
        </w:rPr>
        <w:t xml:space="preserve">Additional Protocol to the Convention on Prohibitions or Restrictions on the Use of Certain Conventional Weapons which may be deemed to be Excessively Injurious or to have Indiscriminate Effects, </w:t>
      </w:r>
      <w:r w:rsidRPr="00AA6144">
        <w:rPr>
          <w:color w:val="auto"/>
          <w:szCs w:val="18"/>
          <w:lang w:val="en-CA"/>
        </w:rPr>
        <w:t>13 October 1995, 1380 UNTS 370 (entered into force 30 July 1998).</w:t>
      </w:r>
    </w:p>
    <w:p w14:paraId="342D6016" w14:textId="77777777" w:rsidR="00EA3E22" w:rsidRPr="00AA6144" w:rsidRDefault="00EA3E22" w:rsidP="00EA3E22">
      <w:pPr>
        <w:spacing w:after="0" w:line="240" w:lineRule="auto"/>
        <w:ind w:hanging="357"/>
        <w:rPr>
          <w:color w:val="auto"/>
          <w:szCs w:val="18"/>
          <w:lang w:val="en-CA"/>
        </w:rPr>
      </w:pPr>
    </w:p>
    <w:p w14:paraId="4BCC0921" w14:textId="77777777" w:rsidR="00EA3E22" w:rsidRPr="00AA6144" w:rsidRDefault="00EA3E22" w:rsidP="00EA3E22">
      <w:pPr>
        <w:spacing w:after="0" w:line="240" w:lineRule="auto"/>
        <w:ind w:hanging="357"/>
        <w:rPr>
          <w:rFonts w:eastAsia="SimSun"/>
          <w:color w:val="auto"/>
          <w:szCs w:val="18"/>
          <w:lang w:val="en-CA" w:eastAsia="zh-CN"/>
        </w:rPr>
      </w:pPr>
      <w:r w:rsidRPr="00AA6144">
        <w:rPr>
          <w:rFonts w:eastAsia="SimSun"/>
          <w:i/>
          <w:color w:val="auto"/>
          <w:szCs w:val="18"/>
          <w:lang w:val="en-CA" w:eastAsia="zh-CN"/>
        </w:rPr>
        <w:t>Affirmation of the Principles of International Law recognized by the Charter of the Nurnberg Tribunal</w:t>
      </w:r>
      <w:r w:rsidRPr="00AA6144">
        <w:rPr>
          <w:rFonts w:eastAsia="SimSun"/>
          <w:color w:val="auto"/>
          <w:szCs w:val="18"/>
          <w:lang w:val="en-CA" w:eastAsia="zh-CN"/>
        </w:rPr>
        <w:t>, UNGA Res 95 (I) (11 December 1946).</w:t>
      </w:r>
    </w:p>
    <w:p w14:paraId="6D87085C" w14:textId="77777777" w:rsidR="00EA3E22" w:rsidRPr="00AA6144" w:rsidRDefault="00EA3E22" w:rsidP="00EA3E22">
      <w:pPr>
        <w:spacing w:after="0" w:line="240" w:lineRule="auto"/>
        <w:ind w:hanging="357"/>
        <w:rPr>
          <w:i/>
          <w:iCs/>
          <w:color w:val="auto"/>
          <w:szCs w:val="18"/>
          <w:lang w:val="en-CA"/>
        </w:rPr>
      </w:pPr>
    </w:p>
    <w:p w14:paraId="7058954C"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Allied Control Council Law No</w:t>
      </w:r>
      <w:r w:rsidR="0023239C" w:rsidRPr="00AA6144">
        <w:rPr>
          <w:i/>
          <w:color w:val="auto"/>
          <w:szCs w:val="18"/>
          <w:lang w:val="en-CA"/>
        </w:rPr>
        <w:t>.</w:t>
      </w:r>
      <w:r w:rsidRPr="00AA6144">
        <w:rPr>
          <w:i/>
          <w:color w:val="auto"/>
          <w:szCs w:val="18"/>
          <w:lang w:val="en-CA"/>
        </w:rPr>
        <w:t>10, Punishment of persons guilty of war crimes, crimes against peace and against humanity</w:t>
      </w:r>
      <w:r w:rsidRPr="00AA6144">
        <w:rPr>
          <w:color w:val="auto"/>
          <w:szCs w:val="18"/>
          <w:lang w:val="en-CA"/>
        </w:rPr>
        <w:t>, 20 December 1945, published in the Official Gazette of the Control Council for Germany, No 3, Berlin, 31 January 1946.</w:t>
      </w:r>
    </w:p>
    <w:p w14:paraId="116489C3" w14:textId="77777777" w:rsidR="00EA3E22" w:rsidRPr="00AA6144" w:rsidRDefault="00EA3E22" w:rsidP="00EA3E22">
      <w:pPr>
        <w:spacing w:after="0" w:line="240" w:lineRule="auto"/>
        <w:ind w:hanging="357"/>
        <w:rPr>
          <w:color w:val="auto"/>
          <w:szCs w:val="18"/>
          <w:lang w:val="en-CA"/>
        </w:rPr>
      </w:pPr>
    </w:p>
    <w:p w14:paraId="5905A8C6" w14:textId="77777777" w:rsidR="00EA3E22" w:rsidRPr="00AA6144" w:rsidRDefault="00EA3E22" w:rsidP="00EA3E22">
      <w:pPr>
        <w:spacing w:after="0" w:line="240" w:lineRule="auto"/>
        <w:ind w:hanging="357"/>
        <w:rPr>
          <w:color w:val="auto"/>
          <w:szCs w:val="18"/>
          <w:lang w:val="en-CA"/>
        </w:rPr>
      </w:pPr>
      <w:r w:rsidRPr="00AA6144">
        <w:rPr>
          <w:i/>
          <w:iCs/>
          <w:color w:val="auto"/>
          <w:szCs w:val="18"/>
          <w:lang w:val="en-CA"/>
        </w:rPr>
        <w:t>Amendment to the Convention on Prohibitions or Restrictions on the Use of Certain Conventional Weapons which may be deemed to be Excessively Injurious or to have Indiscriminate Effects</w:t>
      </w:r>
      <w:r w:rsidRPr="00AA6144">
        <w:rPr>
          <w:color w:val="auto"/>
          <w:szCs w:val="18"/>
          <w:lang w:val="en-CA"/>
        </w:rPr>
        <w:t>, 21 December 2001, 2260 UNTS 89 (entered into force 18 May 2004).</w:t>
      </w:r>
    </w:p>
    <w:p w14:paraId="492890D7" w14:textId="77777777" w:rsidR="00EA3E22" w:rsidRPr="00AA6144" w:rsidRDefault="00EA3E22" w:rsidP="00EA3E22">
      <w:pPr>
        <w:spacing w:after="0" w:line="240" w:lineRule="auto"/>
        <w:ind w:hanging="357"/>
        <w:rPr>
          <w:color w:val="auto"/>
          <w:szCs w:val="18"/>
          <w:lang w:val="en-CA"/>
        </w:rPr>
      </w:pPr>
    </w:p>
    <w:p w14:paraId="34496AF0" w14:textId="77777777" w:rsidR="00EA3E22" w:rsidRPr="00AA6144" w:rsidRDefault="00EA3E22" w:rsidP="00EA3E22">
      <w:pPr>
        <w:spacing w:after="0" w:line="240" w:lineRule="auto"/>
        <w:ind w:hanging="357"/>
        <w:rPr>
          <w:iCs/>
          <w:color w:val="auto"/>
          <w:szCs w:val="18"/>
          <w:lang w:val="en-CA"/>
        </w:rPr>
      </w:pPr>
      <w:r w:rsidRPr="00AA6144">
        <w:rPr>
          <w:i/>
          <w:color w:val="auto"/>
          <w:szCs w:val="18"/>
          <w:lang w:val="en-CA"/>
        </w:rPr>
        <w:t xml:space="preserve">Amendments on the crime of aggression to the Rome Statute of the International Criminal Court, </w:t>
      </w:r>
      <w:r w:rsidRPr="00AA6144">
        <w:rPr>
          <w:iCs/>
          <w:color w:val="auto"/>
          <w:szCs w:val="18"/>
          <w:lang w:val="en-CA"/>
        </w:rPr>
        <w:t>11 June 2010, RC/ Res 6.</w:t>
      </w:r>
    </w:p>
    <w:p w14:paraId="7F984310" w14:textId="77777777" w:rsidR="00EA3E22" w:rsidRPr="00AA6144" w:rsidRDefault="00EA3E22" w:rsidP="00EA3E22">
      <w:pPr>
        <w:spacing w:after="0" w:line="240" w:lineRule="auto"/>
        <w:ind w:hanging="357"/>
        <w:rPr>
          <w:iCs/>
          <w:color w:val="auto"/>
          <w:szCs w:val="18"/>
          <w:lang w:val="en-CA"/>
        </w:rPr>
      </w:pPr>
    </w:p>
    <w:p w14:paraId="0F51C0C4" w14:textId="77777777" w:rsidR="00EA3E22" w:rsidRPr="00AA6144" w:rsidRDefault="00EA3E22" w:rsidP="00EA3E22">
      <w:pPr>
        <w:pStyle w:val="FootnoteText"/>
        <w:spacing w:after="0" w:line="240" w:lineRule="auto"/>
        <w:ind w:hanging="357"/>
        <w:jc w:val="both"/>
        <w:rPr>
          <w:iCs/>
          <w:color w:val="auto"/>
          <w:sz w:val="18"/>
          <w:szCs w:val="18"/>
          <w:lang w:val="en-CA"/>
        </w:rPr>
      </w:pPr>
      <w:r w:rsidRPr="00AA6144">
        <w:rPr>
          <w:i/>
          <w:color w:val="auto"/>
          <w:sz w:val="18"/>
          <w:szCs w:val="18"/>
          <w:lang w:val="en-CA"/>
        </w:rPr>
        <w:t xml:space="preserve">Amendments to article 8 of the Rome Statute, </w:t>
      </w:r>
      <w:r w:rsidRPr="00AA6144">
        <w:rPr>
          <w:iCs/>
          <w:color w:val="auto"/>
          <w:sz w:val="18"/>
          <w:szCs w:val="18"/>
          <w:lang w:val="en-CA"/>
        </w:rPr>
        <w:t>10 June 2010 RC/ Res5 (entered into force 26 September 2012).</w:t>
      </w:r>
    </w:p>
    <w:p w14:paraId="4E5CCDBC" w14:textId="77777777" w:rsidR="00EA3E22" w:rsidRPr="00AA6144" w:rsidRDefault="00EA3E22" w:rsidP="00EA3E22">
      <w:pPr>
        <w:pStyle w:val="FootnoteText"/>
        <w:spacing w:after="0" w:line="240" w:lineRule="auto"/>
        <w:ind w:hanging="357"/>
        <w:jc w:val="both"/>
        <w:rPr>
          <w:iCs/>
          <w:color w:val="auto"/>
          <w:sz w:val="18"/>
          <w:szCs w:val="18"/>
          <w:lang w:val="en-CA"/>
        </w:rPr>
      </w:pPr>
    </w:p>
    <w:p w14:paraId="594D776B"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 xml:space="preserve">Basic Principles and Guidelines on the Right to a Remedy and Reparation for Victims of Gross Violations of International Human Rights Law and Serious Violations of International Humanitarian Law,  </w:t>
      </w:r>
      <w:r w:rsidRPr="00AA6144">
        <w:rPr>
          <w:color w:val="auto"/>
          <w:szCs w:val="18"/>
          <w:lang w:val="en-CA"/>
        </w:rPr>
        <w:t xml:space="preserve">GA Res A/RES/60/147, UN Doc E/CN4/2005/35 (2005). </w:t>
      </w:r>
    </w:p>
    <w:p w14:paraId="0BEB20B6" w14:textId="77777777" w:rsidR="00EA3E22" w:rsidRPr="00AA6144" w:rsidRDefault="00EA3E22" w:rsidP="00EA3E22">
      <w:pPr>
        <w:spacing w:after="0" w:line="240" w:lineRule="auto"/>
        <w:ind w:hanging="357"/>
        <w:rPr>
          <w:color w:val="auto"/>
          <w:szCs w:val="18"/>
          <w:lang w:val="en-CA"/>
        </w:rPr>
      </w:pPr>
    </w:p>
    <w:p w14:paraId="56529B9D" w14:textId="77777777" w:rsidR="00EA3E22" w:rsidRPr="00AA6144" w:rsidRDefault="00EA3E22" w:rsidP="00EA3E22">
      <w:pPr>
        <w:spacing w:after="0" w:line="240" w:lineRule="auto"/>
        <w:ind w:hanging="357"/>
        <w:rPr>
          <w:color w:val="auto"/>
          <w:szCs w:val="18"/>
          <w:lang w:val="en-CA"/>
        </w:rPr>
      </w:pPr>
      <w:r w:rsidRPr="00AA6144">
        <w:rPr>
          <w:color w:val="auto"/>
          <w:szCs w:val="18"/>
          <w:lang w:val="en-CA"/>
        </w:rPr>
        <w:t xml:space="preserve">Cambodian </w:t>
      </w:r>
      <w:r w:rsidRPr="00AA6144">
        <w:rPr>
          <w:i/>
          <w:color w:val="auto"/>
          <w:szCs w:val="18"/>
          <w:lang w:val="en-CA"/>
        </w:rPr>
        <w:t>Law on the Establishment of the Extraordinary Chambers, with inclusion of amendments as promulgated on 27 October 2004</w:t>
      </w:r>
      <w:r w:rsidRPr="00AA6144">
        <w:rPr>
          <w:color w:val="auto"/>
          <w:szCs w:val="18"/>
          <w:lang w:val="en-CA"/>
        </w:rPr>
        <w:t xml:space="preserve"> (NS/RKM/1004/006).</w:t>
      </w:r>
    </w:p>
    <w:p w14:paraId="3A28CA66" w14:textId="77777777" w:rsidR="00EA3E22" w:rsidRPr="00AA6144" w:rsidRDefault="00EA3E22" w:rsidP="00EA3E22">
      <w:pPr>
        <w:spacing w:after="0" w:line="240" w:lineRule="auto"/>
        <w:ind w:hanging="357"/>
        <w:rPr>
          <w:color w:val="auto"/>
          <w:szCs w:val="18"/>
          <w:lang w:val="en-CA"/>
        </w:rPr>
      </w:pPr>
    </w:p>
    <w:p w14:paraId="49E98844"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Charter of the International Military Tribunal, Annex to the Agreement for the Prosecution and Punishment of the Major War Criminals of the European Axis</w:t>
      </w:r>
      <w:r w:rsidRPr="00AA6144">
        <w:rPr>
          <w:color w:val="auto"/>
          <w:szCs w:val="18"/>
          <w:lang w:val="en-CA"/>
        </w:rPr>
        <w:t>, London,</w:t>
      </w:r>
      <w:r w:rsidRPr="00AA6144">
        <w:rPr>
          <w:i/>
          <w:color w:val="auto"/>
          <w:szCs w:val="18"/>
          <w:lang w:val="en-CA"/>
        </w:rPr>
        <w:t xml:space="preserve"> </w:t>
      </w:r>
      <w:r w:rsidRPr="00AA6144">
        <w:rPr>
          <w:color w:val="auto"/>
          <w:szCs w:val="18"/>
          <w:lang w:val="en-CA"/>
        </w:rPr>
        <w:t>8 August 1945.</w:t>
      </w:r>
    </w:p>
    <w:p w14:paraId="1F1D710C" w14:textId="77777777" w:rsidR="00EA3E22" w:rsidRPr="00AA6144" w:rsidRDefault="00EA3E22" w:rsidP="00EA3E22">
      <w:pPr>
        <w:spacing w:after="0" w:line="240" w:lineRule="auto"/>
        <w:ind w:hanging="357"/>
        <w:rPr>
          <w:color w:val="auto"/>
          <w:szCs w:val="18"/>
          <w:lang w:val="en-CA"/>
        </w:rPr>
      </w:pPr>
    </w:p>
    <w:p w14:paraId="478692C1"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for the Amelioration of the Condition of the Wounded and Sick in Armed Forces in the Field</w:t>
      </w:r>
      <w:r w:rsidRPr="00AA6144">
        <w:rPr>
          <w:color w:val="auto"/>
          <w:szCs w:val="18"/>
          <w:lang w:val="en-CA"/>
        </w:rPr>
        <w:t>, 12 August 1949, 75 UNTS 31 (entered into force 21 October 1951).</w:t>
      </w:r>
    </w:p>
    <w:p w14:paraId="10B8D533" w14:textId="77777777" w:rsidR="00EA3E22" w:rsidRPr="00AA6144" w:rsidRDefault="00EA3E22" w:rsidP="00EA3E22">
      <w:pPr>
        <w:spacing w:after="0" w:line="240" w:lineRule="auto"/>
        <w:ind w:hanging="357"/>
        <w:rPr>
          <w:color w:val="auto"/>
          <w:szCs w:val="18"/>
          <w:lang w:val="en-CA"/>
        </w:rPr>
      </w:pPr>
    </w:p>
    <w:p w14:paraId="1DD7CC43"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for the Amelioration of the Condition of Wounded, Sick and Shipwrecked Members of Armed Forces at Sea</w:t>
      </w:r>
      <w:r w:rsidRPr="00AA6144">
        <w:rPr>
          <w:color w:val="auto"/>
          <w:szCs w:val="18"/>
          <w:lang w:val="en-CA"/>
        </w:rPr>
        <w:t>, 12 August 1949, 75 UNTS 85 (entered into force 21 October 1951).</w:t>
      </w:r>
    </w:p>
    <w:p w14:paraId="7AC3EBCC" w14:textId="77777777" w:rsidR="00EA3E22" w:rsidRPr="00AA6144" w:rsidRDefault="00EA3E22" w:rsidP="00EA3E22">
      <w:pPr>
        <w:spacing w:after="0" w:line="240" w:lineRule="auto"/>
        <w:ind w:hanging="357"/>
        <w:rPr>
          <w:color w:val="auto"/>
          <w:szCs w:val="18"/>
          <w:lang w:val="en-CA"/>
        </w:rPr>
      </w:pPr>
    </w:p>
    <w:p w14:paraId="4939D98F"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for the Protection of Cultural Property in the Event of Armed Conflict</w:t>
      </w:r>
      <w:r w:rsidRPr="00AA6144">
        <w:rPr>
          <w:color w:val="auto"/>
          <w:szCs w:val="18"/>
          <w:lang w:val="en-CA"/>
        </w:rPr>
        <w:t>, 14 May 1954, 249 UNTS 240 (entered into force 7 August 1956).</w:t>
      </w:r>
    </w:p>
    <w:p w14:paraId="4B5C24E1" w14:textId="77777777" w:rsidR="00EA3E22" w:rsidRPr="00AA6144" w:rsidRDefault="00EA3E22" w:rsidP="00EA3E22">
      <w:pPr>
        <w:spacing w:after="0" w:line="240" w:lineRule="auto"/>
        <w:ind w:hanging="357"/>
        <w:rPr>
          <w:color w:val="auto"/>
          <w:szCs w:val="18"/>
          <w:lang w:val="en-CA"/>
        </w:rPr>
      </w:pPr>
    </w:p>
    <w:p w14:paraId="28FFB517"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on Cluster Munitions</w:t>
      </w:r>
      <w:r w:rsidRPr="00AA6144">
        <w:rPr>
          <w:color w:val="auto"/>
          <w:szCs w:val="18"/>
          <w:lang w:val="en-CA"/>
        </w:rPr>
        <w:t>, 30 May 2008, UNTS No 47713 (entered into force 1 August 2010).</w:t>
      </w:r>
    </w:p>
    <w:p w14:paraId="74D2F5AA" w14:textId="77777777" w:rsidR="00EA3E22" w:rsidRPr="00AA6144" w:rsidRDefault="00EA3E22" w:rsidP="00EA3E22">
      <w:pPr>
        <w:spacing w:after="0" w:line="240" w:lineRule="auto"/>
        <w:ind w:hanging="357"/>
        <w:rPr>
          <w:color w:val="auto"/>
          <w:szCs w:val="18"/>
          <w:lang w:val="en-CA"/>
        </w:rPr>
      </w:pPr>
    </w:p>
    <w:p w14:paraId="5C277171"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on Prohibitions or Restrictions on the Use of Certain Conventional Weapons which may be deemed to be Excessively Injurious or to have Indiscriminate Effects (with Protocols I, II and III),</w:t>
      </w:r>
      <w:r w:rsidRPr="00AA6144">
        <w:rPr>
          <w:color w:val="auto"/>
          <w:szCs w:val="18"/>
          <w:lang w:val="en-CA"/>
        </w:rPr>
        <w:t xml:space="preserve"> 10 October 1980, 1342 UNTS 137 (entered into force 2 December 1983).</w:t>
      </w:r>
    </w:p>
    <w:p w14:paraId="7037F176" w14:textId="77777777" w:rsidR="00EA3E22" w:rsidRPr="00AA6144" w:rsidRDefault="00EA3E22" w:rsidP="00EA3E22">
      <w:pPr>
        <w:spacing w:after="0" w:line="240" w:lineRule="auto"/>
        <w:ind w:hanging="357"/>
        <w:rPr>
          <w:color w:val="auto"/>
          <w:szCs w:val="18"/>
          <w:lang w:val="en-CA"/>
        </w:rPr>
      </w:pPr>
    </w:p>
    <w:p w14:paraId="2D372DE9"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on the Elimination of All Convention Against Torture and Other Cruel, Inhuman or Degrading Treatment or Punishment</w:t>
      </w:r>
      <w:r w:rsidRPr="00AA6144">
        <w:rPr>
          <w:color w:val="auto"/>
          <w:szCs w:val="18"/>
          <w:lang w:val="en-CA"/>
        </w:rPr>
        <w:t>, 10 December 1984, 1465 UNTS 85 (entered into force 26 June 1987).</w:t>
      </w:r>
    </w:p>
    <w:p w14:paraId="38E908CE" w14:textId="77777777" w:rsidR="00EA3E22" w:rsidRPr="00AA6144" w:rsidRDefault="00EA3E22" w:rsidP="00EA3E22">
      <w:pPr>
        <w:spacing w:after="0" w:line="240" w:lineRule="auto"/>
        <w:ind w:hanging="357"/>
        <w:rPr>
          <w:color w:val="auto"/>
          <w:szCs w:val="18"/>
          <w:lang w:val="en-CA"/>
        </w:rPr>
      </w:pPr>
    </w:p>
    <w:p w14:paraId="5F039369"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on the Non-Applicability of Statutory Limitations to War Crimes and Crimes Against Humanity</w:t>
      </w:r>
      <w:r w:rsidRPr="00AA6144">
        <w:rPr>
          <w:color w:val="auto"/>
          <w:szCs w:val="18"/>
          <w:lang w:val="en-CA"/>
        </w:rPr>
        <w:t>, 26 November 1968, 754 UNTS 73 (entered into force 11 November 1970).</w:t>
      </w:r>
    </w:p>
    <w:p w14:paraId="273B1569" w14:textId="77777777" w:rsidR="00EA3E22" w:rsidRPr="00AA6144" w:rsidRDefault="00EA3E22" w:rsidP="00EA3E22">
      <w:pPr>
        <w:spacing w:after="0" w:line="240" w:lineRule="auto"/>
        <w:ind w:hanging="357"/>
        <w:rPr>
          <w:i/>
          <w:color w:val="auto"/>
          <w:szCs w:val="18"/>
          <w:lang w:val="en-CA"/>
        </w:rPr>
      </w:pPr>
    </w:p>
    <w:p w14:paraId="20B13710"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on the Prevention and Punishment of the Crime of Genocide</w:t>
      </w:r>
      <w:r w:rsidRPr="00AA6144">
        <w:rPr>
          <w:color w:val="auto"/>
          <w:szCs w:val="18"/>
          <w:lang w:val="en-CA"/>
        </w:rPr>
        <w:t>, 9 December 1948, 78 UNTS 277 (entered into force 12 January 1951).</w:t>
      </w:r>
    </w:p>
    <w:p w14:paraId="499A1317" w14:textId="77777777" w:rsidR="00EA3E22" w:rsidRPr="00AA6144" w:rsidRDefault="00EA3E22" w:rsidP="00EA3E22">
      <w:pPr>
        <w:spacing w:after="0" w:line="240" w:lineRule="auto"/>
        <w:ind w:hanging="357"/>
        <w:rPr>
          <w:color w:val="auto"/>
          <w:szCs w:val="18"/>
          <w:lang w:val="en-CA"/>
        </w:rPr>
      </w:pPr>
    </w:p>
    <w:p w14:paraId="36DB2EA0"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on the Prohibition of Military or Any Other Hostile Use of Environmental Modification Techniques</w:t>
      </w:r>
      <w:r w:rsidRPr="00AA6144">
        <w:rPr>
          <w:color w:val="auto"/>
          <w:szCs w:val="18"/>
          <w:lang w:val="en-CA"/>
        </w:rPr>
        <w:t>, 10 December 1976, 1108 UNTS 151 (5 October 1978).</w:t>
      </w:r>
    </w:p>
    <w:p w14:paraId="11987EBA" w14:textId="77777777" w:rsidR="00EA3E22" w:rsidRPr="00AA6144" w:rsidRDefault="00EA3E22" w:rsidP="00EA3E22">
      <w:pPr>
        <w:spacing w:after="0" w:line="240" w:lineRule="auto"/>
        <w:ind w:hanging="357"/>
        <w:rPr>
          <w:color w:val="auto"/>
          <w:szCs w:val="18"/>
          <w:lang w:val="en-CA"/>
        </w:rPr>
      </w:pPr>
    </w:p>
    <w:p w14:paraId="22426DCE" w14:textId="77777777" w:rsidR="00EA3E22" w:rsidRPr="00AA6144" w:rsidRDefault="00EA3E22" w:rsidP="00EA3E22">
      <w:pPr>
        <w:spacing w:after="0" w:line="240" w:lineRule="auto"/>
        <w:ind w:hanging="357"/>
        <w:rPr>
          <w:color w:val="auto"/>
          <w:szCs w:val="18"/>
          <w:lang w:val="en-CA"/>
        </w:rPr>
      </w:pPr>
      <w:r w:rsidRPr="00AA6144">
        <w:rPr>
          <w:i/>
          <w:iCs/>
          <w:color w:val="auto"/>
          <w:szCs w:val="18"/>
          <w:lang w:val="en-CA"/>
        </w:rPr>
        <w:t>Convention on the Prohibition of the Development, Production and Stockpiling of Bacteriological (Biological) and Toxin Weapons and on their Destruction</w:t>
      </w:r>
      <w:r w:rsidRPr="00AA6144">
        <w:rPr>
          <w:color w:val="auto"/>
          <w:szCs w:val="18"/>
          <w:lang w:val="en-CA"/>
        </w:rPr>
        <w:t>, 10 April 1972, 1015 UNTS 163 (entered into force 26 March 1975).</w:t>
      </w:r>
    </w:p>
    <w:p w14:paraId="697B2F35" w14:textId="77777777" w:rsidR="00EA3E22" w:rsidRPr="00AA6144" w:rsidRDefault="00EA3E22" w:rsidP="00EA3E22">
      <w:pPr>
        <w:spacing w:after="0" w:line="240" w:lineRule="auto"/>
        <w:ind w:hanging="357"/>
        <w:rPr>
          <w:color w:val="auto"/>
          <w:szCs w:val="18"/>
          <w:lang w:val="en-CA"/>
        </w:rPr>
      </w:pPr>
    </w:p>
    <w:p w14:paraId="35CEE703" w14:textId="77777777" w:rsidR="00EA3E22" w:rsidRPr="00AA6144" w:rsidRDefault="00EA3E22" w:rsidP="00EA3E22">
      <w:pPr>
        <w:spacing w:after="0" w:line="240" w:lineRule="auto"/>
        <w:ind w:hanging="357"/>
        <w:rPr>
          <w:iCs/>
          <w:color w:val="auto"/>
          <w:szCs w:val="18"/>
          <w:lang w:val="en-CA"/>
        </w:rPr>
      </w:pPr>
      <w:r w:rsidRPr="00AA6144">
        <w:rPr>
          <w:i/>
          <w:iCs/>
          <w:color w:val="auto"/>
          <w:szCs w:val="18"/>
          <w:lang w:val="en-CA"/>
        </w:rPr>
        <w:t xml:space="preserve">Convention on the Prohibition of the Development, Production, Stockpiling and Use of Chemical Weapons and on their Destruction, </w:t>
      </w:r>
      <w:r w:rsidRPr="00AA6144">
        <w:rPr>
          <w:iCs/>
          <w:color w:val="auto"/>
          <w:szCs w:val="18"/>
          <w:lang w:val="en-CA"/>
        </w:rPr>
        <w:t>13 January 1993, 1974 UNTS 317 (</w:t>
      </w:r>
      <w:proofErr w:type="gramStart"/>
      <w:r w:rsidRPr="00AA6144">
        <w:rPr>
          <w:iCs/>
          <w:color w:val="auto"/>
          <w:szCs w:val="18"/>
          <w:lang w:val="en-CA"/>
        </w:rPr>
        <w:t>entered into</w:t>
      </w:r>
      <w:proofErr w:type="gramEnd"/>
      <w:r w:rsidRPr="00AA6144">
        <w:rPr>
          <w:iCs/>
          <w:color w:val="auto"/>
          <w:szCs w:val="18"/>
          <w:lang w:val="en-CA"/>
        </w:rPr>
        <w:t xml:space="preserve"> force24 April 1997).</w:t>
      </w:r>
    </w:p>
    <w:p w14:paraId="5D812100" w14:textId="77777777" w:rsidR="00EA3E22" w:rsidRPr="00AA6144" w:rsidRDefault="00EA3E22" w:rsidP="00EA3E22">
      <w:pPr>
        <w:spacing w:after="0" w:line="240" w:lineRule="auto"/>
        <w:ind w:hanging="357"/>
        <w:rPr>
          <w:color w:val="auto"/>
          <w:szCs w:val="18"/>
          <w:lang w:val="en-CA"/>
        </w:rPr>
      </w:pPr>
    </w:p>
    <w:p w14:paraId="3DDBDEB5" w14:textId="77777777" w:rsidR="00EA3E22" w:rsidRPr="00AA6144" w:rsidRDefault="00EA3E22" w:rsidP="00EA3E22">
      <w:pPr>
        <w:spacing w:after="0" w:line="240" w:lineRule="auto"/>
        <w:ind w:hanging="357"/>
        <w:rPr>
          <w:iCs/>
          <w:color w:val="auto"/>
          <w:szCs w:val="18"/>
          <w:lang w:val="en-CA"/>
        </w:rPr>
      </w:pPr>
      <w:r w:rsidRPr="00AA6144">
        <w:rPr>
          <w:i/>
          <w:iCs/>
          <w:color w:val="auto"/>
          <w:szCs w:val="18"/>
          <w:lang w:val="en-CA"/>
        </w:rPr>
        <w:t xml:space="preserve">Convention on the Prohibition of the Use, Stockpiling, Production and Transfer of Anti-Personnel Mines and on their Destruction, </w:t>
      </w:r>
      <w:r w:rsidRPr="00AA6144">
        <w:rPr>
          <w:iCs/>
          <w:color w:val="auto"/>
          <w:szCs w:val="18"/>
          <w:lang w:val="en-CA"/>
        </w:rPr>
        <w:t>18 September 1997, 2056 UNTS 241 (entered into force 1 March 1999).</w:t>
      </w:r>
    </w:p>
    <w:p w14:paraId="36FB9A33" w14:textId="77777777" w:rsidR="00EA3E22" w:rsidRPr="00AA6144" w:rsidRDefault="00EA3E22" w:rsidP="00EA3E22">
      <w:pPr>
        <w:spacing w:after="0" w:line="240" w:lineRule="auto"/>
        <w:ind w:hanging="357"/>
        <w:rPr>
          <w:color w:val="auto"/>
          <w:szCs w:val="18"/>
          <w:lang w:val="en-CA"/>
        </w:rPr>
      </w:pPr>
    </w:p>
    <w:p w14:paraId="6D576533"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Relative to the Protection of Civilian Persons in Time of War</w:t>
      </w:r>
      <w:r w:rsidRPr="00AA6144">
        <w:rPr>
          <w:color w:val="auto"/>
          <w:szCs w:val="18"/>
          <w:lang w:val="en-CA"/>
        </w:rPr>
        <w:t>, 12 August 1949, 75 UNTS 287 (entered into force 21 October 1950).</w:t>
      </w:r>
    </w:p>
    <w:p w14:paraId="4CD24B17" w14:textId="77777777" w:rsidR="00EA3E22" w:rsidRPr="00AA6144" w:rsidRDefault="00EA3E22" w:rsidP="00EA3E22">
      <w:pPr>
        <w:spacing w:after="0" w:line="240" w:lineRule="auto"/>
        <w:ind w:hanging="357"/>
        <w:rPr>
          <w:color w:val="auto"/>
          <w:szCs w:val="18"/>
          <w:lang w:val="en-CA"/>
        </w:rPr>
      </w:pPr>
    </w:p>
    <w:p w14:paraId="3A978B0C"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Convention Relative to the Treatment of Prisoners of War</w:t>
      </w:r>
      <w:r w:rsidRPr="00AA6144">
        <w:rPr>
          <w:color w:val="auto"/>
          <w:szCs w:val="18"/>
          <w:lang w:val="en-CA"/>
        </w:rPr>
        <w:t>, 12 August 1949, 75 UNTS 135 (entered into force 21 October 1951).</w:t>
      </w:r>
    </w:p>
    <w:p w14:paraId="62BE0F18" w14:textId="77777777" w:rsidR="00EA3E22" w:rsidRPr="00AA6144" w:rsidRDefault="00EA3E22" w:rsidP="00EA3E22">
      <w:pPr>
        <w:spacing w:after="0" w:line="240" w:lineRule="auto"/>
        <w:ind w:hanging="357"/>
        <w:rPr>
          <w:b/>
          <w:color w:val="auto"/>
          <w:szCs w:val="18"/>
          <w:lang w:val="en-CA"/>
        </w:rPr>
      </w:pPr>
    </w:p>
    <w:p w14:paraId="3055ED5A"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Declaration of Basic Principles of Justice for Victims of Crime and Abuse of Power</w:t>
      </w:r>
      <w:r w:rsidRPr="00AA6144">
        <w:rPr>
          <w:color w:val="auto"/>
          <w:szCs w:val="18"/>
          <w:lang w:val="en-CA"/>
        </w:rPr>
        <w:t>, A/RES/40/34 (1985).</w:t>
      </w:r>
    </w:p>
    <w:p w14:paraId="6B7F632B" w14:textId="77777777" w:rsidR="00EA3E22" w:rsidRPr="00AA6144" w:rsidRDefault="00EA3E22" w:rsidP="00EA3E22">
      <w:pPr>
        <w:spacing w:after="0" w:line="240" w:lineRule="auto"/>
        <w:ind w:hanging="357"/>
        <w:rPr>
          <w:color w:val="auto"/>
          <w:szCs w:val="18"/>
          <w:lang w:val="en-CA"/>
        </w:rPr>
      </w:pPr>
    </w:p>
    <w:p w14:paraId="110C61C9"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Draft Code of Crimes against the Peace and Security of Mankind</w:t>
      </w:r>
      <w:r w:rsidRPr="00AA6144">
        <w:rPr>
          <w:color w:val="auto"/>
          <w:szCs w:val="18"/>
          <w:lang w:val="en-CA"/>
        </w:rPr>
        <w:t>, 51 UN GAOR Supp (No 10) at 14, UN Doc A/CN4/L532, corr1, corr3 (1996).</w:t>
      </w:r>
    </w:p>
    <w:p w14:paraId="2310048F" w14:textId="77777777" w:rsidR="00EA3E22" w:rsidRPr="00AA6144" w:rsidRDefault="00EA3E22" w:rsidP="00EA3E22">
      <w:pPr>
        <w:spacing w:after="0" w:line="240" w:lineRule="auto"/>
        <w:ind w:hanging="357"/>
        <w:rPr>
          <w:color w:val="auto"/>
          <w:szCs w:val="18"/>
          <w:lang w:val="en-CA"/>
        </w:rPr>
      </w:pPr>
    </w:p>
    <w:p w14:paraId="388B9FB1" w14:textId="77777777" w:rsidR="00EA3E22" w:rsidRPr="00AA6144" w:rsidRDefault="00EA3E22" w:rsidP="00EA3E22">
      <w:pPr>
        <w:spacing w:after="0" w:line="240" w:lineRule="auto"/>
        <w:ind w:hanging="357"/>
        <w:rPr>
          <w:rFonts w:eastAsia="SimSun"/>
          <w:color w:val="auto"/>
          <w:szCs w:val="18"/>
          <w:lang w:val="en-CA" w:eastAsia="zh-CN"/>
        </w:rPr>
      </w:pPr>
      <w:r w:rsidRPr="00AA6144">
        <w:rPr>
          <w:rFonts w:eastAsia="SimSun"/>
          <w:i/>
          <w:color w:val="auto"/>
          <w:szCs w:val="18"/>
          <w:lang w:val="en-CA" w:eastAsia="zh-CN"/>
        </w:rPr>
        <w:t>Draft Code of Crimes against the Peace and Security of Mankind</w:t>
      </w:r>
      <w:r w:rsidRPr="00AA6144">
        <w:rPr>
          <w:rFonts w:eastAsia="SimSun"/>
          <w:color w:val="auto"/>
          <w:szCs w:val="18"/>
          <w:lang w:val="en-CA" w:eastAsia="zh-CN"/>
        </w:rPr>
        <w:t>, UN Doc A/CN4/L459 [and corr1] and Add1 (1991).</w:t>
      </w:r>
    </w:p>
    <w:p w14:paraId="5F7A168D" w14:textId="77777777" w:rsidR="00EA3E22" w:rsidRPr="00AA6144" w:rsidRDefault="00EA3E22" w:rsidP="00EA3E22">
      <w:pPr>
        <w:spacing w:after="0" w:line="240" w:lineRule="auto"/>
        <w:ind w:hanging="357"/>
        <w:rPr>
          <w:color w:val="auto"/>
          <w:szCs w:val="18"/>
          <w:lang w:val="en-CA"/>
        </w:rPr>
      </w:pPr>
    </w:p>
    <w:p w14:paraId="69C00379" w14:textId="77777777" w:rsidR="00EA3E22" w:rsidRPr="00AA6144" w:rsidRDefault="00EA3E22" w:rsidP="00EA3E22">
      <w:pPr>
        <w:spacing w:after="0" w:line="240" w:lineRule="auto"/>
        <w:ind w:hanging="357"/>
        <w:rPr>
          <w:rFonts w:eastAsia="SimSun"/>
          <w:color w:val="auto"/>
          <w:szCs w:val="18"/>
          <w:lang w:val="en-CA" w:eastAsia="zh-CN"/>
        </w:rPr>
      </w:pPr>
      <w:r w:rsidRPr="00AA6144">
        <w:rPr>
          <w:rFonts w:eastAsia="SimSun"/>
          <w:i/>
          <w:color w:val="auto"/>
          <w:szCs w:val="18"/>
          <w:lang w:val="en-CA" w:eastAsia="zh-CN"/>
        </w:rPr>
        <w:t>Draft Code of Offences against the Peace and Security of mankind</w:t>
      </w:r>
      <w:r w:rsidRPr="00AA6144">
        <w:rPr>
          <w:rFonts w:eastAsia="SimSun"/>
          <w:color w:val="auto"/>
          <w:szCs w:val="18"/>
          <w:lang w:val="en-CA" w:eastAsia="zh-CN"/>
        </w:rPr>
        <w:t>, Yearbook of the International Law Commission, 1954, vol II.</w:t>
      </w:r>
    </w:p>
    <w:p w14:paraId="06523A83" w14:textId="77777777" w:rsidR="00EA3E22" w:rsidRPr="00AA6144" w:rsidRDefault="00EA3E22" w:rsidP="00EA3E22">
      <w:pPr>
        <w:spacing w:after="0" w:line="240" w:lineRule="auto"/>
        <w:ind w:hanging="357"/>
        <w:rPr>
          <w:color w:val="auto"/>
          <w:szCs w:val="18"/>
          <w:lang w:val="en-CA"/>
        </w:rPr>
      </w:pPr>
    </w:p>
    <w:p w14:paraId="1B9B693E" w14:textId="77777777" w:rsidR="00EA3E22" w:rsidRPr="00AA6144" w:rsidRDefault="00EA3E22" w:rsidP="00EA3E22">
      <w:pPr>
        <w:pStyle w:val="FootnoteText"/>
        <w:spacing w:after="0" w:line="240" w:lineRule="auto"/>
        <w:ind w:hanging="357"/>
        <w:jc w:val="both"/>
        <w:rPr>
          <w:color w:val="auto"/>
          <w:sz w:val="18"/>
          <w:szCs w:val="18"/>
          <w:lang w:val="en-CA"/>
        </w:rPr>
      </w:pPr>
      <w:r w:rsidRPr="00AA6144">
        <w:rPr>
          <w:i/>
          <w:color w:val="auto"/>
          <w:sz w:val="18"/>
          <w:szCs w:val="18"/>
          <w:lang w:val="en-CA"/>
        </w:rPr>
        <w:t>Guidelines on the Role of Prosecutors</w:t>
      </w:r>
      <w:r w:rsidRPr="00AA6144">
        <w:rPr>
          <w:color w:val="auto"/>
          <w:sz w:val="18"/>
          <w:szCs w:val="18"/>
          <w:lang w:val="en-CA"/>
        </w:rPr>
        <w:t>, adopted by the 8</w:t>
      </w:r>
      <w:r w:rsidRPr="00AA6144">
        <w:rPr>
          <w:color w:val="auto"/>
          <w:sz w:val="18"/>
          <w:szCs w:val="18"/>
          <w:vertAlign w:val="superscript"/>
          <w:lang w:val="en-CA"/>
        </w:rPr>
        <w:t>th</w:t>
      </w:r>
      <w:r w:rsidRPr="00AA6144">
        <w:rPr>
          <w:color w:val="auto"/>
          <w:sz w:val="18"/>
          <w:szCs w:val="18"/>
          <w:lang w:val="en-CA"/>
        </w:rPr>
        <w:t xml:space="preserve"> UN Congress on the Prevention of the Crime and the Treatment of Offenders, Havana, Cuba, 27 August to 7 September 1990.  </w:t>
      </w:r>
    </w:p>
    <w:p w14:paraId="34212519" w14:textId="77777777" w:rsidR="00EA3E22" w:rsidRPr="00AA6144" w:rsidRDefault="00EA3E22" w:rsidP="00EA3E22">
      <w:pPr>
        <w:pStyle w:val="FootnoteText"/>
        <w:spacing w:after="0" w:line="240" w:lineRule="auto"/>
        <w:ind w:hanging="357"/>
        <w:jc w:val="both"/>
        <w:rPr>
          <w:iCs/>
          <w:color w:val="auto"/>
          <w:sz w:val="18"/>
          <w:szCs w:val="18"/>
          <w:lang w:val="en-CA"/>
        </w:rPr>
      </w:pPr>
    </w:p>
    <w:p w14:paraId="7699050C" w14:textId="77777777" w:rsidR="00EA3E22" w:rsidRPr="00AA6144" w:rsidRDefault="00EA3E22" w:rsidP="00EA3E22">
      <w:pPr>
        <w:spacing w:after="0" w:line="240" w:lineRule="auto"/>
        <w:ind w:hanging="357"/>
        <w:rPr>
          <w:rStyle w:val="tightinline"/>
          <w:color w:val="auto"/>
          <w:szCs w:val="18"/>
          <w:lang w:val="en-CA"/>
        </w:rPr>
      </w:pPr>
      <w:r w:rsidRPr="00AA6144">
        <w:rPr>
          <w:rStyle w:val="tightinline"/>
          <w:i/>
          <w:color w:val="auto"/>
          <w:szCs w:val="18"/>
          <w:lang w:val="en-CA"/>
        </w:rPr>
        <w:t>Hague Conference on Private International Law: Collection of Conventions</w:t>
      </w:r>
      <w:r w:rsidRPr="00AA6144">
        <w:rPr>
          <w:rStyle w:val="tightinline"/>
          <w:color w:val="auto"/>
          <w:szCs w:val="18"/>
          <w:lang w:val="en-CA"/>
        </w:rPr>
        <w:t xml:space="preserve"> (1951-1980), (The Hague: Permanent Bureau of the Hague Conference on Private International Law) 106.</w:t>
      </w:r>
    </w:p>
    <w:p w14:paraId="67639CCF" w14:textId="77777777" w:rsidR="00EA3E22" w:rsidRPr="00AA6144" w:rsidRDefault="00EA3E22" w:rsidP="00EA3E22">
      <w:pPr>
        <w:spacing w:after="0" w:line="240" w:lineRule="auto"/>
        <w:ind w:hanging="357"/>
        <w:rPr>
          <w:color w:val="auto"/>
          <w:szCs w:val="18"/>
          <w:lang w:val="en-CA"/>
        </w:rPr>
      </w:pPr>
    </w:p>
    <w:p w14:paraId="7383B05A" w14:textId="77777777" w:rsidR="00EA3E22" w:rsidRPr="00AA6144" w:rsidRDefault="00EA3E22" w:rsidP="00EA3E22">
      <w:pPr>
        <w:spacing w:after="0" w:line="240" w:lineRule="auto"/>
        <w:ind w:hanging="357"/>
        <w:rPr>
          <w:color w:val="auto"/>
          <w:szCs w:val="18"/>
          <w:lang w:val="en-CA" w:eastAsia="en-US"/>
        </w:rPr>
      </w:pPr>
      <w:r w:rsidRPr="00AA6144">
        <w:rPr>
          <w:i/>
          <w:color w:val="auto"/>
          <w:szCs w:val="18"/>
          <w:lang w:val="en-CA" w:eastAsia="en-US"/>
        </w:rPr>
        <w:t xml:space="preserve">Inter-American Convention to Prevent and Punish Torture, </w:t>
      </w:r>
      <w:r w:rsidRPr="00AA6144">
        <w:rPr>
          <w:color w:val="auto"/>
          <w:szCs w:val="18"/>
          <w:lang w:val="en-CA" w:eastAsia="en-US"/>
        </w:rPr>
        <w:t>9 December 1985, OAS TS 67 (entered into force 28 February 1987).</w:t>
      </w:r>
    </w:p>
    <w:p w14:paraId="1E114FE7" w14:textId="77777777" w:rsidR="00EA3E22" w:rsidRPr="00AA6144" w:rsidRDefault="00EA3E22" w:rsidP="00EA3E22">
      <w:pPr>
        <w:spacing w:after="0" w:line="240" w:lineRule="auto"/>
        <w:ind w:hanging="357"/>
        <w:rPr>
          <w:color w:val="auto"/>
          <w:szCs w:val="18"/>
          <w:lang w:val="en-CA" w:eastAsia="en-US"/>
        </w:rPr>
      </w:pPr>
    </w:p>
    <w:p w14:paraId="19331747"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International Convention for the Protection of All Persons from Enforced Disappearance</w:t>
      </w:r>
      <w:r w:rsidRPr="00AA6144">
        <w:rPr>
          <w:color w:val="auto"/>
          <w:szCs w:val="18"/>
          <w:lang w:val="en-CA"/>
        </w:rPr>
        <w:t>, 20 December 2006 UNTS 2715 (entered into force 23 December 2010).</w:t>
      </w:r>
    </w:p>
    <w:p w14:paraId="5810C7C6" w14:textId="77777777" w:rsidR="00EA3E22" w:rsidRPr="00AA6144" w:rsidRDefault="00EA3E22" w:rsidP="00EA3E22">
      <w:pPr>
        <w:spacing w:after="0" w:line="240" w:lineRule="auto"/>
        <w:ind w:hanging="357"/>
        <w:rPr>
          <w:color w:val="auto"/>
          <w:szCs w:val="18"/>
          <w:lang w:val="en-CA"/>
        </w:rPr>
      </w:pPr>
    </w:p>
    <w:p w14:paraId="16CCCDA0" w14:textId="77777777" w:rsidR="00EA3E22" w:rsidRPr="00AA6144" w:rsidRDefault="00EA3E22" w:rsidP="00EA3E22">
      <w:pPr>
        <w:pStyle w:val="FootnoteText"/>
        <w:spacing w:after="0" w:line="240" w:lineRule="auto"/>
        <w:ind w:hanging="357"/>
        <w:jc w:val="both"/>
        <w:rPr>
          <w:color w:val="auto"/>
          <w:sz w:val="18"/>
          <w:szCs w:val="18"/>
          <w:lang w:val="en-CA"/>
        </w:rPr>
      </w:pPr>
      <w:r w:rsidRPr="00AA6144">
        <w:rPr>
          <w:i/>
          <w:color w:val="auto"/>
          <w:sz w:val="18"/>
          <w:szCs w:val="18"/>
          <w:lang w:val="en-CA"/>
        </w:rPr>
        <w:t>International Convention on the Suppression and Punishment of the Crime of Apartheid</w:t>
      </w:r>
      <w:r w:rsidRPr="00AA6144">
        <w:rPr>
          <w:color w:val="auto"/>
          <w:sz w:val="18"/>
          <w:szCs w:val="18"/>
          <w:lang w:val="en-CA"/>
        </w:rPr>
        <w:t>, 30 November 1973, 1015 UNTS 243 (entered into force 18 July 1976).</w:t>
      </w:r>
    </w:p>
    <w:p w14:paraId="49F92CAB" w14:textId="77777777" w:rsidR="00EA3E22" w:rsidRPr="00AA6144" w:rsidRDefault="00EA3E22" w:rsidP="00EA3E22">
      <w:pPr>
        <w:pStyle w:val="FootnoteText"/>
        <w:spacing w:after="0" w:line="240" w:lineRule="auto"/>
        <w:ind w:hanging="357"/>
        <w:jc w:val="both"/>
        <w:rPr>
          <w:color w:val="auto"/>
          <w:sz w:val="18"/>
          <w:szCs w:val="18"/>
          <w:lang w:val="en-CA"/>
        </w:rPr>
      </w:pPr>
    </w:p>
    <w:p w14:paraId="77338924"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International Covenant on Civil and Political Rights</w:t>
      </w:r>
      <w:r w:rsidRPr="00AA6144">
        <w:rPr>
          <w:color w:val="auto"/>
          <w:szCs w:val="18"/>
          <w:lang w:val="en-CA"/>
        </w:rPr>
        <w:t>, 16 December 1966, 999 UNTS 171 (entered into force 23 March 1976).</w:t>
      </w:r>
    </w:p>
    <w:p w14:paraId="0F210EEF" w14:textId="77777777" w:rsidR="00EA3E22" w:rsidRPr="00AA6144" w:rsidRDefault="00EA3E22" w:rsidP="00EA3E22">
      <w:pPr>
        <w:spacing w:after="0" w:line="240" w:lineRule="auto"/>
        <w:ind w:hanging="357"/>
        <w:rPr>
          <w:color w:val="auto"/>
          <w:szCs w:val="18"/>
          <w:lang w:val="en-CA"/>
        </w:rPr>
      </w:pPr>
    </w:p>
    <w:p w14:paraId="0246AD30" w14:textId="77777777" w:rsidR="00EA3E22" w:rsidRPr="00AA6144" w:rsidRDefault="00EA3E22" w:rsidP="00EA3E22">
      <w:pPr>
        <w:spacing w:after="0" w:line="240" w:lineRule="auto"/>
        <w:ind w:hanging="357"/>
        <w:rPr>
          <w:rFonts w:eastAsia="Times-Roman" w:cs="Times-Roman"/>
          <w:color w:val="auto"/>
          <w:szCs w:val="18"/>
          <w:lang w:val="en-CA"/>
        </w:rPr>
      </w:pPr>
      <w:r w:rsidRPr="00AA6144">
        <w:rPr>
          <w:rFonts w:eastAsia="Times-Roman" w:cs="Times-Roman"/>
          <w:i/>
          <w:color w:val="auto"/>
          <w:szCs w:val="18"/>
          <w:lang w:val="en-CA"/>
        </w:rPr>
        <w:t>International Military Tribunal for the Far East Charter</w:t>
      </w:r>
      <w:r w:rsidRPr="00AA6144">
        <w:rPr>
          <w:rFonts w:eastAsia="Times-Roman" w:cs="Times-Roman"/>
          <w:color w:val="auto"/>
          <w:szCs w:val="18"/>
          <w:lang w:val="en-CA"/>
        </w:rPr>
        <w:t>, 19 January 1946.</w:t>
      </w:r>
    </w:p>
    <w:p w14:paraId="6C6EAD0D" w14:textId="77777777" w:rsidR="00EA3E22" w:rsidRPr="00AA6144" w:rsidRDefault="00EA3E22" w:rsidP="00EA3E22">
      <w:pPr>
        <w:spacing w:after="0" w:line="240" w:lineRule="auto"/>
        <w:ind w:hanging="357"/>
        <w:rPr>
          <w:color w:val="auto"/>
          <w:szCs w:val="18"/>
          <w:lang w:val="en-CA"/>
        </w:rPr>
      </w:pPr>
    </w:p>
    <w:p w14:paraId="6CF1C8C7"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Nuclear Terrorism Convention</w:t>
      </w:r>
      <w:r w:rsidRPr="00AA6144">
        <w:rPr>
          <w:color w:val="auto"/>
          <w:szCs w:val="18"/>
          <w:lang w:val="en-CA"/>
        </w:rPr>
        <w:t xml:space="preserve"> (</w:t>
      </w:r>
      <w:r w:rsidRPr="00AA6144">
        <w:rPr>
          <w:i/>
          <w:color w:val="auto"/>
          <w:szCs w:val="18"/>
          <w:lang w:val="en-CA"/>
        </w:rPr>
        <w:t>International Convention for the Suppression of Acts of Nuclear Terrorism</w:t>
      </w:r>
      <w:r w:rsidRPr="00AA6144">
        <w:rPr>
          <w:color w:val="auto"/>
          <w:szCs w:val="18"/>
          <w:lang w:val="en-CA"/>
        </w:rPr>
        <w:t>, 14 September 2005, 2445 UNTS 89 (entered into force 7 July 2007).</w:t>
      </w:r>
    </w:p>
    <w:p w14:paraId="12B07135" w14:textId="77777777" w:rsidR="00EA3E22" w:rsidRPr="00AA6144" w:rsidRDefault="00EA3E22" w:rsidP="00EA3E22">
      <w:pPr>
        <w:spacing w:after="0" w:line="240" w:lineRule="auto"/>
        <w:ind w:hanging="357"/>
        <w:rPr>
          <w:color w:val="auto"/>
          <w:szCs w:val="18"/>
          <w:lang w:val="en-CA"/>
        </w:rPr>
      </w:pPr>
    </w:p>
    <w:p w14:paraId="15F3BBEC" w14:textId="77777777" w:rsidR="00EA3E22" w:rsidRPr="00AA6144" w:rsidRDefault="00EA3E22" w:rsidP="00EA3E22">
      <w:pPr>
        <w:spacing w:after="0" w:line="240" w:lineRule="auto"/>
        <w:ind w:hanging="357"/>
        <w:rPr>
          <w:iCs/>
          <w:color w:val="auto"/>
          <w:szCs w:val="18"/>
          <w:lang w:val="en-CA"/>
        </w:rPr>
      </w:pPr>
      <w:r w:rsidRPr="00AA6144">
        <w:rPr>
          <w:i/>
          <w:iCs/>
          <w:color w:val="auto"/>
          <w:szCs w:val="18"/>
          <w:lang w:val="en-CA"/>
        </w:rPr>
        <w:t xml:space="preserve">Optional Protocol to the Convention on the Rights of the Child on the Involvement of Children in armed conflict, </w:t>
      </w:r>
      <w:r w:rsidRPr="00AA6144">
        <w:rPr>
          <w:iCs/>
          <w:color w:val="auto"/>
          <w:szCs w:val="18"/>
          <w:lang w:val="en-CA"/>
        </w:rPr>
        <w:t>25 May 2000, A/RES/54/263 (entered into force 12 February 2002).</w:t>
      </w:r>
    </w:p>
    <w:p w14:paraId="427D1304" w14:textId="77777777" w:rsidR="00EA3E22" w:rsidRPr="00AA6144" w:rsidRDefault="00EA3E22" w:rsidP="00EA3E22">
      <w:pPr>
        <w:spacing w:after="0" w:line="240" w:lineRule="auto"/>
        <w:ind w:hanging="357"/>
        <w:rPr>
          <w:iCs/>
          <w:color w:val="auto"/>
          <w:szCs w:val="18"/>
          <w:lang w:val="en-CA"/>
        </w:rPr>
      </w:pPr>
    </w:p>
    <w:p w14:paraId="534F68D4" w14:textId="77777777" w:rsidR="00EA3E22" w:rsidRPr="00AA6144" w:rsidRDefault="00EA3E22" w:rsidP="00EA3E22">
      <w:pPr>
        <w:spacing w:after="0" w:line="240" w:lineRule="auto"/>
        <w:ind w:hanging="357"/>
        <w:rPr>
          <w:rFonts w:eastAsia="SimSun"/>
          <w:color w:val="auto"/>
          <w:szCs w:val="18"/>
          <w:lang w:val="en-CA" w:eastAsia="zh-CN"/>
        </w:rPr>
      </w:pPr>
      <w:r w:rsidRPr="00AA6144">
        <w:rPr>
          <w:rFonts w:eastAsia="SimSun"/>
          <w:i/>
          <w:color w:val="auto"/>
          <w:szCs w:val="18"/>
          <w:lang w:val="en-CA" w:eastAsia="zh-CN"/>
        </w:rPr>
        <w:t>Principles of International Law Recognized in the Charter of the Nurnberg Tribunal and in the Judgment of the Tribunal</w:t>
      </w:r>
      <w:r w:rsidRPr="00AA6144">
        <w:rPr>
          <w:rFonts w:eastAsia="SimSun"/>
          <w:color w:val="auto"/>
          <w:szCs w:val="18"/>
          <w:lang w:val="en-CA" w:eastAsia="zh-CN"/>
        </w:rPr>
        <w:t>, Yearbook of the International Law Commission, 1950, vol II.</w:t>
      </w:r>
    </w:p>
    <w:p w14:paraId="287567D5" w14:textId="77777777" w:rsidR="00EA3E22" w:rsidRPr="00AA6144" w:rsidRDefault="00EA3E22" w:rsidP="00EA3E22">
      <w:pPr>
        <w:spacing w:after="0" w:line="240" w:lineRule="auto"/>
        <w:ind w:hanging="357"/>
        <w:rPr>
          <w:iCs/>
          <w:color w:val="auto"/>
          <w:szCs w:val="18"/>
          <w:lang w:val="en-CA"/>
        </w:rPr>
      </w:pPr>
    </w:p>
    <w:p w14:paraId="3B1D0F8D" w14:textId="77777777" w:rsidR="00EA3E22" w:rsidRPr="00AA6144" w:rsidRDefault="00EA3E22" w:rsidP="00EA3E22">
      <w:pPr>
        <w:widowControl/>
        <w:suppressAutoHyphens w:val="0"/>
        <w:spacing w:after="0" w:line="240" w:lineRule="auto"/>
        <w:ind w:hanging="357"/>
        <w:rPr>
          <w:color w:val="auto"/>
          <w:szCs w:val="18"/>
          <w:lang w:val="en-CA"/>
        </w:rPr>
      </w:pPr>
      <w:r w:rsidRPr="00AA6144">
        <w:rPr>
          <w:i/>
          <w:color w:val="auto"/>
          <w:szCs w:val="18"/>
          <w:lang w:val="en-CA"/>
        </w:rPr>
        <w:t>Principles on the Effective Prevention and Investigation of Extra-Legal, Arbitrary and Summary Executions</w:t>
      </w:r>
      <w:r w:rsidRPr="00AA6144">
        <w:rPr>
          <w:color w:val="auto"/>
          <w:szCs w:val="18"/>
          <w:lang w:val="en-CA"/>
        </w:rPr>
        <w:t xml:space="preserve">, recommended by Economic and Social Council Resolution 1989/65, 24 May 1989. </w:t>
      </w:r>
    </w:p>
    <w:p w14:paraId="64EA5E66" w14:textId="77777777" w:rsidR="00EA3E22" w:rsidRPr="00AA6144" w:rsidRDefault="00EA3E22" w:rsidP="00EA3E22">
      <w:pPr>
        <w:widowControl/>
        <w:suppressAutoHyphens w:val="0"/>
        <w:spacing w:after="0" w:line="240" w:lineRule="auto"/>
        <w:ind w:hanging="357"/>
        <w:rPr>
          <w:color w:val="auto"/>
          <w:szCs w:val="18"/>
          <w:lang w:val="en-CA"/>
        </w:rPr>
      </w:pPr>
    </w:p>
    <w:p w14:paraId="0E346884"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 xml:space="preserve">Protocol Additional to the Geneva Conventions of </w:t>
      </w:r>
      <w:proofErr w:type="gramStart"/>
      <w:r w:rsidRPr="00AA6144">
        <w:rPr>
          <w:i/>
          <w:color w:val="auto"/>
          <w:szCs w:val="18"/>
          <w:lang w:val="en-CA"/>
        </w:rPr>
        <w:t>12 August 1949, and</w:t>
      </w:r>
      <w:proofErr w:type="gramEnd"/>
      <w:r w:rsidRPr="00AA6144">
        <w:rPr>
          <w:i/>
          <w:color w:val="auto"/>
          <w:szCs w:val="18"/>
          <w:lang w:val="en-CA"/>
        </w:rPr>
        <w:t xml:space="preserve"> relating to the Protection of Victims of International Armed Conflicts</w:t>
      </w:r>
      <w:r w:rsidRPr="00AA6144">
        <w:rPr>
          <w:color w:val="auto"/>
          <w:szCs w:val="18"/>
          <w:lang w:val="en-CA"/>
        </w:rPr>
        <w:t>, 8 June 1977, 1125 UNTS 3 (entered into force 7 December 1978).</w:t>
      </w:r>
    </w:p>
    <w:p w14:paraId="0B9A544B" w14:textId="77777777" w:rsidR="00EA3E22" w:rsidRPr="00AA6144" w:rsidRDefault="00EA3E22" w:rsidP="00EA3E22">
      <w:pPr>
        <w:spacing w:after="0" w:line="240" w:lineRule="auto"/>
        <w:ind w:hanging="357"/>
        <w:rPr>
          <w:color w:val="auto"/>
          <w:szCs w:val="18"/>
          <w:lang w:val="en-CA"/>
        </w:rPr>
      </w:pPr>
    </w:p>
    <w:p w14:paraId="3AA06789"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 xml:space="preserve">Protocol Additional to the Geneva Conventions of </w:t>
      </w:r>
      <w:proofErr w:type="gramStart"/>
      <w:r w:rsidRPr="00AA6144">
        <w:rPr>
          <w:i/>
          <w:color w:val="auto"/>
          <w:szCs w:val="18"/>
          <w:lang w:val="en-CA"/>
        </w:rPr>
        <w:t>12 August 1949, and</w:t>
      </w:r>
      <w:proofErr w:type="gramEnd"/>
      <w:r w:rsidRPr="00AA6144">
        <w:rPr>
          <w:i/>
          <w:color w:val="auto"/>
          <w:szCs w:val="18"/>
          <w:lang w:val="en-CA"/>
        </w:rPr>
        <w:t xml:space="preserve"> relating to the Protection of Victims of Non-International Armed Conflicts</w:t>
      </w:r>
      <w:r w:rsidRPr="00AA6144">
        <w:rPr>
          <w:color w:val="auto"/>
          <w:szCs w:val="18"/>
          <w:lang w:val="en-CA"/>
        </w:rPr>
        <w:t>, 8 June 1977,1125 UNTS 609 (entered into force 7 December 1978).</w:t>
      </w:r>
    </w:p>
    <w:p w14:paraId="36B0C5A4" w14:textId="77777777" w:rsidR="00EA3E22" w:rsidRPr="00AA6144" w:rsidRDefault="00EA3E22" w:rsidP="00EA3E22">
      <w:pPr>
        <w:spacing w:after="0" w:line="240" w:lineRule="auto"/>
        <w:ind w:hanging="357"/>
        <w:rPr>
          <w:color w:val="auto"/>
          <w:szCs w:val="18"/>
          <w:lang w:val="en-CA"/>
        </w:rPr>
      </w:pPr>
    </w:p>
    <w:p w14:paraId="369AFA5F"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 xml:space="preserve">Protocol Additional to the Geneva Conventions of </w:t>
      </w:r>
      <w:proofErr w:type="gramStart"/>
      <w:r w:rsidRPr="00AA6144">
        <w:rPr>
          <w:i/>
          <w:color w:val="auto"/>
          <w:szCs w:val="18"/>
          <w:lang w:val="en-CA"/>
        </w:rPr>
        <w:t>12 August 1949, and</w:t>
      </w:r>
      <w:proofErr w:type="gramEnd"/>
      <w:r w:rsidRPr="00AA6144">
        <w:rPr>
          <w:i/>
          <w:color w:val="auto"/>
          <w:szCs w:val="18"/>
          <w:lang w:val="en-CA"/>
        </w:rPr>
        <w:t xml:space="preserve"> relating to the Adoption of an Additional Distinctive Emblem</w:t>
      </w:r>
      <w:r w:rsidRPr="00AA6144">
        <w:rPr>
          <w:color w:val="auto"/>
          <w:szCs w:val="18"/>
          <w:lang w:val="en-CA"/>
        </w:rPr>
        <w:t>, 8 December 2005, 2404 UNTS 261 (entered into force 14 January 2007).</w:t>
      </w:r>
    </w:p>
    <w:p w14:paraId="7283E786" w14:textId="77777777" w:rsidR="00EA3E22" w:rsidRPr="00AA6144" w:rsidRDefault="00EA3E22" w:rsidP="00EA3E22">
      <w:pPr>
        <w:spacing w:after="0" w:line="240" w:lineRule="auto"/>
        <w:ind w:hanging="357"/>
        <w:rPr>
          <w:color w:val="auto"/>
          <w:szCs w:val="18"/>
          <w:lang w:val="en-CA"/>
        </w:rPr>
      </w:pPr>
    </w:p>
    <w:p w14:paraId="4955F7CA"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Protocol amending the Single Convention on Narcotic Drugs, 1961</w:t>
      </w:r>
      <w:r w:rsidRPr="00AA6144">
        <w:rPr>
          <w:color w:val="auto"/>
          <w:szCs w:val="18"/>
          <w:lang w:val="en-CA"/>
        </w:rPr>
        <w:t>, 25 March 1972, 976 UNTS 3 (entered into force 8 August 1975).</w:t>
      </w:r>
    </w:p>
    <w:p w14:paraId="020FE0D2" w14:textId="77777777" w:rsidR="00EA3E22" w:rsidRPr="00AA6144" w:rsidRDefault="00EA3E22" w:rsidP="00EA3E22">
      <w:pPr>
        <w:spacing w:after="0" w:line="240" w:lineRule="auto"/>
        <w:ind w:hanging="357"/>
        <w:rPr>
          <w:color w:val="auto"/>
          <w:szCs w:val="18"/>
          <w:lang w:val="en-CA"/>
        </w:rPr>
      </w:pPr>
    </w:p>
    <w:p w14:paraId="36308300"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Protocol amending the Treaty on Extradition between the Government of Canada and the Government of the United States of America</w:t>
      </w:r>
      <w:r w:rsidRPr="00AA6144">
        <w:rPr>
          <w:bCs/>
          <w:color w:val="auto"/>
          <w:szCs w:val="18"/>
          <w:lang w:val="en-CA"/>
        </w:rPr>
        <w:t xml:space="preserve">, 3 </w:t>
      </w:r>
      <w:r w:rsidRPr="00AA6144">
        <w:rPr>
          <w:color w:val="auto"/>
          <w:szCs w:val="18"/>
          <w:lang w:val="en-CA"/>
        </w:rPr>
        <w:t>December 1971.</w:t>
      </w:r>
    </w:p>
    <w:p w14:paraId="7E1E5F01" w14:textId="77777777" w:rsidR="00EA3E22" w:rsidRPr="00AA6144" w:rsidRDefault="00EA3E22" w:rsidP="00EA3E22">
      <w:pPr>
        <w:spacing w:after="0" w:line="240" w:lineRule="auto"/>
        <w:ind w:hanging="357"/>
        <w:rPr>
          <w:color w:val="auto"/>
          <w:szCs w:val="18"/>
          <w:lang w:val="en-CA"/>
        </w:rPr>
      </w:pPr>
    </w:p>
    <w:p w14:paraId="6E2FAF8F" w14:textId="77777777" w:rsidR="00EA3E22" w:rsidRPr="00AA6144" w:rsidRDefault="00EA3E22" w:rsidP="00EA3E22">
      <w:pPr>
        <w:spacing w:after="0" w:line="240" w:lineRule="auto"/>
        <w:ind w:hanging="357"/>
        <w:rPr>
          <w:iCs/>
          <w:color w:val="auto"/>
          <w:szCs w:val="18"/>
          <w:lang w:val="en-CA"/>
        </w:rPr>
      </w:pPr>
      <w:r w:rsidRPr="00AA6144">
        <w:rPr>
          <w:i/>
          <w:iCs/>
          <w:color w:val="auto"/>
          <w:szCs w:val="18"/>
          <w:lang w:val="en-CA"/>
        </w:rPr>
        <w:t xml:space="preserve">Protocol for the prohibition of the use in war of asphyxiating, poisonous or other gases, and of bacteriological methods of warfare, </w:t>
      </w:r>
      <w:r w:rsidRPr="00AA6144">
        <w:rPr>
          <w:iCs/>
          <w:color w:val="auto"/>
          <w:szCs w:val="18"/>
          <w:lang w:val="en-CA"/>
        </w:rPr>
        <w:t>17 June 1925, 94 LNTS 65 (entered into force 8 February 1928).</w:t>
      </w:r>
    </w:p>
    <w:p w14:paraId="366EE714" w14:textId="77777777" w:rsidR="00EA3E22" w:rsidRPr="00AA6144" w:rsidRDefault="00EA3E22" w:rsidP="00EA3E22">
      <w:pPr>
        <w:spacing w:after="0" w:line="240" w:lineRule="auto"/>
        <w:ind w:hanging="357"/>
        <w:rPr>
          <w:color w:val="auto"/>
          <w:szCs w:val="18"/>
          <w:lang w:val="en-CA"/>
        </w:rPr>
      </w:pPr>
    </w:p>
    <w:p w14:paraId="57A3B3EB" w14:textId="77777777" w:rsidR="00EA3E22" w:rsidRPr="00AA6144" w:rsidRDefault="00EA3E22" w:rsidP="00EA3E22">
      <w:pPr>
        <w:spacing w:after="0" w:line="240" w:lineRule="auto"/>
        <w:ind w:hanging="357"/>
        <w:rPr>
          <w:iCs/>
          <w:color w:val="auto"/>
          <w:szCs w:val="18"/>
          <w:lang w:val="en-CA"/>
        </w:rPr>
      </w:pPr>
      <w:r w:rsidRPr="00AA6144">
        <w:rPr>
          <w:i/>
          <w:iCs/>
          <w:color w:val="auto"/>
          <w:szCs w:val="18"/>
          <w:lang w:val="en-CA"/>
        </w:rPr>
        <w:t>Protocol on Explosive Remnants of War to the Convention on Prohibitions or Restrictions on the Use of Certain Conventional Weapons which may be deemed to be Excessively Injurious or to have Indiscriminate Effects</w:t>
      </w:r>
      <w:r w:rsidRPr="00AA6144">
        <w:rPr>
          <w:iCs/>
          <w:color w:val="auto"/>
          <w:szCs w:val="18"/>
          <w:lang w:val="en-CA"/>
        </w:rPr>
        <w:t>, 28 November 2003, 2399 UNTS 100 (entered into force 12 November 2006).</w:t>
      </w:r>
    </w:p>
    <w:p w14:paraId="3E3A2D6A" w14:textId="77777777" w:rsidR="00EA3E22" w:rsidRPr="00AA6144" w:rsidRDefault="00EA3E22" w:rsidP="00EA3E22">
      <w:pPr>
        <w:spacing w:after="0" w:line="240" w:lineRule="auto"/>
        <w:ind w:hanging="357"/>
        <w:rPr>
          <w:color w:val="auto"/>
          <w:szCs w:val="18"/>
          <w:lang w:val="en-CA"/>
        </w:rPr>
      </w:pPr>
    </w:p>
    <w:p w14:paraId="58ED1CB0" w14:textId="11E71D60" w:rsidR="00EA3E22" w:rsidRPr="00AA6144" w:rsidRDefault="00EA3E22" w:rsidP="00EA3E22">
      <w:pPr>
        <w:spacing w:after="0" w:line="240" w:lineRule="auto"/>
        <w:ind w:hanging="357"/>
        <w:rPr>
          <w:color w:val="auto"/>
          <w:szCs w:val="18"/>
          <w:lang w:val="en-CA"/>
        </w:rPr>
      </w:pPr>
      <w:r w:rsidRPr="00AA6144">
        <w:rPr>
          <w:i/>
          <w:iCs/>
          <w:color w:val="auto"/>
          <w:szCs w:val="18"/>
          <w:lang w:val="en-CA"/>
        </w:rPr>
        <w:t>Protocol on Prohibitions or Restrictions on the Use of Mines, Booby-Traps and Other Devices</w:t>
      </w:r>
      <w:r w:rsidRPr="00AA6144">
        <w:rPr>
          <w:color w:val="auto"/>
          <w:szCs w:val="18"/>
          <w:lang w:val="en-CA"/>
        </w:rPr>
        <w:t xml:space="preserve"> as amended on 3 May 1996, 3 May 1996, 2048 UNTS 93 (entered into force 3 December 1998).</w:t>
      </w:r>
    </w:p>
    <w:p w14:paraId="6A5E989B" w14:textId="77777777" w:rsidR="00D03F73" w:rsidRPr="00AA6144" w:rsidRDefault="00D03F73" w:rsidP="00EA3E22">
      <w:pPr>
        <w:spacing w:after="0" w:line="240" w:lineRule="auto"/>
        <w:ind w:hanging="357"/>
        <w:rPr>
          <w:color w:val="auto"/>
          <w:szCs w:val="18"/>
          <w:lang w:val="en-CA"/>
        </w:rPr>
      </w:pPr>
    </w:p>
    <w:p w14:paraId="78E2356B" w14:textId="4A115D02" w:rsidR="00D03F73" w:rsidRPr="00AA6144" w:rsidRDefault="00D03F73" w:rsidP="00EA3E22">
      <w:pPr>
        <w:spacing w:after="0" w:line="240" w:lineRule="auto"/>
        <w:ind w:hanging="357"/>
        <w:rPr>
          <w:color w:val="auto"/>
          <w:szCs w:val="18"/>
          <w:lang w:val="en-CA"/>
        </w:rPr>
      </w:pPr>
      <w:r w:rsidRPr="00AA6144">
        <w:rPr>
          <w:i/>
          <w:color w:val="000000" w:themeColor="text1"/>
          <w:szCs w:val="18"/>
          <w:lang w:val="en-CA"/>
        </w:rPr>
        <w:t>Resolution</w:t>
      </w:r>
      <w:r w:rsidRPr="00AA6144">
        <w:rPr>
          <w:color w:val="000000" w:themeColor="text1"/>
          <w:szCs w:val="18"/>
          <w:lang w:val="en-CA"/>
        </w:rPr>
        <w:t xml:space="preserve"> ICC-ASP/16/res.4 (14 </w:t>
      </w:r>
      <w:proofErr w:type="gramStart"/>
      <w:r w:rsidRPr="00AA6144">
        <w:rPr>
          <w:color w:val="000000" w:themeColor="text1"/>
          <w:szCs w:val="18"/>
          <w:lang w:val="en-CA"/>
        </w:rPr>
        <w:t>December,</w:t>
      </w:r>
      <w:proofErr w:type="gramEnd"/>
      <w:r w:rsidRPr="00AA6144">
        <w:rPr>
          <w:color w:val="000000" w:themeColor="text1"/>
          <w:szCs w:val="18"/>
          <w:lang w:val="en-CA"/>
        </w:rPr>
        <w:t xml:space="preserve"> 2017).</w:t>
      </w:r>
    </w:p>
    <w:p w14:paraId="1B727C55" w14:textId="77777777" w:rsidR="00EA3E22" w:rsidRPr="00AA6144" w:rsidRDefault="00EA3E22" w:rsidP="00EA3E22">
      <w:pPr>
        <w:spacing w:after="0" w:line="240" w:lineRule="auto"/>
        <w:ind w:hanging="357"/>
        <w:rPr>
          <w:color w:val="auto"/>
          <w:szCs w:val="18"/>
          <w:lang w:val="en-CA"/>
        </w:rPr>
      </w:pPr>
    </w:p>
    <w:p w14:paraId="12188E0A"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Rome Statute of the International Criminal Court</w:t>
      </w:r>
      <w:r w:rsidRPr="00AA6144">
        <w:rPr>
          <w:color w:val="auto"/>
          <w:szCs w:val="18"/>
          <w:lang w:val="en-CA"/>
        </w:rPr>
        <w:t>, 17 July 1999, 2187 UNTS 90 (entered into force 1 July 2002).</w:t>
      </w:r>
    </w:p>
    <w:p w14:paraId="530DE235" w14:textId="77777777" w:rsidR="00EA3E22" w:rsidRPr="00AA6144" w:rsidRDefault="00EA3E22" w:rsidP="00EA3E22">
      <w:pPr>
        <w:pStyle w:val="FootnoteText"/>
        <w:spacing w:after="0" w:line="240" w:lineRule="auto"/>
        <w:ind w:hanging="357"/>
        <w:rPr>
          <w:color w:val="auto"/>
          <w:sz w:val="18"/>
          <w:szCs w:val="18"/>
          <w:lang w:val="en-CA"/>
        </w:rPr>
      </w:pPr>
      <w:r w:rsidRPr="00AA6144">
        <w:rPr>
          <w:i/>
          <w:color w:val="auto"/>
          <w:sz w:val="18"/>
          <w:szCs w:val="18"/>
          <w:lang w:val="en-CA"/>
        </w:rPr>
        <w:t xml:space="preserve">Second Optional Protocol to the International Covenant on Civil and Political Rights, </w:t>
      </w:r>
      <w:proofErr w:type="gramStart"/>
      <w:r w:rsidRPr="00AA6144">
        <w:rPr>
          <w:i/>
          <w:color w:val="auto"/>
          <w:sz w:val="18"/>
          <w:szCs w:val="18"/>
          <w:lang w:val="en-CA"/>
        </w:rPr>
        <w:t>Aiming</w:t>
      </w:r>
      <w:proofErr w:type="gramEnd"/>
      <w:r w:rsidRPr="00AA6144">
        <w:rPr>
          <w:i/>
          <w:color w:val="auto"/>
          <w:sz w:val="18"/>
          <w:szCs w:val="18"/>
          <w:lang w:val="en-CA"/>
        </w:rPr>
        <w:t xml:space="preserve"> at the Abolition of the Death Penalty</w:t>
      </w:r>
      <w:r w:rsidRPr="00AA6144">
        <w:rPr>
          <w:color w:val="auto"/>
          <w:sz w:val="18"/>
          <w:szCs w:val="18"/>
          <w:lang w:val="en-CA"/>
        </w:rPr>
        <w:t>, December 15, 1989, UN Doc A/44/128 (entered into force 11 July 1991).</w:t>
      </w:r>
    </w:p>
    <w:p w14:paraId="56ABFD85" w14:textId="77777777" w:rsidR="00EA3E22" w:rsidRPr="00AA6144" w:rsidRDefault="00EA3E22" w:rsidP="00EA3E22">
      <w:pPr>
        <w:pStyle w:val="FootnoteText"/>
        <w:spacing w:after="0" w:line="240" w:lineRule="auto"/>
        <w:ind w:hanging="357"/>
        <w:rPr>
          <w:color w:val="auto"/>
          <w:sz w:val="18"/>
          <w:szCs w:val="18"/>
          <w:lang w:val="en-CA"/>
        </w:rPr>
      </w:pPr>
    </w:p>
    <w:p w14:paraId="7879972B" w14:textId="37C15816" w:rsidR="00EA3E22" w:rsidRPr="00AA6144" w:rsidRDefault="00EA3E22" w:rsidP="00417CF4">
      <w:pPr>
        <w:pStyle w:val="FootnoteText"/>
        <w:spacing w:after="0" w:line="240" w:lineRule="auto"/>
        <w:ind w:hanging="357"/>
        <w:rPr>
          <w:bCs/>
          <w:color w:val="auto"/>
          <w:sz w:val="18"/>
          <w:szCs w:val="18"/>
          <w:lang w:val="en-CA"/>
        </w:rPr>
      </w:pPr>
      <w:r w:rsidRPr="00AA6144">
        <w:rPr>
          <w:i/>
          <w:color w:val="auto"/>
          <w:sz w:val="18"/>
          <w:szCs w:val="18"/>
          <w:lang w:val="en-CA"/>
        </w:rPr>
        <w:t>Second Protocol amending the Treaty on Extradition between the Government of Canada and the Government of the United States of America, 12 January 2001</w:t>
      </w:r>
      <w:r w:rsidRPr="00AA6144">
        <w:rPr>
          <w:bCs/>
          <w:color w:val="auto"/>
          <w:sz w:val="18"/>
          <w:szCs w:val="18"/>
          <w:lang w:val="en-CA"/>
        </w:rPr>
        <w:t xml:space="preserve"> (entry into force 30 April 2003).</w:t>
      </w:r>
    </w:p>
    <w:p w14:paraId="6BA94195" w14:textId="77777777" w:rsidR="00EA3E22" w:rsidRPr="00AA6144" w:rsidRDefault="00EA3E22" w:rsidP="00EA3E22">
      <w:pPr>
        <w:pStyle w:val="FootnoteText"/>
        <w:spacing w:after="0" w:line="240" w:lineRule="auto"/>
        <w:ind w:hanging="357"/>
        <w:rPr>
          <w:bCs/>
          <w:color w:val="auto"/>
          <w:sz w:val="18"/>
          <w:szCs w:val="18"/>
          <w:lang w:val="en-CA"/>
        </w:rPr>
      </w:pPr>
    </w:p>
    <w:p w14:paraId="5745DFCC" w14:textId="77777777" w:rsidR="00EA3E22" w:rsidRPr="00AA6144" w:rsidRDefault="00EA3E22" w:rsidP="00EA3E22">
      <w:pPr>
        <w:spacing w:after="0" w:line="240" w:lineRule="auto"/>
        <w:ind w:hanging="357"/>
        <w:rPr>
          <w:iCs/>
          <w:color w:val="auto"/>
          <w:szCs w:val="18"/>
          <w:lang w:val="en-CA"/>
        </w:rPr>
      </w:pPr>
      <w:r w:rsidRPr="00AA6144">
        <w:rPr>
          <w:i/>
          <w:iCs/>
          <w:color w:val="auto"/>
          <w:szCs w:val="18"/>
          <w:lang w:val="en-CA"/>
        </w:rPr>
        <w:t>Second Protocol to The Hague Convention of 1954 for the Protection of Cultural Property in the Event of Armed Conflict</w:t>
      </w:r>
      <w:r w:rsidRPr="00AA6144">
        <w:rPr>
          <w:iCs/>
          <w:color w:val="auto"/>
          <w:szCs w:val="18"/>
          <w:lang w:val="en-CA"/>
        </w:rPr>
        <w:t>, 26 March 1999, 2253 UNTS 172 (entered into force 9 March 2004).</w:t>
      </w:r>
    </w:p>
    <w:p w14:paraId="2EA779E4" w14:textId="77777777" w:rsidR="00EA3E22" w:rsidRPr="00AA6144" w:rsidRDefault="00EA3E22" w:rsidP="00EA3E22">
      <w:pPr>
        <w:spacing w:after="0" w:line="240" w:lineRule="auto"/>
        <w:ind w:hanging="357"/>
        <w:rPr>
          <w:i/>
          <w:color w:val="auto"/>
          <w:szCs w:val="18"/>
          <w:lang w:val="en-CA"/>
        </w:rPr>
      </w:pPr>
    </w:p>
    <w:p w14:paraId="69FBDF11"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Single Convention on Narcotic Drugs</w:t>
      </w:r>
      <w:r w:rsidRPr="00AA6144">
        <w:rPr>
          <w:color w:val="auto"/>
          <w:szCs w:val="18"/>
          <w:lang w:val="en-CA"/>
        </w:rPr>
        <w:t>, 30 March 1961, 520 UNTS 204 (entered into force 13 December 1964).</w:t>
      </w:r>
    </w:p>
    <w:p w14:paraId="7EA974B3" w14:textId="77777777" w:rsidR="00EA3E22" w:rsidRPr="00AA6144" w:rsidRDefault="00EA3E22" w:rsidP="00EA3E22">
      <w:pPr>
        <w:spacing w:after="0" w:line="240" w:lineRule="auto"/>
        <w:ind w:hanging="357"/>
        <w:rPr>
          <w:color w:val="auto"/>
          <w:szCs w:val="18"/>
          <w:lang w:val="en-CA"/>
        </w:rPr>
      </w:pPr>
    </w:p>
    <w:p w14:paraId="45EEFBF3"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Statute of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1 January 1994 and 31 December 1994</w:t>
      </w:r>
      <w:r w:rsidRPr="00AA6144">
        <w:rPr>
          <w:color w:val="auto"/>
          <w:szCs w:val="18"/>
          <w:lang w:val="en-CA"/>
        </w:rPr>
        <w:t>, adopted by S/RES/955 (1994) amended by S/RES/1165 (1998), S/RES/1329 (2000), 1411 (2002) and 1431 (2002).</w:t>
      </w:r>
    </w:p>
    <w:p w14:paraId="7C447C1B" w14:textId="77777777" w:rsidR="00EA3E22" w:rsidRPr="00AA6144" w:rsidRDefault="00EA3E22" w:rsidP="00EA3E22">
      <w:pPr>
        <w:spacing w:after="0" w:line="240" w:lineRule="auto"/>
        <w:ind w:hanging="357"/>
        <w:rPr>
          <w:color w:val="auto"/>
          <w:szCs w:val="18"/>
          <w:lang w:val="en-CA"/>
        </w:rPr>
      </w:pPr>
    </w:p>
    <w:p w14:paraId="6A5A080D" w14:textId="77777777" w:rsidR="00EA3E22" w:rsidRPr="00AA6144" w:rsidRDefault="00EA3E22" w:rsidP="00EA3E22">
      <w:pPr>
        <w:spacing w:after="0" w:line="240" w:lineRule="auto"/>
        <w:ind w:hanging="357"/>
        <w:rPr>
          <w:rFonts w:eastAsia="Times-Roman" w:cs="Times-Roman"/>
          <w:color w:val="auto"/>
          <w:szCs w:val="18"/>
          <w:lang w:val="en-CA"/>
        </w:rPr>
      </w:pPr>
      <w:r w:rsidRPr="00AA6144">
        <w:rPr>
          <w:rFonts w:eastAsia="Times-Roman" w:cs="Times-Roman"/>
          <w:i/>
          <w:color w:val="auto"/>
          <w:szCs w:val="18"/>
          <w:lang w:val="en-CA"/>
        </w:rPr>
        <w:t>Statute of the International Tribunal for the Prosecution of Persons Responsible for Serious Violations of International Humanitarian Law Committed in the Territory of the Former Yugoslavia since 1991</w:t>
      </w:r>
      <w:r w:rsidRPr="00AA6144">
        <w:rPr>
          <w:rFonts w:eastAsia="Times-Roman" w:cs="Times-Roman"/>
          <w:color w:val="auto"/>
          <w:szCs w:val="18"/>
          <w:lang w:val="en-CA"/>
        </w:rPr>
        <w:t>, UN Doc S/25704 at 36, annex (1993) and S/25704/Add.1 (1993), adopted by S/RES/827 (1993).</w:t>
      </w:r>
    </w:p>
    <w:p w14:paraId="1AF3B876" w14:textId="77777777" w:rsidR="00EA3E22" w:rsidRPr="00AA6144" w:rsidRDefault="00EA3E22" w:rsidP="00EA3E22">
      <w:pPr>
        <w:spacing w:after="0" w:line="240" w:lineRule="auto"/>
        <w:ind w:hanging="357"/>
        <w:rPr>
          <w:rFonts w:eastAsia="Times-Roman" w:cs="Times-Roman"/>
          <w:color w:val="auto"/>
          <w:szCs w:val="18"/>
          <w:lang w:val="en-CA"/>
        </w:rPr>
      </w:pPr>
    </w:p>
    <w:p w14:paraId="12F84343"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Statute of the Special Court for Sierra Leone</w:t>
      </w:r>
      <w:r w:rsidRPr="00AA6144">
        <w:rPr>
          <w:color w:val="auto"/>
          <w:szCs w:val="18"/>
          <w:lang w:val="en-CA"/>
        </w:rPr>
        <w:t xml:space="preserve"> adopted by A/RES/1315 (14 august 2000).</w:t>
      </w:r>
    </w:p>
    <w:p w14:paraId="59392440" w14:textId="77777777" w:rsidR="00EA3E22" w:rsidRPr="00AA6144" w:rsidRDefault="00EA3E22" w:rsidP="00EA3E22">
      <w:pPr>
        <w:spacing w:after="0" w:line="240" w:lineRule="auto"/>
        <w:ind w:hanging="357"/>
        <w:rPr>
          <w:color w:val="auto"/>
          <w:szCs w:val="18"/>
          <w:lang w:val="en-CA"/>
        </w:rPr>
      </w:pPr>
    </w:p>
    <w:p w14:paraId="00308CF6" w14:textId="77777777" w:rsidR="00EA3E22" w:rsidRPr="00AA6144" w:rsidRDefault="00EA3E22" w:rsidP="00EA3E22">
      <w:pPr>
        <w:spacing w:after="0" w:line="240" w:lineRule="auto"/>
        <w:ind w:hanging="357"/>
        <w:rPr>
          <w:color w:val="auto"/>
          <w:szCs w:val="18"/>
          <w:lang w:val="en-CA"/>
        </w:rPr>
      </w:pPr>
      <w:proofErr w:type="gramStart"/>
      <w:r w:rsidRPr="00AA6144">
        <w:rPr>
          <w:i/>
          <w:color w:val="auto"/>
          <w:szCs w:val="18"/>
          <w:lang w:val="en-CA"/>
        </w:rPr>
        <w:t>Treaty between the Government of Canada and the Government of the United States of America on Mutual Legal Assistance in Criminal Matters</w:t>
      </w:r>
      <w:r w:rsidRPr="00AA6144">
        <w:rPr>
          <w:color w:val="auto"/>
          <w:szCs w:val="18"/>
          <w:lang w:val="en-CA"/>
        </w:rPr>
        <w:t>,</w:t>
      </w:r>
      <w:proofErr w:type="gramEnd"/>
      <w:r w:rsidRPr="00AA6144">
        <w:rPr>
          <w:color w:val="auto"/>
          <w:szCs w:val="18"/>
          <w:lang w:val="en-CA"/>
        </w:rPr>
        <w:t xml:space="preserve"> Can TS 1990 No 19, art XVII (2).</w:t>
      </w:r>
    </w:p>
    <w:p w14:paraId="619C6772" w14:textId="77777777" w:rsidR="00EA3E22" w:rsidRPr="00AA6144" w:rsidRDefault="00EA3E22" w:rsidP="00EA3E22">
      <w:pPr>
        <w:spacing w:after="0" w:line="240" w:lineRule="auto"/>
        <w:ind w:hanging="357"/>
        <w:rPr>
          <w:color w:val="auto"/>
          <w:szCs w:val="18"/>
          <w:lang w:val="en-CA"/>
        </w:rPr>
      </w:pPr>
    </w:p>
    <w:p w14:paraId="48397574" w14:textId="77777777" w:rsidR="00EA3E22" w:rsidRPr="00AA6144" w:rsidRDefault="00EA3E22" w:rsidP="00EA3E22">
      <w:pPr>
        <w:spacing w:after="0" w:line="240" w:lineRule="auto"/>
        <w:ind w:hanging="357"/>
        <w:rPr>
          <w:color w:val="auto"/>
          <w:szCs w:val="18"/>
          <w:lang w:val="en-CA"/>
        </w:rPr>
      </w:pPr>
      <w:r w:rsidRPr="00AA6144">
        <w:rPr>
          <w:color w:val="auto"/>
          <w:szCs w:val="18"/>
          <w:lang w:val="en-CA"/>
        </w:rPr>
        <w:t>Treaty on Extradition between the Government of Canada and the Government of the United States of America, 3 December 1971, E101323-Can TS 1976 No 3 (entered into force 22 March 1976).</w:t>
      </w:r>
    </w:p>
    <w:p w14:paraId="5F5BC0B9" w14:textId="77777777" w:rsidR="00EA3E22" w:rsidRPr="00AA6144" w:rsidRDefault="00EA3E22" w:rsidP="00EA3E22">
      <w:pPr>
        <w:spacing w:after="0" w:line="240" w:lineRule="auto"/>
        <w:ind w:hanging="357"/>
        <w:rPr>
          <w:color w:val="auto"/>
          <w:szCs w:val="18"/>
          <w:lang w:val="en-CA"/>
        </w:rPr>
      </w:pPr>
    </w:p>
    <w:p w14:paraId="5DFD7463"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Universal Declaration of Human Rights,</w:t>
      </w:r>
      <w:r w:rsidRPr="00AA6144">
        <w:rPr>
          <w:color w:val="auto"/>
          <w:szCs w:val="18"/>
          <w:lang w:val="en-CA"/>
        </w:rPr>
        <w:t xml:space="preserve"> GA Res 217 (111), UNGAOR, 3d </w:t>
      </w:r>
      <w:proofErr w:type="spellStart"/>
      <w:r w:rsidRPr="00AA6144">
        <w:rPr>
          <w:color w:val="auto"/>
          <w:szCs w:val="18"/>
          <w:lang w:val="en-CA"/>
        </w:rPr>
        <w:t>Sess</w:t>
      </w:r>
      <w:proofErr w:type="spellEnd"/>
      <w:r w:rsidRPr="00AA6144">
        <w:rPr>
          <w:color w:val="auto"/>
          <w:szCs w:val="18"/>
          <w:lang w:val="en-CA"/>
        </w:rPr>
        <w:t>, Supp No 13, UN Doc A/810 (1948) 71.</w:t>
      </w:r>
    </w:p>
    <w:p w14:paraId="5F66EB7B" w14:textId="77777777" w:rsidR="00EA3E22" w:rsidRPr="00AA6144" w:rsidRDefault="00EA3E22" w:rsidP="00EA3E22">
      <w:pPr>
        <w:spacing w:after="0" w:line="240" w:lineRule="auto"/>
        <w:ind w:hanging="357"/>
        <w:rPr>
          <w:b/>
          <w:color w:val="auto"/>
          <w:szCs w:val="18"/>
          <w:lang w:val="en-CA"/>
        </w:rPr>
      </w:pPr>
    </w:p>
    <w:p w14:paraId="0A64AEA5" w14:textId="77777777" w:rsidR="00EA3E22" w:rsidRPr="00AA6144" w:rsidRDefault="00EA3E22" w:rsidP="00EA3E22">
      <w:pPr>
        <w:spacing w:after="0" w:line="240" w:lineRule="auto"/>
        <w:ind w:hanging="357"/>
        <w:rPr>
          <w:color w:val="auto"/>
          <w:szCs w:val="18"/>
          <w:lang w:val="en-CA"/>
        </w:rPr>
      </w:pPr>
      <w:r w:rsidRPr="00AA6144">
        <w:rPr>
          <w:i/>
          <w:color w:val="auto"/>
          <w:szCs w:val="18"/>
          <w:lang w:val="en-CA"/>
        </w:rPr>
        <w:t>Updated Set of principles for the protection and promotion of human rights through action to combat impunity</w:t>
      </w:r>
      <w:r w:rsidRPr="00AA6144">
        <w:rPr>
          <w:color w:val="auto"/>
          <w:szCs w:val="18"/>
          <w:lang w:val="en-CA"/>
        </w:rPr>
        <w:t>, E/CN4/2005/102/Add1 (2005).</w:t>
      </w:r>
    </w:p>
    <w:p w14:paraId="538CA511" w14:textId="77777777" w:rsidR="00EA3E22" w:rsidRPr="00AA6144" w:rsidRDefault="00EA3E22" w:rsidP="00EA3E22">
      <w:pPr>
        <w:spacing w:after="0" w:line="240" w:lineRule="auto"/>
        <w:ind w:hanging="357"/>
        <w:rPr>
          <w:color w:val="auto"/>
          <w:szCs w:val="18"/>
          <w:lang w:val="en-CA"/>
        </w:rPr>
      </w:pPr>
    </w:p>
    <w:p w14:paraId="55A54EB2" w14:textId="77777777" w:rsidR="00EA3E22" w:rsidRPr="00AA6144" w:rsidRDefault="00EA3E22" w:rsidP="00EA3E22">
      <w:pPr>
        <w:spacing w:after="0" w:line="240" w:lineRule="auto"/>
        <w:ind w:hanging="357"/>
        <w:rPr>
          <w:bCs/>
          <w:color w:val="auto"/>
          <w:szCs w:val="18"/>
          <w:lang w:val="en-CA"/>
        </w:rPr>
      </w:pPr>
      <w:r w:rsidRPr="00AA6144">
        <w:rPr>
          <w:bCs/>
          <w:i/>
          <w:color w:val="auto"/>
          <w:szCs w:val="18"/>
          <w:lang w:val="en-CA"/>
        </w:rPr>
        <w:t>Vienna Convention on the Law of Treaties</w:t>
      </w:r>
      <w:r w:rsidRPr="00AA6144">
        <w:rPr>
          <w:bCs/>
          <w:color w:val="auto"/>
          <w:szCs w:val="18"/>
          <w:lang w:val="en-CA"/>
        </w:rPr>
        <w:t>, 23 May 1969, 1155 UNTS 331 (entered into force 27 January 1980).</w:t>
      </w:r>
    </w:p>
    <w:p w14:paraId="41C8F47B" w14:textId="77777777" w:rsidR="00933062" w:rsidRPr="00AA6144" w:rsidRDefault="00933062" w:rsidP="00EA3E22">
      <w:pPr>
        <w:spacing w:after="0" w:line="240" w:lineRule="auto"/>
        <w:ind w:hanging="357"/>
        <w:rPr>
          <w:bCs/>
          <w:color w:val="auto"/>
          <w:szCs w:val="18"/>
          <w:lang w:val="en-CA"/>
        </w:rPr>
      </w:pPr>
    </w:p>
    <w:p w14:paraId="5557E926" w14:textId="77777777" w:rsidR="00933062" w:rsidRPr="00AA6144" w:rsidRDefault="00933062" w:rsidP="00EA3E22">
      <w:pPr>
        <w:spacing w:after="0" w:line="240" w:lineRule="auto"/>
        <w:ind w:hanging="357"/>
        <w:rPr>
          <w:bCs/>
          <w:color w:val="auto"/>
          <w:szCs w:val="18"/>
          <w:lang w:val="en-CA"/>
        </w:rPr>
      </w:pPr>
    </w:p>
    <w:p w14:paraId="2898482C" w14:textId="77777777" w:rsidR="00933062" w:rsidRPr="00AA6144" w:rsidRDefault="00933062" w:rsidP="00971925">
      <w:pPr>
        <w:spacing w:after="0" w:line="240" w:lineRule="auto"/>
        <w:ind w:hanging="357"/>
        <w:rPr>
          <w:bCs/>
          <w:color w:val="auto"/>
          <w:szCs w:val="18"/>
          <w:lang w:val="en-CA"/>
        </w:rPr>
      </w:pPr>
      <w:r w:rsidRPr="00AA6144">
        <w:rPr>
          <w:bCs/>
          <w:color w:val="auto"/>
          <w:szCs w:val="18"/>
          <w:lang w:val="en-CA"/>
        </w:rPr>
        <w:t>CASES</w:t>
      </w:r>
    </w:p>
    <w:p w14:paraId="75159301" w14:textId="77777777" w:rsidR="00933062" w:rsidRPr="00AA6144" w:rsidRDefault="00933062" w:rsidP="00971925">
      <w:pPr>
        <w:spacing w:after="0" w:line="240" w:lineRule="auto"/>
        <w:ind w:hanging="357"/>
        <w:rPr>
          <w:bCs/>
          <w:color w:val="auto"/>
          <w:szCs w:val="18"/>
          <w:lang w:val="en-CA"/>
        </w:rPr>
      </w:pPr>
    </w:p>
    <w:p w14:paraId="57B57117" w14:textId="77777777" w:rsidR="00933062" w:rsidRPr="00AA6144" w:rsidRDefault="00933062" w:rsidP="00971925">
      <w:pPr>
        <w:spacing w:after="0" w:line="240" w:lineRule="auto"/>
        <w:ind w:hanging="357"/>
        <w:rPr>
          <w:color w:val="auto"/>
          <w:szCs w:val="18"/>
          <w:lang w:val="en-CA"/>
        </w:rPr>
      </w:pPr>
      <w:r w:rsidRPr="00AA6144">
        <w:rPr>
          <w:i/>
          <w:color w:val="auto"/>
          <w:szCs w:val="18"/>
          <w:lang w:val="en-CA"/>
        </w:rPr>
        <w:t>Applicability of the Obligation to Arbitrate under Section 21 of the United Nations Headquarters Agreement of 26 June 1947</w:t>
      </w:r>
      <w:r w:rsidRPr="00AA6144">
        <w:rPr>
          <w:color w:val="auto"/>
          <w:szCs w:val="18"/>
          <w:lang w:val="en-CA"/>
        </w:rPr>
        <w:t>, Advisory Opinion [1988] ICJ.</w:t>
      </w:r>
    </w:p>
    <w:p w14:paraId="66C07690" w14:textId="77777777" w:rsidR="00933062" w:rsidRPr="00AA6144" w:rsidRDefault="00933062" w:rsidP="00971925">
      <w:pPr>
        <w:spacing w:after="0" w:line="240" w:lineRule="auto"/>
        <w:ind w:hanging="357"/>
        <w:rPr>
          <w:bCs/>
          <w:color w:val="auto"/>
          <w:szCs w:val="18"/>
          <w:lang w:val="en-CA"/>
        </w:rPr>
      </w:pPr>
    </w:p>
    <w:p w14:paraId="00917225" w14:textId="77777777" w:rsidR="00933062" w:rsidRPr="00356280" w:rsidRDefault="00933062" w:rsidP="00971925">
      <w:pPr>
        <w:spacing w:after="0" w:line="240" w:lineRule="auto"/>
        <w:ind w:hanging="357"/>
        <w:rPr>
          <w:bCs/>
          <w:color w:val="auto"/>
          <w:szCs w:val="18"/>
          <w:lang w:val="es-AR"/>
        </w:rPr>
      </w:pPr>
      <w:r w:rsidRPr="00356280">
        <w:rPr>
          <w:i/>
          <w:color w:val="auto"/>
          <w:szCs w:val="18"/>
          <w:lang w:val="es-AR"/>
        </w:rPr>
        <w:t xml:space="preserve">Barrios Altos v. </w:t>
      </w:r>
      <w:proofErr w:type="spellStart"/>
      <w:r w:rsidRPr="00356280">
        <w:rPr>
          <w:i/>
          <w:color w:val="auto"/>
          <w:szCs w:val="18"/>
          <w:lang w:val="es-AR"/>
        </w:rPr>
        <w:t>Peru</w:t>
      </w:r>
      <w:proofErr w:type="spellEnd"/>
      <w:r w:rsidRPr="00356280">
        <w:rPr>
          <w:color w:val="auto"/>
          <w:szCs w:val="18"/>
          <w:lang w:val="es-AR"/>
        </w:rPr>
        <w:t xml:space="preserve">, IACHR </w:t>
      </w:r>
      <w:proofErr w:type="spellStart"/>
      <w:r w:rsidRPr="00356280">
        <w:rPr>
          <w:color w:val="auto"/>
          <w:szCs w:val="18"/>
          <w:lang w:val="es-AR"/>
        </w:rPr>
        <w:t>Judgment</w:t>
      </w:r>
      <w:proofErr w:type="spellEnd"/>
      <w:r w:rsidRPr="00356280">
        <w:rPr>
          <w:color w:val="auto"/>
          <w:szCs w:val="18"/>
          <w:lang w:val="es-AR"/>
        </w:rPr>
        <w:t>, 14 March 2001.</w:t>
      </w:r>
    </w:p>
    <w:p w14:paraId="66D4A445" w14:textId="77777777" w:rsidR="00933062" w:rsidRPr="00356280" w:rsidRDefault="00933062" w:rsidP="00971925">
      <w:pPr>
        <w:spacing w:after="0" w:line="240" w:lineRule="auto"/>
        <w:ind w:hanging="357"/>
        <w:rPr>
          <w:bCs/>
          <w:color w:val="auto"/>
          <w:szCs w:val="18"/>
          <w:lang w:val="es-AR"/>
        </w:rPr>
      </w:pPr>
    </w:p>
    <w:p w14:paraId="06AED911" w14:textId="77777777" w:rsidR="00933062" w:rsidRPr="00AA6144" w:rsidRDefault="00933062" w:rsidP="00971925">
      <w:pPr>
        <w:spacing w:after="0" w:line="240" w:lineRule="auto"/>
        <w:ind w:hanging="357"/>
        <w:rPr>
          <w:bCs/>
          <w:color w:val="auto"/>
          <w:szCs w:val="18"/>
          <w:lang w:val="en-CA"/>
        </w:rPr>
      </w:pPr>
      <w:r w:rsidRPr="00AA6144">
        <w:rPr>
          <w:i/>
          <w:color w:val="auto"/>
          <w:szCs w:val="18"/>
          <w:lang w:val="en-CA"/>
        </w:rPr>
        <w:t xml:space="preserve">Case of the “Las Dos </w:t>
      </w:r>
      <w:proofErr w:type="spellStart"/>
      <w:r w:rsidRPr="00AA6144">
        <w:rPr>
          <w:i/>
          <w:color w:val="auto"/>
          <w:szCs w:val="18"/>
          <w:lang w:val="en-CA"/>
        </w:rPr>
        <w:t>Erres</w:t>
      </w:r>
      <w:proofErr w:type="spellEnd"/>
      <w:r w:rsidRPr="00AA6144">
        <w:rPr>
          <w:i/>
          <w:color w:val="auto"/>
          <w:szCs w:val="18"/>
          <w:lang w:val="en-CA"/>
        </w:rPr>
        <w:t>” Massacre v Guatemala</w:t>
      </w:r>
      <w:r w:rsidRPr="00AA6144">
        <w:rPr>
          <w:color w:val="auto"/>
          <w:szCs w:val="18"/>
          <w:lang w:val="en-CA"/>
        </w:rPr>
        <w:t xml:space="preserve"> (2009), Preliminary Objection, Merits, Reparations and Costs (24 November 2009), IACHR (Ser C) No. 211.</w:t>
      </w:r>
    </w:p>
    <w:p w14:paraId="7CCA12A0" w14:textId="77777777" w:rsidR="00933062" w:rsidRPr="00AA6144" w:rsidRDefault="00933062" w:rsidP="00971925">
      <w:pPr>
        <w:spacing w:after="0" w:line="240" w:lineRule="auto"/>
        <w:ind w:hanging="357"/>
        <w:rPr>
          <w:bCs/>
          <w:color w:val="auto"/>
          <w:szCs w:val="18"/>
          <w:lang w:val="en-CA"/>
        </w:rPr>
      </w:pPr>
    </w:p>
    <w:p w14:paraId="6F397FD4" w14:textId="77777777" w:rsidR="00933062" w:rsidRPr="00AA6144" w:rsidRDefault="00933062" w:rsidP="00971925">
      <w:pPr>
        <w:spacing w:after="0" w:line="240" w:lineRule="auto"/>
        <w:ind w:hanging="357"/>
        <w:rPr>
          <w:bCs/>
          <w:color w:val="auto"/>
          <w:szCs w:val="18"/>
          <w:lang w:val="en-CA"/>
        </w:rPr>
      </w:pPr>
      <w:r w:rsidRPr="00AA6144">
        <w:rPr>
          <w:i/>
          <w:iCs/>
          <w:color w:val="auto"/>
          <w:szCs w:val="18"/>
          <w:lang w:val="en-CA"/>
        </w:rPr>
        <w:t>Democratic Republic of the Congo v Belgium</w:t>
      </w:r>
      <w:r w:rsidRPr="00AA6144">
        <w:rPr>
          <w:color w:val="auto"/>
          <w:szCs w:val="18"/>
          <w:lang w:val="en-CA"/>
        </w:rPr>
        <w:t>, [2002] ICJ Rep 3.</w:t>
      </w:r>
    </w:p>
    <w:p w14:paraId="0BE9E407" w14:textId="77777777" w:rsidR="00933062" w:rsidRPr="00AA6144" w:rsidRDefault="00933062" w:rsidP="00971925">
      <w:pPr>
        <w:spacing w:after="0" w:line="240" w:lineRule="auto"/>
        <w:ind w:hanging="357"/>
        <w:rPr>
          <w:bCs/>
          <w:color w:val="auto"/>
          <w:szCs w:val="18"/>
          <w:lang w:val="en-CA"/>
        </w:rPr>
      </w:pPr>
    </w:p>
    <w:p w14:paraId="26DD8556" w14:textId="77777777" w:rsidR="00933062" w:rsidRPr="00AA6144" w:rsidRDefault="00933062" w:rsidP="00971925">
      <w:pPr>
        <w:spacing w:after="0" w:line="240" w:lineRule="auto"/>
        <w:ind w:hanging="357"/>
        <w:rPr>
          <w:bCs/>
          <w:color w:val="auto"/>
          <w:szCs w:val="18"/>
          <w:lang w:val="en-CA"/>
        </w:rPr>
      </w:pPr>
      <w:r w:rsidRPr="00AA6144">
        <w:rPr>
          <w:i/>
          <w:color w:val="auto"/>
          <w:szCs w:val="18"/>
          <w:lang w:val="en-CA"/>
        </w:rPr>
        <w:t>Judge v Canada</w:t>
      </w:r>
      <w:r w:rsidRPr="00AA6144">
        <w:rPr>
          <w:color w:val="auto"/>
          <w:szCs w:val="18"/>
          <w:lang w:val="en-CA"/>
        </w:rPr>
        <w:t xml:space="preserve">, Communication No 829/1998, UN Doc CCPR/C/78/D.829/1998 (view adopted 5 August 2003) in </w:t>
      </w:r>
      <w:r w:rsidRPr="00AA6144">
        <w:rPr>
          <w:i/>
          <w:color w:val="auto"/>
          <w:szCs w:val="18"/>
          <w:lang w:val="en-CA"/>
        </w:rPr>
        <w:t>Report of the Human Rights Committee</w:t>
      </w:r>
      <w:r w:rsidRPr="00AA6144">
        <w:rPr>
          <w:color w:val="auto"/>
          <w:szCs w:val="18"/>
          <w:lang w:val="en-CA"/>
        </w:rPr>
        <w:t xml:space="preserve">, UN GAOR, 58th </w:t>
      </w:r>
      <w:proofErr w:type="spellStart"/>
      <w:r w:rsidRPr="00AA6144">
        <w:rPr>
          <w:color w:val="auto"/>
          <w:szCs w:val="18"/>
          <w:lang w:val="en-CA"/>
        </w:rPr>
        <w:t>Sess</w:t>
      </w:r>
      <w:proofErr w:type="spellEnd"/>
      <w:r w:rsidRPr="00AA6144">
        <w:rPr>
          <w:color w:val="auto"/>
          <w:szCs w:val="18"/>
          <w:lang w:val="en-CA"/>
        </w:rPr>
        <w:t>, Supp No 40, UN Doc A/58/40, vol 2 (2003) annex VI.G reprinted in (2003) 42 ILM 1214 and (2004) 11 IHRR 125.</w:t>
      </w:r>
    </w:p>
    <w:p w14:paraId="1B50EED7" w14:textId="77777777" w:rsidR="00933062" w:rsidRPr="00AA6144" w:rsidRDefault="00933062" w:rsidP="00971925">
      <w:pPr>
        <w:spacing w:after="0" w:line="240" w:lineRule="auto"/>
        <w:ind w:hanging="357"/>
        <w:rPr>
          <w:bCs/>
          <w:color w:val="auto"/>
          <w:szCs w:val="18"/>
          <w:lang w:val="en-CA"/>
        </w:rPr>
      </w:pPr>
    </w:p>
    <w:p w14:paraId="0AE7633C" w14:textId="6290B653" w:rsidR="00933062" w:rsidRPr="00AA6144" w:rsidRDefault="00933062" w:rsidP="00971925">
      <w:pPr>
        <w:spacing w:after="0" w:line="240" w:lineRule="auto"/>
        <w:ind w:hanging="357"/>
        <w:rPr>
          <w:color w:val="auto"/>
          <w:szCs w:val="18"/>
          <w:lang w:val="en-CA"/>
        </w:rPr>
      </w:pPr>
      <w:r w:rsidRPr="00AA6144">
        <w:rPr>
          <w:i/>
          <w:color w:val="auto"/>
          <w:szCs w:val="18"/>
          <w:lang w:val="en-CA"/>
        </w:rPr>
        <w:t xml:space="preserve">Prosecutor v </w:t>
      </w:r>
      <w:proofErr w:type="spellStart"/>
      <w:r w:rsidRPr="00AA6144">
        <w:rPr>
          <w:i/>
          <w:color w:val="auto"/>
          <w:szCs w:val="18"/>
          <w:lang w:val="en-CA"/>
        </w:rPr>
        <w:t>Akayesu</w:t>
      </w:r>
      <w:proofErr w:type="spellEnd"/>
      <w:r w:rsidRPr="00AA6144">
        <w:rPr>
          <w:i/>
          <w:color w:val="auto"/>
          <w:szCs w:val="18"/>
          <w:lang w:val="en-CA"/>
        </w:rPr>
        <w:t xml:space="preserve">, </w:t>
      </w:r>
      <w:r w:rsidRPr="00AA6144">
        <w:rPr>
          <w:color w:val="auto"/>
          <w:szCs w:val="18"/>
          <w:lang w:val="en-CA"/>
        </w:rPr>
        <w:t>(Judgment) 1 June 2001 (ICTR Appeals Chamber).</w:t>
      </w:r>
    </w:p>
    <w:p w14:paraId="69D69FF4" w14:textId="77777777" w:rsidR="00933062" w:rsidRPr="00AA6144" w:rsidRDefault="00933062" w:rsidP="00AA6144">
      <w:pPr>
        <w:spacing w:after="0" w:line="240" w:lineRule="auto"/>
        <w:rPr>
          <w:bCs/>
          <w:color w:val="auto"/>
          <w:szCs w:val="18"/>
          <w:lang w:val="en-CA"/>
        </w:rPr>
      </w:pPr>
    </w:p>
    <w:p w14:paraId="69C34574" w14:textId="77777777" w:rsidR="00933062" w:rsidRPr="00AA6144" w:rsidRDefault="00933062" w:rsidP="00971925">
      <w:pPr>
        <w:spacing w:after="0" w:line="240" w:lineRule="auto"/>
        <w:ind w:hanging="357"/>
        <w:rPr>
          <w:bCs/>
          <w:color w:val="auto"/>
          <w:szCs w:val="18"/>
          <w:lang w:val="en-CA"/>
        </w:rPr>
      </w:pPr>
      <w:r w:rsidRPr="00AA6144">
        <w:rPr>
          <w:i/>
          <w:iCs/>
          <w:color w:val="auto"/>
          <w:szCs w:val="18"/>
          <w:lang w:val="en-CA"/>
        </w:rPr>
        <w:t xml:space="preserve">Prosecutor v </w:t>
      </w:r>
      <w:proofErr w:type="spellStart"/>
      <w:r w:rsidRPr="00AA6144">
        <w:rPr>
          <w:i/>
          <w:iCs/>
          <w:color w:val="auto"/>
          <w:szCs w:val="18"/>
          <w:lang w:val="en-CA"/>
        </w:rPr>
        <w:t>Akayesu</w:t>
      </w:r>
      <w:proofErr w:type="spellEnd"/>
      <w:r w:rsidRPr="00AA6144">
        <w:rPr>
          <w:color w:val="auto"/>
          <w:szCs w:val="18"/>
          <w:lang w:val="en-CA"/>
        </w:rPr>
        <w:t>, [1998] 9 IHRR 608.</w:t>
      </w:r>
    </w:p>
    <w:p w14:paraId="26706E76" w14:textId="77777777" w:rsidR="00933062" w:rsidRPr="00AA6144" w:rsidRDefault="00933062" w:rsidP="00AA6144">
      <w:pPr>
        <w:spacing w:after="0" w:line="240" w:lineRule="auto"/>
        <w:rPr>
          <w:bCs/>
          <w:color w:val="auto"/>
          <w:szCs w:val="18"/>
          <w:lang w:val="en-CA"/>
        </w:rPr>
      </w:pPr>
    </w:p>
    <w:p w14:paraId="424A77E4" w14:textId="77777777" w:rsidR="00933062" w:rsidRPr="00AA6144" w:rsidRDefault="00933062" w:rsidP="00971925">
      <w:pPr>
        <w:spacing w:after="0" w:line="240" w:lineRule="auto"/>
        <w:ind w:hanging="357"/>
        <w:rPr>
          <w:bCs/>
          <w:color w:val="auto"/>
          <w:szCs w:val="18"/>
          <w:lang w:val="en-CA"/>
        </w:rPr>
      </w:pPr>
      <w:r w:rsidRPr="00AA6144">
        <w:rPr>
          <w:i/>
          <w:color w:val="auto"/>
          <w:szCs w:val="18"/>
          <w:lang w:val="en-CA"/>
        </w:rPr>
        <w:t xml:space="preserve">Prosecutor v </w:t>
      </w:r>
      <w:proofErr w:type="spellStart"/>
      <w:r w:rsidRPr="00AA6144">
        <w:rPr>
          <w:i/>
          <w:color w:val="auto"/>
          <w:szCs w:val="18"/>
          <w:lang w:val="en-CA"/>
        </w:rPr>
        <w:t>Bagaragaza</w:t>
      </w:r>
      <w:proofErr w:type="spellEnd"/>
      <w:r w:rsidRPr="00AA6144">
        <w:rPr>
          <w:color w:val="auto"/>
          <w:szCs w:val="18"/>
          <w:lang w:val="en-CA"/>
        </w:rPr>
        <w:t xml:space="preserve">, Decision on Rule 11 </w:t>
      </w:r>
      <w:r w:rsidRPr="00AA6144">
        <w:rPr>
          <w:i/>
          <w:color w:val="auto"/>
          <w:szCs w:val="18"/>
          <w:lang w:val="en-CA"/>
        </w:rPr>
        <w:t>bis</w:t>
      </w:r>
      <w:r w:rsidRPr="00AA6144">
        <w:rPr>
          <w:color w:val="auto"/>
          <w:szCs w:val="18"/>
          <w:lang w:val="en-CA"/>
        </w:rPr>
        <w:t xml:space="preserve"> Appeal, ICTR-05-86- AR11 </w:t>
      </w:r>
      <w:r w:rsidRPr="00AA6144">
        <w:rPr>
          <w:i/>
          <w:color w:val="auto"/>
          <w:szCs w:val="18"/>
          <w:lang w:val="en-CA"/>
        </w:rPr>
        <w:t>bis</w:t>
      </w:r>
      <w:r w:rsidRPr="00AA6144">
        <w:rPr>
          <w:color w:val="auto"/>
          <w:szCs w:val="18"/>
          <w:lang w:val="en-CA"/>
        </w:rPr>
        <w:t>, Appeals Chamber (30 August 2006).</w:t>
      </w:r>
    </w:p>
    <w:p w14:paraId="3DE63A33" w14:textId="77777777" w:rsidR="00933062" w:rsidRPr="00AA6144" w:rsidRDefault="00933062" w:rsidP="00971925">
      <w:pPr>
        <w:spacing w:after="0" w:line="240" w:lineRule="auto"/>
        <w:ind w:hanging="357"/>
        <w:rPr>
          <w:bCs/>
          <w:color w:val="auto"/>
          <w:szCs w:val="18"/>
          <w:lang w:val="en-CA"/>
        </w:rPr>
      </w:pPr>
    </w:p>
    <w:p w14:paraId="44537E3C" w14:textId="15C95556" w:rsidR="00933062" w:rsidRPr="00AA6144" w:rsidRDefault="00933062" w:rsidP="00971925">
      <w:pPr>
        <w:spacing w:after="0" w:line="240" w:lineRule="auto"/>
        <w:ind w:hanging="357"/>
        <w:rPr>
          <w:color w:val="auto"/>
          <w:szCs w:val="18"/>
          <w:lang w:val="en-CA"/>
        </w:rPr>
      </w:pPr>
      <w:r w:rsidRPr="00AA6144">
        <w:rPr>
          <w:i/>
          <w:color w:val="auto"/>
          <w:szCs w:val="18"/>
          <w:lang w:val="en-CA"/>
        </w:rPr>
        <w:t xml:space="preserve">Prosecutor v </w:t>
      </w:r>
      <w:proofErr w:type="spellStart"/>
      <w:r w:rsidRPr="00AA6144">
        <w:rPr>
          <w:i/>
          <w:color w:val="auto"/>
          <w:szCs w:val="18"/>
          <w:lang w:val="en-CA"/>
        </w:rPr>
        <w:t>Bagaragaza</w:t>
      </w:r>
      <w:proofErr w:type="spellEnd"/>
      <w:r w:rsidRPr="00AA6144">
        <w:rPr>
          <w:color w:val="auto"/>
          <w:szCs w:val="18"/>
          <w:lang w:val="en-CA"/>
        </w:rPr>
        <w:t xml:space="preserve">, Decision on the Prosecution Motion for Referral to the Kingdom of Norway – Rule 11 </w:t>
      </w:r>
      <w:r w:rsidRPr="00AA6144">
        <w:rPr>
          <w:i/>
          <w:color w:val="auto"/>
          <w:szCs w:val="18"/>
          <w:lang w:val="en-CA"/>
        </w:rPr>
        <w:t>bis</w:t>
      </w:r>
      <w:r w:rsidRPr="00AA6144">
        <w:rPr>
          <w:color w:val="auto"/>
          <w:szCs w:val="18"/>
          <w:lang w:val="en-CA"/>
        </w:rPr>
        <w:t xml:space="preserve"> of the Rules of Procedure and Evidence, ICTR-2005-86-11 </w:t>
      </w:r>
      <w:r w:rsidRPr="00AA6144">
        <w:rPr>
          <w:i/>
          <w:color w:val="auto"/>
          <w:szCs w:val="18"/>
          <w:lang w:val="en-CA"/>
        </w:rPr>
        <w:t>bis</w:t>
      </w:r>
      <w:r w:rsidRPr="00AA6144">
        <w:rPr>
          <w:color w:val="auto"/>
          <w:szCs w:val="18"/>
          <w:lang w:val="en-CA"/>
        </w:rPr>
        <w:t>, Trial Chamber (19 May 2006).</w:t>
      </w:r>
    </w:p>
    <w:p w14:paraId="67DB85CD" w14:textId="6BA90733" w:rsidR="008F5C09" w:rsidRPr="00AA6144" w:rsidRDefault="008F5C09" w:rsidP="00971925">
      <w:pPr>
        <w:spacing w:after="0" w:line="240" w:lineRule="auto"/>
        <w:ind w:hanging="357"/>
        <w:rPr>
          <w:color w:val="auto"/>
          <w:szCs w:val="18"/>
          <w:lang w:val="en-CA"/>
        </w:rPr>
      </w:pPr>
    </w:p>
    <w:p w14:paraId="0BB13864" w14:textId="6AC3F30D" w:rsidR="008F5C09" w:rsidRPr="00AA6144" w:rsidRDefault="008F5C09" w:rsidP="008F5C09">
      <w:pPr>
        <w:spacing w:after="0" w:line="240" w:lineRule="auto"/>
        <w:ind w:hanging="357"/>
        <w:rPr>
          <w:color w:val="auto"/>
          <w:szCs w:val="18"/>
          <w:lang w:val="en-CA"/>
        </w:rPr>
      </w:pPr>
      <w:r w:rsidRPr="00AA6144">
        <w:rPr>
          <w:i/>
          <w:szCs w:val="18"/>
          <w:lang w:val="en-CA"/>
        </w:rPr>
        <w:t xml:space="preserve">Prosecutor v. Dominic </w:t>
      </w:r>
      <w:proofErr w:type="spellStart"/>
      <w:r w:rsidRPr="00AA6144">
        <w:rPr>
          <w:i/>
          <w:szCs w:val="18"/>
          <w:lang w:val="en-CA"/>
        </w:rPr>
        <w:t>Ongwen</w:t>
      </w:r>
      <w:proofErr w:type="spellEnd"/>
      <w:r w:rsidRPr="00AA6144">
        <w:rPr>
          <w:szCs w:val="18"/>
          <w:lang w:val="en-CA"/>
        </w:rPr>
        <w:t xml:space="preserve">, Case </w:t>
      </w:r>
      <w:r w:rsidRPr="00AA6144">
        <w:rPr>
          <w:rFonts w:ascii="Palatino Linotype" w:hAnsi="Palatino Linotype"/>
          <w:color w:val="auto"/>
          <w:szCs w:val="18"/>
          <w:lang w:val="en-CA" w:eastAsia="en-US"/>
        </w:rPr>
        <w:t>No</w:t>
      </w:r>
      <w:r w:rsidRPr="00AA6144">
        <w:rPr>
          <w:rFonts w:ascii="Palatino Linotype,Bold" w:hAnsi="Palatino Linotype,Bold"/>
          <w:color w:val="auto"/>
          <w:szCs w:val="18"/>
          <w:lang w:val="en-CA" w:eastAsia="en-US"/>
        </w:rPr>
        <w:t xml:space="preserve"> ICC-02/04-01/15, judgement (23 March 2016)</w:t>
      </w:r>
      <w:r w:rsidRPr="00AA6144">
        <w:rPr>
          <w:color w:val="auto"/>
          <w:szCs w:val="18"/>
          <w:lang w:val="en-CA"/>
        </w:rPr>
        <w:t>.</w:t>
      </w:r>
    </w:p>
    <w:p w14:paraId="28CD1D29" w14:textId="77777777" w:rsidR="008F5C09" w:rsidRPr="00AA6144" w:rsidRDefault="008F5C09" w:rsidP="008F5C09">
      <w:pPr>
        <w:spacing w:after="0" w:line="240" w:lineRule="auto"/>
        <w:ind w:hanging="357"/>
        <w:rPr>
          <w:i/>
          <w:sz w:val="16"/>
          <w:szCs w:val="16"/>
          <w:highlight w:val="yellow"/>
          <w:lang w:val="en-CA"/>
        </w:rPr>
      </w:pPr>
    </w:p>
    <w:p w14:paraId="4E8627C9" w14:textId="6DA0C642" w:rsidR="008F5C09" w:rsidRPr="00AA6144" w:rsidRDefault="008F5C09" w:rsidP="008F5C09">
      <w:pPr>
        <w:spacing w:after="0" w:line="240" w:lineRule="auto"/>
        <w:ind w:hanging="357"/>
        <w:rPr>
          <w:color w:val="auto"/>
          <w:szCs w:val="18"/>
          <w:lang w:val="en-CA"/>
        </w:rPr>
      </w:pPr>
      <w:r w:rsidRPr="00AA6144">
        <w:rPr>
          <w:i/>
          <w:szCs w:val="18"/>
          <w:lang w:val="en-CA"/>
        </w:rPr>
        <w:t xml:space="preserve">Prosecutor v. </w:t>
      </w:r>
      <w:proofErr w:type="spellStart"/>
      <w:r w:rsidRPr="00AA6144">
        <w:rPr>
          <w:i/>
          <w:szCs w:val="18"/>
          <w:lang w:val="en-CA"/>
        </w:rPr>
        <w:t>Dusko</w:t>
      </w:r>
      <w:proofErr w:type="spellEnd"/>
      <w:r w:rsidRPr="00AA6144">
        <w:rPr>
          <w:i/>
          <w:szCs w:val="18"/>
          <w:lang w:val="en-CA"/>
        </w:rPr>
        <w:t xml:space="preserve"> Tadic aka “Dule”,</w:t>
      </w:r>
      <w:r w:rsidRPr="00AA6144">
        <w:rPr>
          <w:szCs w:val="18"/>
          <w:lang w:val="en-CA"/>
        </w:rPr>
        <w:t xml:space="preserve"> Case </w:t>
      </w:r>
      <w:r w:rsidRPr="00AA6144">
        <w:rPr>
          <w:rFonts w:ascii="Palatino Linotype" w:hAnsi="Palatino Linotype"/>
          <w:szCs w:val="18"/>
          <w:lang w:val="en-CA"/>
        </w:rPr>
        <w:t>No</w:t>
      </w:r>
      <w:r w:rsidRPr="00AA6144">
        <w:rPr>
          <w:rFonts w:ascii="Palatino Linotype,Bold" w:hAnsi="Palatino Linotype,Bold"/>
          <w:szCs w:val="18"/>
          <w:lang w:val="en-CA"/>
        </w:rPr>
        <w:t xml:space="preserve"> IT-94-1, ICTY Appeals Chamber (2 October 1995)</w:t>
      </w:r>
      <w:r w:rsidRPr="00AA6144">
        <w:rPr>
          <w:szCs w:val="18"/>
          <w:lang w:val="en-CA"/>
        </w:rPr>
        <w:t>.</w:t>
      </w:r>
    </w:p>
    <w:p w14:paraId="521E971E" w14:textId="77777777" w:rsidR="00933062" w:rsidRPr="00AA6144" w:rsidRDefault="00933062" w:rsidP="00971925">
      <w:pPr>
        <w:spacing w:after="0" w:line="240" w:lineRule="auto"/>
        <w:ind w:hanging="357"/>
        <w:rPr>
          <w:color w:val="auto"/>
          <w:szCs w:val="18"/>
          <w:lang w:val="en-CA"/>
        </w:rPr>
      </w:pPr>
    </w:p>
    <w:p w14:paraId="7A983323" w14:textId="77777777" w:rsidR="00933062" w:rsidRPr="00AA6144" w:rsidRDefault="00933062" w:rsidP="00971925">
      <w:pPr>
        <w:spacing w:after="0" w:line="240" w:lineRule="auto"/>
        <w:ind w:hanging="357"/>
        <w:rPr>
          <w:bCs/>
          <w:color w:val="auto"/>
          <w:szCs w:val="18"/>
          <w:lang w:val="en-CA"/>
        </w:rPr>
      </w:pPr>
      <w:r w:rsidRPr="00AA6144">
        <w:rPr>
          <w:i/>
          <w:color w:val="auto"/>
          <w:szCs w:val="18"/>
          <w:lang w:val="en-CA"/>
        </w:rPr>
        <w:t xml:space="preserve">Prosecutor v </w:t>
      </w:r>
      <w:proofErr w:type="spellStart"/>
      <w:r w:rsidRPr="00AA6144">
        <w:rPr>
          <w:i/>
          <w:color w:val="auto"/>
          <w:szCs w:val="18"/>
          <w:lang w:val="en-CA"/>
        </w:rPr>
        <w:t>Dusko</w:t>
      </w:r>
      <w:proofErr w:type="spellEnd"/>
      <w:r w:rsidRPr="00AA6144">
        <w:rPr>
          <w:i/>
          <w:color w:val="auto"/>
          <w:szCs w:val="18"/>
          <w:lang w:val="en-CA"/>
        </w:rPr>
        <w:t xml:space="preserve"> Tadic,</w:t>
      </w:r>
      <w:r w:rsidRPr="00AA6144">
        <w:rPr>
          <w:color w:val="auto"/>
          <w:szCs w:val="18"/>
          <w:lang w:val="en-CA"/>
        </w:rPr>
        <w:t xml:space="preserve"> Case No IT-94-1-A, 15 July 1999.</w:t>
      </w:r>
    </w:p>
    <w:p w14:paraId="3BEEAC5E" w14:textId="77777777" w:rsidR="00933062" w:rsidRPr="00AA6144" w:rsidRDefault="00933062" w:rsidP="00971925">
      <w:pPr>
        <w:spacing w:after="0" w:line="240" w:lineRule="auto"/>
        <w:ind w:hanging="357"/>
        <w:rPr>
          <w:bCs/>
          <w:color w:val="auto"/>
          <w:szCs w:val="18"/>
          <w:lang w:val="en-CA"/>
        </w:rPr>
      </w:pPr>
    </w:p>
    <w:p w14:paraId="4E57664B" w14:textId="77777777" w:rsidR="00933062" w:rsidRPr="00AA6144" w:rsidRDefault="00933062" w:rsidP="00971925">
      <w:pPr>
        <w:spacing w:after="0" w:line="240" w:lineRule="auto"/>
        <w:ind w:hanging="357"/>
        <w:rPr>
          <w:bCs/>
          <w:color w:val="auto"/>
          <w:szCs w:val="18"/>
          <w:lang w:val="en-CA"/>
        </w:rPr>
      </w:pPr>
      <w:r w:rsidRPr="00AA6144">
        <w:rPr>
          <w:i/>
          <w:color w:val="auto"/>
          <w:szCs w:val="18"/>
          <w:lang w:val="en-CA"/>
        </w:rPr>
        <w:t xml:space="preserve">Prosecutor v </w:t>
      </w:r>
      <w:proofErr w:type="spellStart"/>
      <w:r w:rsidRPr="00AA6144">
        <w:rPr>
          <w:i/>
          <w:color w:val="auto"/>
          <w:szCs w:val="18"/>
          <w:lang w:val="en-CA"/>
        </w:rPr>
        <w:t>Furundzija</w:t>
      </w:r>
      <w:proofErr w:type="spellEnd"/>
      <w:r w:rsidRPr="00AA6144">
        <w:rPr>
          <w:color w:val="auto"/>
          <w:szCs w:val="18"/>
          <w:lang w:val="en-CA"/>
        </w:rPr>
        <w:t>, ICTY Judgment, IT-95-17/1-T, 10 December 1998.</w:t>
      </w:r>
    </w:p>
    <w:p w14:paraId="09FC246A" w14:textId="77777777" w:rsidR="00933062" w:rsidRPr="00AA6144" w:rsidRDefault="00933062" w:rsidP="00971925">
      <w:pPr>
        <w:spacing w:after="0" w:line="240" w:lineRule="auto"/>
        <w:ind w:hanging="357"/>
        <w:rPr>
          <w:bCs/>
          <w:color w:val="auto"/>
          <w:szCs w:val="18"/>
          <w:lang w:val="en-CA"/>
        </w:rPr>
      </w:pPr>
    </w:p>
    <w:p w14:paraId="290DAFD4" w14:textId="77777777" w:rsidR="00933062" w:rsidRPr="00356280" w:rsidRDefault="00933062" w:rsidP="00971925">
      <w:pPr>
        <w:spacing w:after="0" w:line="240" w:lineRule="auto"/>
        <w:ind w:hanging="357"/>
        <w:rPr>
          <w:color w:val="auto"/>
          <w:szCs w:val="18"/>
          <w:lang w:val="en-CA"/>
        </w:rPr>
      </w:pPr>
      <w:r w:rsidRPr="00356280">
        <w:rPr>
          <w:i/>
          <w:color w:val="auto"/>
          <w:szCs w:val="18"/>
          <w:lang w:val="en-CA"/>
        </w:rPr>
        <w:t>Rodriguez v Uruguay</w:t>
      </w:r>
      <w:r w:rsidRPr="00356280">
        <w:rPr>
          <w:color w:val="auto"/>
          <w:szCs w:val="18"/>
          <w:lang w:val="en-CA"/>
        </w:rPr>
        <w:t>, UNHRC Communication No 322/1988, 19 July 1994.</w:t>
      </w:r>
    </w:p>
    <w:p w14:paraId="0D1F3022" w14:textId="77777777" w:rsidR="00933062" w:rsidRPr="00356280" w:rsidRDefault="00933062" w:rsidP="00971925">
      <w:pPr>
        <w:spacing w:after="0" w:line="240" w:lineRule="auto"/>
        <w:ind w:hanging="357"/>
        <w:rPr>
          <w:color w:val="auto"/>
          <w:szCs w:val="18"/>
          <w:lang w:val="en-CA"/>
        </w:rPr>
      </w:pPr>
    </w:p>
    <w:p w14:paraId="00865336" w14:textId="77777777" w:rsidR="00933062" w:rsidRPr="00356280" w:rsidRDefault="00933062" w:rsidP="00971925">
      <w:pPr>
        <w:spacing w:after="0" w:line="240" w:lineRule="auto"/>
        <w:ind w:hanging="357"/>
        <w:rPr>
          <w:color w:val="auto"/>
          <w:szCs w:val="18"/>
          <w:lang w:val="en-CA"/>
        </w:rPr>
      </w:pPr>
    </w:p>
    <w:p w14:paraId="3C32DD57" w14:textId="77777777" w:rsidR="00933062" w:rsidRPr="00356280" w:rsidRDefault="00933062" w:rsidP="00971925">
      <w:pPr>
        <w:spacing w:after="0" w:line="240" w:lineRule="auto"/>
        <w:ind w:hanging="357"/>
        <w:rPr>
          <w:color w:val="auto"/>
          <w:szCs w:val="18"/>
          <w:lang w:val="en-CA"/>
        </w:rPr>
      </w:pPr>
      <w:r w:rsidRPr="00356280">
        <w:rPr>
          <w:color w:val="auto"/>
          <w:szCs w:val="18"/>
          <w:lang w:val="en-CA"/>
        </w:rPr>
        <w:t>UN DOCUMENTS</w:t>
      </w:r>
    </w:p>
    <w:p w14:paraId="06621838" w14:textId="77777777" w:rsidR="00933062" w:rsidRPr="00356280" w:rsidRDefault="00933062" w:rsidP="00971925">
      <w:pPr>
        <w:spacing w:after="0" w:line="240" w:lineRule="auto"/>
        <w:ind w:hanging="357"/>
        <w:rPr>
          <w:color w:val="auto"/>
          <w:szCs w:val="18"/>
          <w:lang w:val="en-CA"/>
        </w:rPr>
      </w:pPr>
    </w:p>
    <w:p w14:paraId="7C47D177" w14:textId="77777777" w:rsidR="00933062" w:rsidRPr="00356280" w:rsidRDefault="00933062" w:rsidP="00971925">
      <w:pPr>
        <w:spacing w:after="0" w:line="240" w:lineRule="auto"/>
        <w:ind w:hanging="357"/>
        <w:rPr>
          <w:color w:val="auto"/>
          <w:szCs w:val="18"/>
          <w:lang w:val="en-US"/>
        </w:rPr>
      </w:pPr>
      <w:r w:rsidRPr="00356280">
        <w:rPr>
          <w:color w:val="auto"/>
          <w:szCs w:val="18"/>
          <w:lang w:val="en-US"/>
        </w:rPr>
        <w:t xml:space="preserve">Committee against Torture, </w:t>
      </w:r>
      <w:r w:rsidRPr="00356280">
        <w:rPr>
          <w:i/>
          <w:color w:val="auto"/>
          <w:szCs w:val="18"/>
          <w:lang w:val="en-US"/>
        </w:rPr>
        <w:t>General Comment 2 (Implementation of article 2 by States parties)</w:t>
      </w:r>
      <w:r w:rsidRPr="00356280">
        <w:rPr>
          <w:color w:val="auto"/>
          <w:szCs w:val="18"/>
          <w:lang w:val="en-US"/>
        </w:rPr>
        <w:t>, 2008, UN Doc CAT/C/GC/2.</w:t>
      </w:r>
    </w:p>
    <w:p w14:paraId="6A3BBA1D" w14:textId="77777777" w:rsidR="00933062" w:rsidRPr="00356280" w:rsidRDefault="00933062" w:rsidP="00971925">
      <w:pPr>
        <w:spacing w:after="0" w:line="240" w:lineRule="auto"/>
        <w:ind w:hanging="357"/>
        <w:rPr>
          <w:color w:val="auto"/>
          <w:szCs w:val="18"/>
          <w:lang w:val="en-US"/>
        </w:rPr>
      </w:pPr>
    </w:p>
    <w:p w14:paraId="105FDC5B" w14:textId="77777777" w:rsidR="00933062" w:rsidRPr="00356280" w:rsidRDefault="00933062" w:rsidP="00971925">
      <w:pPr>
        <w:spacing w:after="0" w:line="240" w:lineRule="auto"/>
        <w:ind w:hanging="357"/>
        <w:rPr>
          <w:color w:val="auto"/>
          <w:szCs w:val="18"/>
          <w:lang w:val="en-US"/>
        </w:rPr>
      </w:pPr>
      <w:r w:rsidRPr="00356280">
        <w:rPr>
          <w:color w:val="auto"/>
          <w:szCs w:val="18"/>
          <w:lang w:val="en-US"/>
        </w:rPr>
        <w:t xml:space="preserve">Committee against Torture, </w:t>
      </w:r>
      <w:r w:rsidRPr="00356280">
        <w:rPr>
          <w:i/>
          <w:color w:val="auto"/>
          <w:szCs w:val="18"/>
          <w:lang w:val="en-US"/>
        </w:rPr>
        <w:t>Concluding observations – Spain</w:t>
      </w:r>
      <w:r w:rsidRPr="00356280">
        <w:rPr>
          <w:color w:val="auto"/>
          <w:szCs w:val="18"/>
          <w:lang w:val="en-US"/>
        </w:rPr>
        <w:t>, UN Doc CAT/C/ESP/CO/5.</w:t>
      </w:r>
    </w:p>
    <w:p w14:paraId="48953F2A" w14:textId="77777777" w:rsidR="00933062" w:rsidRPr="00356280" w:rsidRDefault="00933062" w:rsidP="00971925">
      <w:pPr>
        <w:spacing w:after="0" w:line="240" w:lineRule="auto"/>
        <w:ind w:hanging="357"/>
        <w:rPr>
          <w:color w:val="auto"/>
          <w:szCs w:val="18"/>
          <w:lang w:val="en-US"/>
        </w:rPr>
      </w:pPr>
    </w:p>
    <w:p w14:paraId="20A4F943" w14:textId="77777777" w:rsidR="00933062" w:rsidRPr="00AA6144" w:rsidRDefault="00933062" w:rsidP="00971925">
      <w:pPr>
        <w:spacing w:after="0" w:line="240" w:lineRule="auto"/>
        <w:ind w:hanging="357"/>
        <w:rPr>
          <w:color w:val="auto"/>
          <w:szCs w:val="18"/>
          <w:lang w:val="en-CA"/>
        </w:rPr>
      </w:pPr>
      <w:r w:rsidRPr="00AA6144">
        <w:rPr>
          <w:color w:val="auto"/>
          <w:szCs w:val="18"/>
          <w:lang w:val="en-CA"/>
        </w:rPr>
        <w:t xml:space="preserve">Committee against Torture, </w:t>
      </w:r>
      <w:r w:rsidRPr="00AA6144">
        <w:rPr>
          <w:i/>
          <w:color w:val="auto"/>
          <w:szCs w:val="18"/>
          <w:lang w:val="en-CA"/>
        </w:rPr>
        <w:t>General Comment 3 (Implementation of article 14 by States parties)</w:t>
      </w:r>
      <w:r w:rsidRPr="00AA6144">
        <w:rPr>
          <w:color w:val="auto"/>
          <w:szCs w:val="18"/>
          <w:lang w:val="en-CA"/>
        </w:rPr>
        <w:t>, 2012, CAT/C/GC/3.</w:t>
      </w:r>
    </w:p>
    <w:p w14:paraId="73FB525C" w14:textId="77777777" w:rsidR="00933062" w:rsidRPr="00AA6144" w:rsidRDefault="00933062" w:rsidP="00971925">
      <w:pPr>
        <w:spacing w:after="0" w:line="240" w:lineRule="auto"/>
        <w:ind w:hanging="357"/>
        <w:rPr>
          <w:color w:val="auto"/>
          <w:szCs w:val="18"/>
          <w:lang w:val="en-CA"/>
        </w:rPr>
      </w:pPr>
    </w:p>
    <w:p w14:paraId="0B937728" w14:textId="77777777" w:rsidR="00933062" w:rsidRPr="00AA6144" w:rsidRDefault="00933062" w:rsidP="00971925">
      <w:pPr>
        <w:spacing w:after="0" w:line="240" w:lineRule="auto"/>
        <w:ind w:hanging="357"/>
        <w:rPr>
          <w:color w:val="auto"/>
          <w:szCs w:val="18"/>
          <w:lang w:val="en-CA"/>
        </w:rPr>
      </w:pPr>
      <w:r w:rsidRPr="00AA6144">
        <w:rPr>
          <w:color w:val="auto"/>
          <w:szCs w:val="18"/>
          <w:lang w:val="en-CA"/>
        </w:rPr>
        <w:t xml:space="preserve">Human Rights Committee, </w:t>
      </w:r>
      <w:r w:rsidRPr="00AA6144">
        <w:rPr>
          <w:i/>
          <w:color w:val="auto"/>
          <w:szCs w:val="18"/>
          <w:lang w:val="en-CA"/>
        </w:rPr>
        <w:t>General Comment 31, Nature of the Legal Obligation on States Parties to the Covenant,</w:t>
      </w:r>
      <w:r w:rsidRPr="00AA6144">
        <w:rPr>
          <w:color w:val="auto"/>
          <w:szCs w:val="18"/>
          <w:lang w:val="en-CA"/>
        </w:rPr>
        <w:t xml:space="preserve"> UN Doc CCPR/C/21/Rev1/Add13 (2004) (scope of Article 2 of the ICCPR).</w:t>
      </w:r>
    </w:p>
    <w:p w14:paraId="334EE404" w14:textId="77777777" w:rsidR="00933062" w:rsidRPr="00AA6144" w:rsidRDefault="00933062" w:rsidP="00971925">
      <w:pPr>
        <w:spacing w:after="0" w:line="240" w:lineRule="auto"/>
        <w:ind w:hanging="357"/>
        <w:rPr>
          <w:color w:val="auto"/>
          <w:szCs w:val="18"/>
          <w:lang w:val="en-CA"/>
        </w:rPr>
      </w:pPr>
    </w:p>
    <w:p w14:paraId="748E46EA" w14:textId="77777777" w:rsidR="00933062" w:rsidRPr="00AA6144" w:rsidRDefault="00933062" w:rsidP="00971925">
      <w:pPr>
        <w:spacing w:after="0" w:line="240" w:lineRule="auto"/>
        <w:ind w:hanging="357"/>
        <w:rPr>
          <w:color w:val="auto"/>
          <w:szCs w:val="18"/>
          <w:lang w:val="en-CA"/>
        </w:rPr>
      </w:pPr>
      <w:r w:rsidRPr="00AA6144">
        <w:rPr>
          <w:color w:val="auto"/>
          <w:szCs w:val="18"/>
          <w:lang w:val="en-CA"/>
        </w:rPr>
        <w:t xml:space="preserve">Human Rights Committee, </w:t>
      </w:r>
      <w:r w:rsidRPr="00AA6144">
        <w:rPr>
          <w:i/>
          <w:color w:val="auto"/>
          <w:szCs w:val="18"/>
          <w:lang w:val="en-CA"/>
        </w:rPr>
        <w:t>General Comment 20 on Art 7: Replaces general comment 7 concerning prohibition of torture and cruel treatment or punishment</w:t>
      </w:r>
      <w:r w:rsidRPr="00AA6144">
        <w:rPr>
          <w:color w:val="auto"/>
          <w:szCs w:val="18"/>
          <w:lang w:val="en-CA"/>
        </w:rPr>
        <w:t>, 44</w:t>
      </w:r>
      <w:r w:rsidRPr="00AA6144">
        <w:rPr>
          <w:color w:val="auto"/>
          <w:szCs w:val="18"/>
          <w:vertAlign w:val="superscript"/>
          <w:lang w:val="en-CA"/>
        </w:rPr>
        <w:t>th</w:t>
      </w:r>
      <w:r w:rsidRPr="00AA6144">
        <w:rPr>
          <w:color w:val="auto"/>
          <w:szCs w:val="18"/>
          <w:lang w:val="en-CA"/>
        </w:rPr>
        <w:t xml:space="preserve"> </w:t>
      </w:r>
      <w:proofErr w:type="spellStart"/>
      <w:r w:rsidRPr="00AA6144">
        <w:rPr>
          <w:color w:val="auto"/>
          <w:szCs w:val="18"/>
          <w:lang w:val="en-CA"/>
        </w:rPr>
        <w:t>Sess</w:t>
      </w:r>
      <w:proofErr w:type="spellEnd"/>
      <w:r w:rsidRPr="00AA6144">
        <w:rPr>
          <w:color w:val="auto"/>
          <w:szCs w:val="18"/>
          <w:lang w:val="en-CA"/>
        </w:rPr>
        <w:t>, 10 March 1992.</w:t>
      </w:r>
    </w:p>
    <w:p w14:paraId="11437A91" w14:textId="77777777" w:rsidR="00933062" w:rsidRPr="00AA6144" w:rsidRDefault="00933062" w:rsidP="00971925">
      <w:pPr>
        <w:spacing w:after="0" w:line="240" w:lineRule="auto"/>
        <w:ind w:hanging="357"/>
        <w:rPr>
          <w:color w:val="auto"/>
          <w:szCs w:val="18"/>
          <w:lang w:val="en-CA"/>
        </w:rPr>
      </w:pPr>
    </w:p>
    <w:p w14:paraId="64C1D461" w14:textId="77777777" w:rsidR="00933062" w:rsidRPr="00AA6144" w:rsidRDefault="00933062" w:rsidP="00971925">
      <w:pPr>
        <w:spacing w:after="0" w:line="240" w:lineRule="auto"/>
        <w:ind w:hanging="357"/>
        <w:rPr>
          <w:bCs/>
          <w:color w:val="auto"/>
          <w:szCs w:val="18"/>
          <w:lang w:val="en-CA"/>
        </w:rPr>
      </w:pPr>
    </w:p>
    <w:p w14:paraId="7AFD86EB" w14:textId="77777777" w:rsidR="00933062" w:rsidRPr="00AA6144" w:rsidRDefault="00933062" w:rsidP="00EA3E22">
      <w:pPr>
        <w:spacing w:after="0" w:line="240" w:lineRule="auto"/>
        <w:ind w:hanging="357"/>
        <w:rPr>
          <w:bCs/>
          <w:color w:val="auto"/>
          <w:szCs w:val="18"/>
          <w:lang w:val="en-CA"/>
        </w:rPr>
      </w:pPr>
    </w:p>
    <w:p w14:paraId="6B2DE4F9" w14:textId="77777777" w:rsidR="00EA3E22" w:rsidRPr="00AA6144" w:rsidRDefault="00EA3E22" w:rsidP="00971925">
      <w:pPr>
        <w:rPr>
          <w:color w:val="auto"/>
          <w:lang w:val="en-CA"/>
        </w:rPr>
      </w:pPr>
    </w:p>
    <w:p w14:paraId="5AB60B2F" w14:textId="77777777" w:rsidR="00EA3E22" w:rsidRPr="00AA6144" w:rsidRDefault="00EA3E22" w:rsidP="00971925">
      <w:pPr>
        <w:rPr>
          <w:color w:val="auto"/>
          <w:lang w:val="en-CA"/>
        </w:rPr>
      </w:pPr>
    </w:p>
    <w:p w14:paraId="14D7E51D" w14:textId="77777777" w:rsidR="00EA3E22" w:rsidRPr="00AA6144" w:rsidRDefault="00EA3E22">
      <w:pPr>
        <w:widowControl/>
        <w:suppressAutoHyphens w:val="0"/>
        <w:spacing w:after="0" w:line="240" w:lineRule="auto"/>
        <w:rPr>
          <w:color w:val="auto"/>
          <w:lang w:val="en-CA"/>
        </w:rPr>
      </w:pPr>
      <w:r w:rsidRPr="00AA6144">
        <w:rPr>
          <w:color w:val="auto"/>
          <w:lang w:val="en-CA"/>
        </w:rPr>
        <w:br w:type="page"/>
      </w:r>
    </w:p>
    <w:p w14:paraId="397D579C" w14:textId="77777777" w:rsidR="00EA3E22" w:rsidRPr="00AA6144" w:rsidRDefault="00EA3E22" w:rsidP="00971925">
      <w:pPr>
        <w:rPr>
          <w:color w:val="auto"/>
          <w:lang w:val="en-CA"/>
        </w:rPr>
      </w:pPr>
    </w:p>
    <w:p w14:paraId="6F16826A" w14:textId="55E5178D" w:rsidR="00933062" w:rsidRPr="000D6C42" w:rsidRDefault="00991F0E" w:rsidP="000D6C42">
      <w:pPr>
        <w:jc w:val="center"/>
        <w:rPr>
          <w:lang w:val="en-CA"/>
        </w:rPr>
      </w:pPr>
      <w:r w:rsidRPr="00AA6144">
        <w:rPr>
          <w:lang w:val="en-CA"/>
        </w:rPr>
        <w:t>SECONDARY SOURCES</w:t>
      </w:r>
      <w:bookmarkEnd w:id="332"/>
    </w:p>
    <w:p w14:paraId="4D95FCA4" w14:textId="77777777" w:rsidR="00CD0FF4" w:rsidRPr="00AA6144" w:rsidRDefault="00D72F35">
      <w:pPr>
        <w:rPr>
          <w:color w:val="auto"/>
          <w:szCs w:val="18"/>
          <w:lang w:val="en-CA"/>
        </w:rPr>
      </w:pPr>
      <w:r w:rsidRPr="00AA6144">
        <w:rPr>
          <w:color w:val="auto"/>
          <w:szCs w:val="18"/>
          <w:lang w:val="en-CA"/>
        </w:rPr>
        <w:t>BOOKS</w:t>
      </w:r>
    </w:p>
    <w:p w14:paraId="0E09FB38" w14:textId="77777777" w:rsidR="00CD0FF4" w:rsidRPr="00AA6144" w:rsidRDefault="00CD0FF4" w:rsidP="00971925">
      <w:pPr>
        <w:spacing w:after="0" w:line="240" w:lineRule="auto"/>
        <w:ind w:left="357" w:hanging="357"/>
        <w:rPr>
          <w:color w:val="auto"/>
          <w:szCs w:val="18"/>
          <w:lang w:val="en-CA"/>
        </w:rPr>
      </w:pPr>
      <w:proofErr w:type="spellStart"/>
      <w:r w:rsidRPr="00AA6144">
        <w:rPr>
          <w:color w:val="auto"/>
          <w:szCs w:val="18"/>
          <w:lang w:val="en-CA"/>
        </w:rPr>
        <w:t>Bassiouni</w:t>
      </w:r>
      <w:proofErr w:type="spellEnd"/>
      <w:r w:rsidRPr="00AA6144">
        <w:rPr>
          <w:color w:val="auto"/>
          <w:szCs w:val="18"/>
          <w:lang w:val="en-CA"/>
        </w:rPr>
        <w:t xml:space="preserve">, </w:t>
      </w:r>
      <w:proofErr w:type="spellStart"/>
      <w:r w:rsidRPr="00AA6144">
        <w:rPr>
          <w:color w:val="auto"/>
          <w:szCs w:val="18"/>
          <w:lang w:val="en-CA"/>
        </w:rPr>
        <w:t>Cherif</w:t>
      </w:r>
      <w:proofErr w:type="spellEnd"/>
      <w:r w:rsidRPr="00AA6144">
        <w:rPr>
          <w:color w:val="auto"/>
          <w:szCs w:val="18"/>
          <w:lang w:val="en-CA"/>
        </w:rPr>
        <w:t xml:space="preserve">. </w:t>
      </w:r>
      <w:r w:rsidRPr="00AA6144">
        <w:rPr>
          <w:i/>
          <w:iCs/>
          <w:color w:val="auto"/>
          <w:szCs w:val="18"/>
          <w:lang w:val="en-CA"/>
        </w:rPr>
        <w:t xml:space="preserve">International </w:t>
      </w:r>
      <w:proofErr w:type="spellStart"/>
      <w:r w:rsidRPr="00AA6144">
        <w:rPr>
          <w:i/>
          <w:iCs/>
          <w:color w:val="auto"/>
          <w:szCs w:val="18"/>
          <w:lang w:val="en-CA"/>
        </w:rPr>
        <w:t>Extradtion</w:t>
      </w:r>
      <w:proofErr w:type="spellEnd"/>
      <w:r w:rsidRPr="00AA6144">
        <w:rPr>
          <w:i/>
          <w:iCs/>
          <w:color w:val="auto"/>
          <w:szCs w:val="18"/>
          <w:lang w:val="en-CA"/>
        </w:rPr>
        <w:t>: United States Law and Practice</w:t>
      </w:r>
      <w:r w:rsidRPr="00AA6144">
        <w:rPr>
          <w:color w:val="auto"/>
          <w:szCs w:val="18"/>
          <w:lang w:val="en-CA"/>
        </w:rPr>
        <w:t>, 5</w:t>
      </w:r>
      <w:r w:rsidRPr="00AA6144">
        <w:rPr>
          <w:color w:val="auto"/>
          <w:szCs w:val="18"/>
          <w:vertAlign w:val="superscript"/>
          <w:lang w:val="en-CA"/>
        </w:rPr>
        <w:t>th</w:t>
      </w:r>
      <w:r w:rsidRPr="00AA6144">
        <w:rPr>
          <w:color w:val="auto"/>
          <w:szCs w:val="18"/>
          <w:lang w:val="en-CA"/>
        </w:rPr>
        <w:t xml:space="preserve"> ed (</w:t>
      </w:r>
      <w:proofErr w:type="spellStart"/>
      <w:r w:rsidRPr="00AA6144">
        <w:rPr>
          <w:color w:val="auto"/>
          <w:szCs w:val="18"/>
          <w:lang w:val="en-CA"/>
        </w:rPr>
        <w:t>Oceana</w:t>
      </w:r>
      <w:proofErr w:type="spellEnd"/>
      <w:r w:rsidRPr="00AA6144">
        <w:rPr>
          <w:color w:val="auto"/>
          <w:szCs w:val="18"/>
          <w:lang w:val="en-CA"/>
        </w:rPr>
        <w:t>: Oxford University Press, 2007).</w:t>
      </w:r>
    </w:p>
    <w:p w14:paraId="2FF74C71" w14:textId="77777777" w:rsidR="00CD0FF4" w:rsidRPr="00AA6144" w:rsidRDefault="00CD0FF4" w:rsidP="00971925">
      <w:pPr>
        <w:spacing w:after="0" w:line="240" w:lineRule="auto"/>
        <w:ind w:left="357" w:hanging="357"/>
        <w:rPr>
          <w:color w:val="auto"/>
          <w:szCs w:val="18"/>
          <w:lang w:val="en-CA"/>
        </w:rPr>
      </w:pPr>
    </w:p>
    <w:p w14:paraId="3D3C4E43" w14:textId="77777777" w:rsidR="00CD0FF4" w:rsidRPr="007B53D3" w:rsidRDefault="00CD0FF4" w:rsidP="00971925">
      <w:pPr>
        <w:spacing w:after="0" w:line="240" w:lineRule="auto"/>
        <w:ind w:left="357" w:hanging="357"/>
        <w:rPr>
          <w:color w:val="auto"/>
          <w:szCs w:val="18"/>
          <w:lang w:val="fr-CA"/>
        </w:rPr>
      </w:pPr>
      <w:r w:rsidRPr="007B53D3">
        <w:rPr>
          <w:color w:val="auto"/>
          <w:szCs w:val="18"/>
          <w:lang w:val="fr-CA"/>
        </w:rPr>
        <w:t xml:space="preserve">Béliveau, Pierre &amp; </w:t>
      </w:r>
      <w:proofErr w:type="spellStart"/>
      <w:r w:rsidRPr="007B53D3">
        <w:rPr>
          <w:color w:val="auto"/>
          <w:szCs w:val="18"/>
          <w:lang w:val="fr-CA"/>
        </w:rPr>
        <w:t>Vauclair</w:t>
      </w:r>
      <w:proofErr w:type="spellEnd"/>
      <w:r w:rsidRPr="007B53D3">
        <w:rPr>
          <w:color w:val="auto"/>
          <w:szCs w:val="18"/>
          <w:lang w:val="fr-CA"/>
        </w:rPr>
        <w:t xml:space="preserve">, Martin. </w:t>
      </w:r>
      <w:r w:rsidRPr="007B53D3">
        <w:rPr>
          <w:i/>
          <w:color w:val="auto"/>
          <w:szCs w:val="18"/>
          <w:lang w:val="fr-CA"/>
        </w:rPr>
        <w:t>Traité général de preuve et de procédure pénales</w:t>
      </w:r>
      <w:r w:rsidRPr="007B53D3">
        <w:rPr>
          <w:color w:val="auto"/>
          <w:szCs w:val="18"/>
          <w:lang w:val="fr-CA"/>
        </w:rPr>
        <w:t>, 17</w:t>
      </w:r>
      <w:r w:rsidRPr="007B53D3">
        <w:rPr>
          <w:color w:val="auto"/>
          <w:szCs w:val="18"/>
          <w:vertAlign w:val="superscript"/>
          <w:lang w:val="fr-CA"/>
        </w:rPr>
        <w:t>th</w:t>
      </w:r>
      <w:r w:rsidRPr="007B53D3">
        <w:rPr>
          <w:color w:val="auto"/>
          <w:szCs w:val="18"/>
          <w:lang w:val="fr-CA"/>
        </w:rPr>
        <w:t xml:space="preserve"> </w:t>
      </w:r>
      <w:proofErr w:type="spellStart"/>
      <w:r w:rsidRPr="007B53D3">
        <w:rPr>
          <w:color w:val="auto"/>
          <w:szCs w:val="18"/>
          <w:lang w:val="fr-CA"/>
        </w:rPr>
        <w:t>ed</w:t>
      </w:r>
      <w:proofErr w:type="spellEnd"/>
      <w:r w:rsidRPr="007B53D3">
        <w:rPr>
          <w:color w:val="auto"/>
          <w:szCs w:val="18"/>
          <w:lang w:val="fr-CA"/>
        </w:rPr>
        <w:t xml:space="preserve"> (Cowansville: Yvon Blais, 2010).</w:t>
      </w:r>
    </w:p>
    <w:p w14:paraId="4D93378E" w14:textId="77777777" w:rsidR="00CD0FF4" w:rsidRPr="007B53D3" w:rsidRDefault="00CD0FF4" w:rsidP="00971925">
      <w:pPr>
        <w:spacing w:after="0" w:line="240" w:lineRule="auto"/>
        <w:ind w:left="357" w:hanging="357"/>
        <w:rPr>
          <w:color w:val="auto"/>
          <w:szCs w:val="18"/>
          <w:lang w:val="fr-CA"/>
        </w:rPr>
      </w:pPr>
    </w:p>
    <w:p w14:paraId="23C72CE9"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Boot, </w:t>
      </w:r>
      <w:proofErr w:type="spellStart"/>
      <w:r w:rsidRPr="00AA6144">
        <w:rPr>
          <w:color w:val="auto"/>
          <w:szCs w:val="18"/>
          <w:lang w:val="en-CA"/>
        </w:rPr>
        <w:t>Machteld</w:t>
      </w:r>
      <w:proofErr w:type="spellEnd"/>
      <w:r w:rsidRPr="00AA6144">
        <w:rPr>
          <w:color w:val="auto"/>
          <w:szCs w:val="18"/>
          <w:lang w:val="en-CA"/>
        </w:rPr>
        <w:t xml:space="preserve">, Dixon, Rodney &amp; Hall, Christopher K. “Article 7 (Crimes Against Humanity)” in Otto </w:t>
      </w:r>
      <w:proofErr w:type="spellStart"/>
      <w:r w:rsidRPr="00AA6144">
        <w:rPr>
          <w:color w:val="auto"/>
          <w:szCs w:val="18"/>
          <w:lang w:val="en-CA"/>
        </w:rPr>
        <w:t>Triffterer</w:t>
      </w:r>
      <w:proofErr w:type="spellEnd"/>
      <w:r w:rsidRPr="00AA6144">
        <w:rPr>
          <w:color w:val="auto"/>
          <w:szCs w:val="18"/>
          <w:lang w:val="en-CA"/>
        </w:rPr>
        <w:t xml:space="preserve">, ed, </w:t>
      </w:r>
      <w:r w:rsidRPr="00AA6144">
        <w:rPr>
          <w:i/>
          <w:iCs/>
          <w:color w:val="auto"/>
          <w:szCs w:val="18"/>
          <w:lang w:val="en-CA"/>
        </w:rPr>
        <w:t>Commentary on the Rome Statute of the International Criminal Court: Observers` Notes, Article by Article</w:t>
      </w:r>
      <w:r w:rsidRPr="00AA6144">
        <w:rPr>
          <w:color w:val="auto"/>
          <w:szCs w:val="18"/>
          <w:lang w:val="en-CA"/>
        </w:rPr>
        <w:t>, (Munich: C. H. Beck; Oxford: Hart &amp; Baden-Baden: Nomos, 2008).</w:t>
      </w:r>
    </w:p>
    <w:p w14:paraId="2B12B6D2" w14:textId="77777777" w:rsidR="00CD0FF4" w:rsidRPr="00AA6144" w:rsidRDefault="00CD0FF4" w:rsidP="00971925">
      <w:pPr>
        <w:spacing w:after="0" w:line="240" w:lineRule="auto"/>
        <w:ind w:left="357" w:hanging="357"/>
        <w:rPr>
          <w:color w:val="auto"/>
          <w:szCs w:val="18"/>
          <w:lang w:val="en-CA"/>
        </w:rPr>
      </w:pPr>
    </w:p>
    <w:p w14:paraId="07FC5768" w14:textId="77777777" w:rsidR="00CD0FF4" w:rsidRPr="00AA6144" w:rsidRDefault="00CD0FF4" w:rsidP="00971925">
      <w:pPr>
        <w:spacing w:after="0" w:line="240" w:lineRule="auto"/>
        <w:ind w:left="357" w:hanging="357"/>
        <w:rPr>
          <w:color w:val="auto"/>
          <w:szCs w:val="18"/>
          <w:lang w:val="en-CA"/>
        </w:rPr>
      </w:pPr>
      <w:proofErr w:type="spellStart"/>
      <w:r w:rsidRPr="00AA6144">
        <w:rPr>
          <w:color w:val="auto"/>
          <w:szCs w:val="18"/>
          <w:lang w:val="en-CA"/>
        </w:rPr>
        <w:t>Bossuyt</w:t>
      </w:r>
      <w:proofErr w:type="spellEnd"/>
      <w:r w:rsidRPr="00AA6144">
        <w:rPr>
          <w:color w:val="auto"/>
          <w:szCs w:val="18"/>
          <w:lang w:val="en-CA"/>
        </w:rPr>
        <w:t xml:space="preserve">, Marc J. </w:t>
      </w:r>
      <w:r w:rsidRPr="00AA6144">
        <w:rPr>
          <w:i/>
          <w:color w:val="auto"/>
          <w:szCs w:val="18"/>
          <w:lang w:val="en-CA"/>
        </w:rPr>
        <w:t xml:space="preserve">Guide to the </w:t>
      </w:r>
      <w:r w:rsidRPr="00AA6144">
        <w:rPr>
          <w:color w:val="auto"/>
          <w:szCs w:val="18"/>
          <w:lang w:val="en-CA"/>
        </w:rPr>
        <w:t>“</w:t>
      </w:r>
      <w:r w:rsidRPr="00AA6144">
        <w:rPr>
          <w:i/>
          <w:color w:val="auto"/>
          <w:szCs w:val="18"/>
          <w:lang w:val="en-CA"/>
        </w:rPr>
        <w:t xml:space="preserve">Travaux </w:t>
      </w:r>
      <w:proofErr w:type="spellStart"/>
      <w:r w:rsidRPr="00AA6144">
        <w:rPr>
          <w:i/>
          <w:color w:val="auto"/>
          <w:szCs w:val="18"/>
          <w:lang w:val="en-CA"/>
        </w:rPr>
        <w:t>Préparatoires</w:t>
      </w:r>
      <w:proofErr w:type="spellEnd"/>
      <w:r w:rsidRPr="00AA6144">
        <w:rPr>
          <w:i/>
          <w:color w:val="auto"/>
          <w:szCs w:val="18"/>
          <w:lang w:val="en-CA"/>
        </w:rPr>
        <w:t>”</w:t>
      </w:r>
      <w:r w:rsidRPr="00AA6144">
        <w:rPr>
          <w:color w:val="auto"/>
          <w:szCs w:val="18"/>
          <w:lang w:val="en-CA"/>
        </w:rPr>
        <w:t xml:space="preserve"> </w:t>
      </w:r>
      <w:r w:rsidRPr="00AA6144">
        <w:rPr>
          <w:i/>
          <w:color w:val="auto"/>
          <w:szCs w:val="18"/>
          <w:lang w:val="en-CA"/>
        </w:rPr>
        <w:t>of the International Covenant on Civil and Political Rights</w:t>
      </w:r>
      <w:r w:rsidRPr="00AA6144">
        <w:rPr>
          <w:color w:val="auto"/>
          <w:szCs w:val="18"/>
          <w:lang w:val="en-CA"/>
        </w:rPr>
        <w:t xml:space="preserve"> (Dordrecht: </w:t>
      </w:r>
      <w:proofErr w:type="spellStart"/>
      <w:r w:rsidRPr="00AA6144">
        <w:rPr>
          <w:color w:val="auto"/>
          <w:szCs w:val="18"/>
          <w:lang w:val="en-CA"/>
        </w:rPr>
        <w:t>Martinus</w:t>
      </w:r>
      <w:proofErr w:type="spellEnd"/>
      <w:r w:rsidRPr="00AA6144">
        <w:rPr>
          <w:color w:val="auto"/>
          <w:szCs w:val="18"/>
          <w:lang w:val="en-CA"/>
        </w:rPr>
        <w:t xml:space="preserve"> </w:t>
      </w:r>
      <w:proofErr w:type="spellStart"/>
      <w:r w:rsidRPr="00AA6144">
        <w:rPr>
          <w:color w:val="auto"/>
          <w:szCs w:val="18"/>
          <w:lang w:val="en-CA"/>
        </w:rPr>
        <w:t>Nijhoff</w:t>
      </w:r>
      <w:proofErr w:type="spellEnd"/>
      <w:r w:rsidRPr="00AA6144">
        <w:rPr>
          <w:color w:val="auto"/>
          <w:szCs w:val="18"/>
          <w:lang w:val="en-CA"/>
        </w:rPr>
        <w:t>, 1987).</w:t>
      </w:r>
    </w:p>
    <w:p w14:paraId="76B1DE56" w14:textId="77777777" w:rsidR="00CD0FF4" w:rsidRPr="00AA6144" w:rsidRDefault="00CD0FF4" w:rsidP="00971925">
      <w:pPr>
        <w:spacing w:after="0" w:line="240" w:lineRule="auto"/>
        <w:ind w:left="357" w:hanging="357"/>
        <w:rPr>
          <w:color w:val="auto"/>
          <w:szCs w:val="18"/>
          <w:lang w:val="en-CA"/>
        </w:rPr>
      </w:pPr>
    </w:p>
    <w:p w14:paraId="20AB73DE"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Botting, Gary. </w:t>
      </w:r>
      <w:r w:rsidRPr="00AA6144">
        <w:rPr>
          <w:i/>
          <w:color w:val="auto"/>
          <w:szCs w:val="18"/>
          <w:lang w:val="en-CA"/>
        </w:rPr>
        <w:t>Canadian Extradition Law Practice,</w:t>
      </w:r>
      <w:r w:rsidRPr="00AA6144">
        <w:rPr>
          <w:color w:val="auto"/>
          <w:szCs w:val="18"/>
          <w:lang w:val="en-CA"/>
        </w:rPr>
        <w:t xml:space="preserve"> 2012 ed, (Markham, ON: LexisNexis Canada, 2012).</w:t>
      </w:r>
    </w:p>
    <w:p w14:paraId="6C88D167" w14:textId="77777777" w:rsidR="00CD0FF4" w:rsidRPr="00AA6144" w:rsidRDefault="00CD0FF4" w:rsidP="00971925">
      <w:pPr>
        <w:spacing w:after="0" w:line="240" w:lineRule="auto"/>
        <w:ind w:left="357" w:hanging="357"/>
        <w:rPr>
          <w:color w:val="auto"/>
          <w:szCs w:val="18"/>
          <w:lang w:val="en-CA"/>
        </w:rPr>
      </w:pPr>
    </w:p>
    <w:p w14:paraId="57D660BD"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Castel, Jean-Gabriel &amp; Walker, Janet. </w:t>
      </w:r>
      <w:r w:rsidRPr="00AA6144">
        <w:rPr>
          <w:i/>
          <w:iCs/>
          <w:color w:val="auto"/>
          <w:szCs w:val="18"/>
          <w:lang w:val="en-CA"/>
        </w:rPr>
        <w:t xml:space="preserve">Canadian Conflict of Laws, </w:t>
      </w:r>
      <w:r w:rsidRPr="00AA6144">
        <w:rPr>
          <w:color w:val="auto"/>
          <w:szCs w:val="18"/>
          <w:lang w:val="en-CA"/>
        </w:rPr>
        <w:t>6</w:t>
      </w:r>
      <w:r w:rsidRPr="00AA6144">
        <w:rPr>
          <w:color w:val="auto"/>
          <w:szCs w:val="18"/>
          <w:vertAlign w:val="superscript"/>
          <w:lang w:val="en-CA"/>
        </w:rPr>
        <w:t>th</w:t>
      </w:r>
      <w:r w:rsidRPr="00AA6144">
        <w:rPr>
          <w:color w:val="auto"/>
          <w:szCs w:val="18"/>
          <w:lang w:val="en-CA"/>
        </w:rPr>
        <w:t xml:space="preserve"> ed (Toronto: Butterworths, 2005).</w:t>
      </w:r>
    </w:p>
    <w:p w14:paraId="564A2A78" w14:textId="77777777" w:rsidR="00CD0FF4" w:rsidRPr="00AA6144" w:rsidRDefault="00CD0FF4" w:rsidP="00971925">
      <w:pPr>
        <w:spacing w:after="0" w:line="240" w:lineRule="auto"/>
        <w:ind w:left="357" w:hanging="357"/>
        <w:rPr>
          <w:color w:val="auto"/>
          <w:szCs w:val="18"/>
          <w:lang w:val="en-CA"/>
        </w:rPr>
      </w:pPr>
    </w:p>
    <w:p w14:paraId="764C2870" w14:textId="77777777" w:rsidR="00CD0FF4" w:rsidRPr="00AA6144" w:rsidRDefault="00CD0FF4" w:rsidP="00971925">
      <w:pPr>
        <w:spacing w:after="0" w:line="240" w:lineRule="auto"/>
        <w:ind w:left="357" w:hanging="357"/>
        <w:rPr>
          <w:color w:val="auto"/>
          <w:szCs w:val="18"/>
          <w:lang w:val="en-CA"/>
        </w:rPr>
      </w:pPr>
      <w:proofErr w:type="spellStart"/>
      <w:r w:rsidRPr="00AA6144">
        <w:rPr>
          <w:color w:val="auto"/>
          <w:szCs w:val="18"/>
          <w:lang w:val="en-CA"/>
        </w:rPr>
        <w:t>Colwin</w:t>
      </w:r>
      <w:proofErr w:type="spellEnd"/>
      <w:r w:rsidRPr="00AA6144">
        <w:rPr>
          <w:color w:val="auto"/>
          <w:szCs w:val="18"/>
          <w:lang w:val="en-CA"/>
        </w:rPr>
        <w:t xml:space="preserve">, Eric &amp; Anand, Sanjeev. </w:t>
      </w:r>
      <w:r w:rsidRPr="00AA6144">
        <w:rPr>
          <w:i/>
          <w:color w:val="auto"/>
          <w:szCs w:val="18"/>
          <w:lang w:val="en-CA"/>
        </w:rPr>
        <w:t>Principles of Criminal Law</w:t>
      </w:r>
      <w:r w:rsidRPr="00AA6144">
        <w:rPr>
          <w:color w:val="auto"/>
          <w:szCs w:val="18"/>
          <w:lang w:val="en-CA"/>
        </w:rPr>
        <w:t>, 3</w:t>
      </w:r>
      <w:r w:rsidRPr="00AA6144">
        <w:rPr>
          <w:color w:val="auto"/>
          <w:szCs w:val="18"/>
          <w:vertAlign w:val="superscript"/>
          <w:lang w:val="en-CA"/>
        </w:rPr>
        <w:t>rd</w:t>
      </w:r>
      <w:r w:rsidRPr="00AA6144">
        <w:rPr>
          <w:color w:val="auto"/>
          <w:szCs w:val="18"/>
          <w:lang w:val="en-CA"/>
        </w:rPr>
        <w:t xml:space="preserve"> ed (Toronto: Thomson &amp; Carswell, 2007).</w:t>
      </w:r>
    </w:p>
    <w:p w14:paraId="62B851A3" w14:textId="77777777" w:rsidR="00CD0FF4" w:rsidRPr="00AA6144" w:rsidRDefault="00CD0FF4" w:rsidP="00971925">
      <w:pPr>
        <w:spacing w:after="0" w:line="240" w:lineRule="auto"/>
        <w:ind w:left="357" w:hanging="357"/>
        <w:rPr>
          <w:color w:val="auto"/>
          <w:szCs w:val="18"/>
          <w:lang w:val="en-CA"/>
        </w:rPr>
      </w:pPr>
    </w:p>
    <w:p w14:paraId="5420CB48"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Currie, John H, Forcese, Craig &amp; Oosterveld, Valerie.</w:t>
      </w:r>
      <w:r w:rsidRPr="00AA6144">
        <w:rPr>
          <w:i/>
          <w:color w:val="auto"/>
          <w:szCs w:val="18"/>
          <w:lang w:val="en-CA"/>
        </w:rPr>
        <w:t xml:space="preserve"> International Law: Doctrine, Practice and Theory</w:t>
      </w:r>
      <w:r w:rsidRPr="00AA6144">
        <w:rPr>
          <w:color w:val="auto"/>
          <w:szCs w:val="18"/>
          <w:lang w:val="en-CA"/>
        </w:rPr>
        <w:t xml:space="preserve"> (Toronto: Irwin Law, 2007).</w:t>
      </w:r>
    </w:p>
    <w:p w14:paraId="092366AC" w14:textId="77777777" w:rsidR="00CD0FF4" w:rsidRPr="00AA6144" w:rsidRDefault="00CD0FF4" w:rsidP="00971925">
      <w:pPr>
        <w:spacing w:after="0" w:line="240" w:lineRule="auto"/>
        <w:ind w:left="357" w:hanging="357"/>
        <w:rPr>
          <w:color w:val="auto"/>
          <w:szCs w:val="18"/>
          <w:lang w:val="en-CA"/>
        </w:rPr>
      </w:pPr>
    </w:p>
    <w:p w14:paraId="2E267BF9" w14:textId="4DADFFBE"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Currie, Robert J. </w:t>
      </w:r>
      <w:r w:rsidRPr="00AA6144">
        <w:rPr>
          <w:i/>
          <w:color w:val="auto"/>
          <w:szCs w:val="18"/>
          <w:lang w:val="en-CA"/>
        </w:rPr>
        <w:t>International and Transnational Criminal Law</w:t>
      </w:r>
      <w:r w:rsidR="004D2550" w:rsidRPr="00AA6144">
        <w:rPr>
          <w:color w:val="auto"/>
          <w:szCs w:val="18"/>
          <w:lang w:val="en-CA"/>
        </w:rPr>
        <w:t xml:space="preserve"> </w:t>
      </w:r>
      <w:r w:rsidR="00057485" w:rsidRPr="00AA6144">
        <w:rPr>
          <w:color w:val="auto"/>
          <w:szCs w:val="18"/>
          <w:lang w:val="en-CA"/>
        </w:rPr>
        <w:t>(</w:t>
      </w:r>
      <w:r w:rsidRPr="00AA6144">
        <w:rPr>
          <w:color w:val="auto"/>
          <w:szCs w:val="18"/>
          <w:lang w:val="en-CA"/>
        </w:rPr>
        <w:t>Toronto: Essentials of Canadian law, 201</w:t>
      </w:r>
      <w:r w:rsidR="004D2550" w:rsidRPr="00AA6144">
        <w:rPr>
          <w:color w:val="auto"/>
          <w:szCs w:val="18"/>
          <w:lang w:val="en-CA"/>
        </w:rPr>
        <w:t>0</w:t>
      </w:r>
      <w:r w:rsidRPr="00AA6144">
        <w:rPr>
          <w:color w:val="auto"/>
          <w:szCs w:val="18"/>
          <w:lang w:val="en-CA"/>
        </w:rPr>
        <w:t>).</w:t>
      </w:r>
    </w:p>
    <w:p w14:paraId="792652F8" w14:textId="77777777" w:rsidR="004D2550" w:rsidRPr="00AA6144" w:rsidRDefault="004D2550" w:rsidP="00971925">
      <w:pPr>
        <w:spacing w:after="0" w:line="240" w:lineRule="auto"/>
        <w:ind w:left="357" w:hanging="357"/>
        <w:rPr>
          <w:color w:val="auto"/>
          <w:szCs w:val="18"/>
          <w:lang w:val="en-CA"/>
        </w:rPr>
      </w:pPr>
    </w:p>
    <w:p w14:paraId="34180950" w14:textId="556B15A1" w:rsidR="004D2550" w:rsidRPr="00AA6144" w:rsidRDefault="004D2550" w:rsidP="004D2550">
      <w:pPr>
        <w:spacing w:after="0" w:line="240" w:lineRule="auto"/>
        <w:ind w:left="357" w:hanging="357"/>
        <w:rPr>
          <w:color w:val="auto"/>
          <w:szCs w:val="18"/>
          <w:lang w:val="en-CA"/>
        </w:rPr>
      </w:pPr>
      <w:r w:rsidRPr="00AA6144">
        <w:rPr>
          <w:color w:val="auto"/>
          <w:szCs w:val="18"/>
          <w:lang w:val="en-CA"/>
        </w:rPr>
        <w:t xml:space="preserve">Currie, Robert J. </w:t>
      </w:r>
      <w:r w:rsidRPr="00AA6144">
        <w:rPr>
          <w:i/>
          <w:color w:val="auto"/>
          <w:szCs w:val="18"/>
          <w:lang w:val="en-CA"/>
        </w:rPr>
        <w:t>International and Transnational Criminal Law</w:t>
      </w:r>
      <w:r w:rsidRPr="00AA6144">
        <w:rPr>
          <w:color w:val="auto"/>
          <w:szCs w:val="18"/>
          <w:lang w:val="en-CA"/>
        </w:rPr>
        <w:t>, 2</w:t>
      </w:r>
      <w:r w:rsidRPr="00AA6144">
        <w:rPr>
          <w:color w:val="auto"/>
          <w:szCs w:val="18"/>
          <w:vertAlign w:val="superscript"/>
          <w:lang w:val="en-CA"/>
        </w:rPr>
        <w:t>nd</w:t>
      </w:r>
      <w:r w:rsidRPr="00AA6144">
        <w:rPr>
          <w:color w:val="auto"/>
          <w:szCs w:val="18"/>
          <w:lang w:val="en-CA"/>
        </w:rPr>
        <w:t xml:space="preserve"> ed (Toronto: Essentials of Canadian law, 2013).</w:t>
      </w:r>
    </w:p>
    <w:p w14:paraId="156ECEBC" w14:textId="77777777" w:rsidR="00CD0FF4" w:rsidRPr="00AA6144" w:rsidRDefault="00CD0FF4" w:rsidP="00971925">
      <w:pPr>
        <w:spacing w:after="0" w:line="240" w:lineRule="auto"/>
        <w:ind w:left="357" w:hanging="357"/>
        <w:rPr>
          <w:color w:val="auto"/>
          <w:szCs w:val="18"/>
          <w:lang w:val="en-CA"/>
        </w:rPr>
      </w:pPr>
    </w:p>
    <w:p w14:paraId="56FDBC84"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Fujita, H, Suzuki, I &amp; Nagano, K. </w:t>
      </w:r>
      <w:r w:rsidRPr="00AA6144">
        <w:rPr>
          <w:i/>
          <w:color w:val="auto"/>
          <w:szCs w:val="18"/>
          <w:lang w:val="en-CA"/>
        </w:rPr>
        <w:t>War and the Rights of Individuals, Renaissance of Individual Compensation</w:t>
      </w:r>
      <w:r w:rsidRPr="00AA6144">
        <w:rPr>
          <w:color w:val="auto"/>
          <w:szCs w:val="18"/>
          <w:lang w:val="en-CA"/>
        </w:rPr>
        <w:t xml:space="preserve">, (Tokyo: Nippon </w:t>
      </w:r>
      <w:proofErr w:type="spellStart"/>
      <w:r w:rsidRPr="00AA6144">
        <w:rPr>
          <w:color w:val="auto"/>
          <w:szCs w:val="18"/>
          <w:lang w:val="en-CA"/>
        </w:rPr>
        <w:t>Hyoron</w:t>
      </w:r>
      <w:proofErr w:type="spellEnd"/>
      <w:r w:rsidRPr="00AA6144">
        <w:rPr>
          <w:color w:val="auto"/>
          <w:szCs w:val="18"/>
          <w:lang w:val="en-CA"/>
        </w:rPr>
        <w:t xml:space="preserve">-sha Co </w:t>
      </w:r>
      <w:proofErr w:type="spellStart"/>
      <w:r w:rsidRPr="00AA6144">
        <w:rPr>
          <w:color w:val="auto"/>
          <w:szCs w:val="18"/>
          <w:lang w:val="en-CA"/>
        </w:rPr>
        <w:t>Ltd.Publishers</w:t>
      </w:r>
      <w:proofErr w:type="spellEnd"/>
      <w:r w:rsidRPr="00AA6144">
        <w:rPr>
          <w:color w:val="auto"/>
          <w:szCs w:val="18"/>
          <w:lang w:val="en-CA"/>
        </w:rPr>
        <w:t>, 1999).</w:t>
      </w:r>
    </w:p>
    <w:p w14:paraId="5F35F2F6" w14:textId="77777777" w:rsidR="00CD0FF4" w:rsidRPr="00AA6144" w:rsidRDefault="00CD0FF4" w:rsidP="00971925">
      <w:pPr>
        <w:spacing w:after="0" w:line="240" w:lineRule="auto"/>
        <w:ind w:left="357" w:hanging="357"/>
        <w:rPr>
          <w:color w:val="auto"/>
          <w:szCs w:val="18"/>
          <w:lang w:val="en-CA"/>
        </w:rPr>
      </w:pPr>
    </w:p>
    <w:p w14:paraId="33B6AD7F" w14:textId="77777777" w:rsidR="00CD0FF4" w:rsidRPr="007B53D3" w:rsidRDefault="00CD0FF4" w:rsidP="00971925">
      <w:pPr>
        <w:spacing w:after="0" w:line="240" w:lineRule="auto"/>
        <w:ind w:left="357" w:hanging="357"/>
        <w:rPr>
          <w:rStyle w:val="tightinline"/>
          <w:color w:val="auto"/>
          <w:szCs w:val="18"/>
          <w:lang w:val="fr-CA"/>
        </w:rPr>
      </w:pPr>
      <w:r w:rsidRPr="00AA6144">
        <w:rPr>
          <w:rStyle w:val="tightinline"/>
          <w:color w:val="auto"/>
          <w:szCs w:val="18"/>
          <w:lang w:val="en-CA"/>
        </w:rPr>
        <w:t xml:space="preserve">Goldstein, </w:t>
      </w:r>
      <w:proofErr w:type="spellStart"/>
      <w:r w:rsidRPr="00AA6144">
        <w:rPr>
          <w:rStyle w:val="tightinline"/>
          <w:color w:val="auto"/>
          <w:szCs w:val="18"/>
          <w:lang w:val="en-CA"/>
        </w:rPr>
        <w:t>Gérald</w:t>
      </w:r>
      <w:proofErr w:type="spellEnd"/>
      <w:r w:rsidRPr="00AA6144">
        <w:rPr>
          <w:rStyle w:val="tightinline"/>
          <w:color w:val="auto"/>
          <w:szCs w:val="18"/>
          <w:lang w:val="en-CA"/>
        </w:rPr>
        <w:t xml:space="preserve"> &amp; Alan </w:t>
      </w:r>
      <w:proofErr w:type="spellStart"/>
      <w:r w:rsidRPr="00AA6144">
        <w:rPr>
          <w:rStyle w:val="tightinline"/>
          <w:color w:val="auto"/>
          <w:szCs w:val="18"/>
          <w:lang w:val="en-CA"/>
        </w:rPr>
        <w:t>Talpis</w:t>
      </w:r>
      <w:proofErr w:type="spellEnd"/>
      <w:r w:rsidRPr="00AA6144">
        <w:rPr>
          <w:rStyle w:val="tightinline"/>
          <w:color w:val="auto"/>
          <w:szCs w:val="18"/>
          <w:lang w:val="en-CA"/>
        </w:rPr>
        <w:t xml:space="preserve">, Jeffrey. </w:t>
      </w:r>
      <w:r w:rsidRPr="007B53D3">
        <w:rPr>
          <w:rStyle w:val="italic"/>
          <w:i/>
          <w:color w:val="auto"/>
          <w:szCs w:val="18"/>
          <w:lang w:val="fr-CA"/>
        </w:rPr>
        <w:t xml:space="preserve">L'effet au </w:t>
      </w:r>
      <w:proofErr w:type="spellStart"/>
      <w:r w:rsidRPr="007B53D3">
        <w:rPr>
          <w:rStyle w:val="italic"/>
          <w:i/>
          <w:color w:val="auto"/>
          <w:szCs w:val="18"/>
          <w:lang w:val="fr-CA"/>
        </w:rPr>
        <w:t>Quebec</w:t>
      </w:r>
      <w:proofErr w:type="spellEnd"/>
      <w:r w:rsidRPr="007B53D3">
        <w:rPr>
          <w:rStyle w:val="italic"/>
          <w:i/>
          <w:color w:val="auto"/>
          <w:szCs w:val="18"/>
          <w:lang w:val="fr-CA"/>
        </w:rPr>
        <w:t xml:space="preserve"> des jugements étrangers en matière de droits patrimoniaux</w:t>
      </w:r>
      <w:r w:rsidRPr="007B53D3">
        <w:rPr>
          <w:rStyle w:val="tightinline"/>
          <w:color w:val="auto"/>
          <w:szCs w:val="18"/>
          <w:lang w:val="fr-CA"/>
        </w:rPr>
        <w:t xml:space="preserve"> (Montréal: </w:t>
      </w:r>
      <w:proofErr w:type="spellStart"/>
      <w:r w:rsidRPr="007B53D3">
        <w:rPr>
          <w:rStyle w:val="tightinline"/>
          <w:color w:val="auto"/>
          <w:szCs w:val="18"/>
          <w:lang w:val="fr-CA"/>
        </w:rPr>
        <w:t>Themis</w:t>
      </w:r>
      <w:proofErr w:type="spellEnd"/>
      <w:r w:rsidRPr="007B53D3">
        <w:rPr>
          <w:rStyle w:val="tightinline"/>
          <w:color w:val="auto"/>
          <w:szCs w:val="18"/>
          <w:lang w:val="fr-CA"/>
        </w:rPr>
        <w:t>, 1991).</w:t>
      </w:r>
    </w:p>
    <w:p w14:paraId="022AAAB8" w14:textId="77777777" w:rsidR="00CD0FF4" w:rsidRPr="007B53D3" w:rsidRDefault="00CD0FF4" w:rsidP="00971925">
      <w:pPr>
        <w:spacing w:after="0" w:line="240" w:lineRule="auto"/>
        <w:ind w:left="357" w:hanging="357"/>
        <w:rPr>
          <w:rStyle w:val="tightinline"/>
          <w:color w:val="auto"/>
          <w:szCs w:val="18"/>
          <w:lang w:val="fr-CA"/>
        </w:rPr>
      </w:pPr>
    </w:p>
    <w:p w14:paraId="39E4168E" w14:textId="77777777" w:rsidR="00CD0FF4" w:rsidRPr="00AA6144" w:rsidRDefault="00CD0FF4" w:rsidP="00971925">
      <w:pPr>
        <w:spacing w:after="0" w:line="240" w:lineRule="auto"/>
        <w:ind w:left="357" w:hanging="357"/>
        <w:rPr>
          <w:color w:val="auto"/>
          <w:szCs w:val="18"/>
          <w:lang w:val="en-CA"/>
        </w:rPr>
      </w:pPr>
      <w:proofErr w:type="spellStart"/>
      <w:r w:rsidRPr="00AA6144">
        <w:rPr>
          <w:color w:val="auto"/>
          <w:szCs w:val="18"/>
          <w:lang w:val="en-CA"/>
        </w:rPr>
        <w:t>Hage</w:t>
      </w:r>
      <w:proofErr w:type="spellEnd"/>
      <w:r w:rsidRPr="00AA6144">
        <w:rPr>
          <w:color w:val="auto"/>
          <w:szCs w:val="18"/>
          <w:lang w:val="en-CA"/>
        </w:rPr>
        <w:t>, Robert. “Implementing the Rome Statute: Canada’s Experience” in Lee, Roy S. ed,</w:t>
      </w:r>
      <w:r w:rsidRPr="00AA6144">
        <w:rPr>
          <w:i/>
          <w:color w:val="auto"/>
          <w:szCs w:val="18"/>
          <w:lang w:val="en-CA"/>
        </w:rPr>
        <w:t xml:space="preserve"> States’ Responses to Issues Arising from the ICC Statute: Constitutional Sovereignty, Judicial Cooperation, and Criminal Law</w:t>
      </w:r>
      <w:r w:rsidRPr="00AA6144">
        <w:rPr>
          <w:color w:val="auto"/>
          <w:szCs w:val="18"/>
          <w:lang w:val="en-CA"/>
        </w:rPr>
        <w:t>, (Ardsley NY: Transnational Publishers, 2005).</w:t>
      </w:r>
    </w:p>
    <w:p w14:paraId="7E422AE3" w14:textId="77777777" w:rsidR="00CD0FF4" w:rsidRPr="00AA6144" w:rsidRDefault="00CD0FF4" w:rsidP="00971925">
      <w:pPr>
        <w:spacing w:after="0" w:line="240" w:lineRule="auto"/>
        <w:ind w:left="357" w:hanging="357"/>
        <w:rPr>
          <w:color w:val="auto"/>
          <w:szCs w:val="18"/>
          <w:lang w:val="en-CA"/>
        </w:rPr>
      </w:pPr>
    </w:p>
    <w:p w14:paraId="4B744D7C" w14:textId="77777777" w:rsidR="00CD0FF4" w:rsidRPr="00AA6144" w:rsidRDefault="00CD0FF4" w:rsidP="00971925">
      <w:pPr>
        <w:spacing w:after="0" w:line="240" w:lineRule="auto"/>
        <w:ind w:left="357" w:hanging="357"/>
        <w:rPr>
          <w:color w:val="auto"/>
          <w:szCs w:val="18"/>
          <w:lang w:val="en-CA"/>
        </w:rPr>
      </w:pPr>
      <w:proofErr w:type="spellStart"/>
      <w:r w:rsidRPr="007B53D3">
        <w:rPr>
          <w:color w:val="auto"/>
          <w:szCs w:val="18"/>
          <w:lang w:val="fr-CA"/>
        </w:rPr>
        <w:t>Henckaerts</w:t>
      </w:r>
      <w:proofErr w:type="spellEnd"/>
      <w:r w:rsidRPr="007B53D3">
        <w:rPr>
          <w:color w:val="auto"/>
          <w:szCs w:val="18"/>
          <w:lang w:val="fr-CA"/>
        </w:rPr>
        <w:t xml:space="preserve">, Jean-Marie &amp; Doswald-Beck, Louise. </w:t>
      </w:r>
      <w:r w:rsidRPr="00AA6144">
        <w:rPr>
          <w:i/>
          <w:color w:val="auto"/>
          <w:szCs w:val="18"/>
          <w:lang w:val="en-CA"/>
        </w:rPr>
        <w:t>Customary International Humanitarian Law</w:t>
      </w:r>
      <w:r w:rsidRPr="00AA6144">
        <w:rPr>
          <w:color w:val="auto"/>
          <w:szCs w:val="18"/>
          <w:lang w:val="en-CA"/>
        </w:rPr>
        <w:t xml:space="preserve"> (Geneva: International Committee of the Red Cross &amp; Cambridge University Press, 2005).</w:t>
      </w:r>
    </w:p>
    <w:p w14:paraId="47CD742D" w14:textId="77777777" w:rsidR="00CD0FF4" w:rsidRPr="00AA6144" w:rsidRDefault="00CD0FF4" w:rsidP="00971925">
      <w:pPr>
        <w:spacing w:after="0" w:line="240" w:lineRule="auto"/>
        <w:ind w:left="357" w:hanging="357"/>
        <w:rPr>
          <w:rStyle w:val="tightinline"/>
          <w:color w:val="auto"/>
          <w:szCs w:val="18"/>
          <w:lang w:val="en-CA"/>
        </w:rPr>
      </w:pPr>
    </w:p>
    <w:p w14:paraId="2FEEABEE"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Jennings, Robert &amp; Watts, Arthur, </w:t>
      </w:r>
      <w:r w:rsidRPr="00AA6144">
        <w:rPr>
          <w:i/>
          <w:color w:val="auto"/>
          <w:szCs w:val="18"/>
          <w:lang w:val="en-CA"/>
        </w:rPr>
        <w:t>Oppenheim’s International Law</w:t>
      </w:r>
      <w:r w:rsidRPr="00AA6144">
        <w:rPr>
          <w:color w:val="auto"/>
          <w:szCs w:val="18"/>
          <w:lang w:val="en-CA"/>
        </w:rPr>
        <w:t>, (London and New York: Longman, 1992).</w:t>
      </w:r>
    </w:p>
    <w:p w14:paraId="72468B2C" w14:textId="77777777" w:rsidR="00CD0FF4" w:rsidRPr="00AA6144" w:rsidRDefault="00CD0FF4" w:rsidP="00971925">
      <w:pPr>
        <w:spacing w:after="0" w:line="240" w:lineRule="auto"/>
        <w:ind w:left="357" w:hanging="357"/>
        <w:rPr>
          <w:color w:val="auto"/>
          <w:szCs w:val="18"/>
          <w:lang w:val="en-CA"/>
        </w:rPr>
      </w:pPr>
    </w:p>
    <w:p w14:paraId="1755FC4A" w14:textId="77777777" w:rsidR="00CD0FF4" w:rsidRPr="00AA6144" w:rsidRDefault="00CD0FF4" w:rsidP="00971925">
      <w:pPr>
        <w:spacing w:after="0" w:line="240" w:lineRule="auto"/>
        <w:ind w:left="357" w:hanging="357"/>
        <w:rPr>
          <w:color w:val="auto"/>
          <w:szCs w:val="18"/>
          <w:lang w:val="en-CA"/>
        </w:rPr>
      </w:pPr>
      <w:proofErr w:type="spellStart"/>
      <w:r w:rsidRPr="00AA6144">
        <w:rPr>
          <w:color w:val="auto"/>
          <w:szCs w:val="18"/>
          <w:lang w:val="en-CA"/>
        </w:rPr>
        <w:t>Kok</w:t>
      </w:r>
      <w:proofErr w:type="spellEnd"/>
      <w:r w:rsidRPr="00AA6144">
        <w:rPr>
          <w:color w:val="auto"/>
          <w:szCs w:val="18"/>
          <w:lang w:val="en-CA"/>
        </w:rPr>
        <w:t xml:space="preserve">, Ruth. </w:t>
      </w:r>
      <w:r w:rsidRPr="00AA6144">
        <w:rPr>
          <w:i/>
          <w:color w:val="auto"/>
          <w:szCs w:val="18"/>
          <w:lang w:val="en-CA"/>
        </w:rPr>
        <w:t>Statutory Limitations in International Criminal Law</w:t>
      </w:r>
      <w:r w:rsidRPr="00AA6144">
        <w:rPr>
          <w:color w:val="auto"/>
          <w:szCs w:val="18"/>
          <w:lang w:val="en-CA"/>
        </w:rPr>
        <w:t>, (London: Blackwell, 2008).</w:t>
      </w:r>
    </w:p>
    <w:p w14:paraId="58BC6C89" w14:textId="77777777" w:rsidR="00CD0FF4" w:rsidRPr="00AA6144" w:rsidRDefault="00CD0FF4" w:rsidP="00971925">
      <w:pPr>
        <w:spacing w:after="0" w:line="240" w:lineRule="auto"/>
        <w:ind w:left="357" w:hanging="357"/>
        <w:rPr>
          <w:color w:val="auto"/>
          <w:szCs w:val="18"/>
          <w:lang w:val="en-CA"/>
        </w:rPr>
      </w:pPr>
    </w:p>
    <w:p w14:paraId="4F9CB2D0" w14:textId="77777777" w:rsidR="00CD0FF4" w:rsidRPr="00AA6144" w:rsidRDefault="00CD0FF4" w:rsidP="00971925">
      <w:pPr>
        <w:spacing w:after="0" w:line="240" w:lineRule="auto"/>
        <w:ind w:left="357" w:hanging="357"/>
        <w:rPr>
          <w:color w:val="auto"/>
          <w:szCs w:val="18"/>
          <w:lang w:val="en-CA"/>
        </w:rPr>
      </w:pPr>
      <w:proofErr w:type="spellStart"/>
      <w:r w:rsidRPr="00AA6144">
        <w:rPr>
          <w:color w:val="auto"/>
          <w:szCs w:val="18"/>
          <w:lang w:val="en-CA"/>
        </w:rPr>
        <w:t>Krivel</w:t>
      </w:r>
      <w:proofErr w:type="spellEnd"/>
      <w:r w:rsidRPr="00AA6144">
        <w:rPr>
          <w:color w:val="auto"/>
          <w:szCs w:val="18"/>
          <w:lang w:val="en-CA"/>
        </w:rPr>
        <w:t xml:space="preserve">, Elaine F, Beveridge, Thomas &amp; Hayward, John W. </w:t>
      </w:r>
      <w:r w:rsidRPr="00AA6144">
        <w:rPr>
          <w:i/>
          <w:color w:val="auto"/>
          <w:szCs w:val="18"/>
          <w:lang w:val="en-CA"/>
        </w:rPr>
        <w:t>A Practical Guide to Canadian Extradition</w:t>
      </w:r>
      <w:r w:rsidRPr="00AA6144">
        <w:rPr>
          <w:color w:val="auto"/>
          <w:szCs w:val="18"/>
          <w:lang w:val="en-CA"/>
        </w:rPr>
        <w:t xml:space="preserve"> (Toronto: Carswell, 2002).</w:t>
      </w:r>
    </w:p>
    <w:p w14:paraId="4984B6BF" w14:textId="77777777" w:rsidR="00CD0FF4" w:rsidRPr="00AA6144" w:rsidRDefault="00CD0FF4" w:rsidP="00971925">
      <w:pPr>
        <w:spacing w:after="0" w:line="240" w:lineRule="auto"/>
        <w:ind w:left="357" w:hanging="357"/>
        <w:rPr>
          <w:color w:val="auto"/>
          <w:szCs w:val="18"/>
          <w:lang w:val="en-CA"/>
        </w:rPr>
      </w:pPr>
    </w:p>
    <w:p w14:paraId="0363876B" w14:textId="77777777" w:rsidR="00CD0FF4" w:rsidRPr="00AA6144" w:rsidRDefault="00CD0FF4" w:rsidP="00CD0FF4">
      <w:pPr>
        <w:spacing w:after="0" w:line="240" w:lineRule="auto"/>
        <w:ind w:left="357" w:hanging="357"/>
        <w:rPr>
          <w:color w:val="auto"/>
          <w:szCs w:val="18"/>
          <w:lang w:val="en-CA"/>
        </w:rPr>
      </w:pPr>
      <w:r w:rsidRPr="00AA6144">
        <w:rPr>
          <w:color w:val="auto"/>
          <w:szCs w:val="18"/>
          <w:lang w:val="en-CA"/>
        </w:rPr>
        <w:t xml:space="preserve">Lafontaine, Fannie. </w:t>
      </w:r>
      <w:r w:rsidRPr="00AA6144">
        <w:rPr>
          <w:i/>
          <w:color w:val="auto"/>
          <w:szCs w:val="18"/>
          <w:lang w:val="en-CA"/>
        </w:rPr>
        <w:t>Prosecuting Genocide, Crimes Against Humanity and War Crimes in Canadian Courts</w:t>
      </w:r>
      <w:r w:rsidRPr="00AA6144">
        <w:rPr>
          <w:color w:val="auto"/>
          <w:szCs w:val="18"/>
          <w:lang w:val="en-CA"/>
        </w:rPr>
        <w:t xml:space="preserve"> (Toronto: Carswell, 2012).</w:t>
      </w:r>
    </w:p>
    <w:p w14:paraId="1C4ED908" w14:textId="77777777" w:rsidR="00CD0FF4" w:rsidRPr="00AA6144" w:rsidRDefault="00CD0FF4" w:rsidP="00971925">
      <w:pPr>
        <w:spacing w:after="0" w:line="240" w:lineRule="auto"/>
        <w:ind w:left="357" w:hanging="357"/>
        <w:rPr>
          <w:color w:val="auto"/>
          <w:szCs w:val="18"/>
          <w:lang w:val="en-CA"/>
        </w:rPr>
      </w:pPr>
    </w:p>
    <w:p w14:paraId="17E8D47C"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McGoldrick, Dominic.</w:t>
      </w:r>
      <w:r w:rsidRPr="00AA6144">
        <w:rPr>
          <w:i/>
          <w:color w:val="auto"/>
          <w:szCs w:val="18"/>
          <w:lang w:val="en-CA"/>
        </w:rPr>
        <w:t xml:space="preserve"> The Human Rights Committee: Its Role in the Development of the International Covenant on Civil and Political Rights</w:t>
      </w:r>
      <w:r w:rsidRPr="00AA6144">
        <w:rPr>
          <w:color w:val="auto"/>
          <w:szCs w:val="18"/>
          <w:lang w:val="en-CA"/>
        </w:rPr>
        <w:t xml:space="preserve"> (Oxford: Clarendon Press, 1991).</w:t>
      </w:r>
    </w:p>
    <w:p w14:paraId="5A2C64F3" w14:textId="77777777" w:rsidR="00CD0FF4" w:rsidRPr="00AA6144" w:rsidRDefault="00CD0FF4" w:rsidP="00971925">
      <w:pPr>
        <w:spacing w:after="0" w:line="240" w:lineRule="auto"/>
        <w:ind w:left="357" w:hanging="357"/>
        <w:rPr>
          <w:color w:val="auto"/>
          <w:szCs w:val="18"/>
          <w:lang w:val="en-CA"/>
        </w:rPr>
      </w:pPr>
    </w:p>
    <w:p w14:paraId="74299830"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Morgan, Edward M. </w:t>
      </w:r>
      <w:r w:rsidRPr="00AA6144">
        <w:rPr>
          <w:i/>
          <w:color w:val="auto"/>
          <w:szCs w:val="18"/>
          <w:lang w:val="en-CA"/>
        </w:rPr>
        <w:t xml:space="preserve">International </w:t>
      </w:r>
      <w:proofErr w:type="gramStart"/>
      <w:r w:rsidRPr="00AA6144">
        <w:rPr>
          <w:i/>
          <w:color w:val="auto"/>
          <w:szCs w:val="18"/>
          <w:lang w:val="en-CA"/>
        </w:rPr>
        <w:t>Law</w:t>
      </w:r>
      <w:proofErr w:type="gramEnd"/>
      <w:r w:rsidRPr="00AA6144">
        <w:rPr>
          <w:i/>
          <w:color w:val="auto"/>
          <w:szCs w:val="18"/>
          <w:lang w:val="en-CA"/>
        </w:rPr>
        <w:t xml:space="preserve"> and the Canadian Courts: sovereign immunity, criminal jurisdiction, aliens’ rights and taxation powers</w:t>
      </w:r>
      <w:r w:rsidRPr="00AA6144">
        <w:rPr>
          <w:color w:val="auto"/>
          <w:szCs w:val="18"/>
          <w:lang w:val="en-CA"/>
        </w:rPr>
        <w:t>, (Toronto: Carswell, 1990).</w:t>
      </w:r>
    </w:p>
    <w:p w14:paraId="7AC06870" w14:textId="77777777" w:rsidR="00CD0FF4" w:rsidRPr="00AA6144" w:rsidRDefault="00CD0FF4" w:rsidP="00971925">
      <w:pPr>
        <w:spacing w:after="0" w:line="240" w:lineRule="auto"/>
        <w:ind w:left="357" w:hanging="357"/>
        <w:rPr>
          <w:color w:val="auto"/>
          <w:szCs w:val="18"/>
          <w:lang w:val="en-CA"/>
        </w:rPr>
      </w:pPr>
    </w:p>
    <w:p w14:paraId="42738C65"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Nowak, Manfred. </w:t>
      </w:r>
      <w:r w:rsidRPr="00AA6144">
        <w:rPr>
          <w:i/>
          <w:color w:val="auto"/>
          <w:szCs w:val="18"/>
          <w:lang w:val="en-CA"/>
        </w:rPr>
        <w:t>UN Covenant on Civil and Political Rights: CCPR Commentary</w:t>
      </w:r>
      <w:r w:rsidRPr="00AA6144">
        <w:rPr>
          <w:color w:val="auto"/>
          <w:szCs w:val="18"/>
          <w:lang w:val="en-CA"/>
        </w:rPr>
        <w:t xml:space="preserve"> (</w:t>
      </w:r>
      <w:proofErr w:type="spellStart"/>
      <w:r w:rsidRPr="00AA6144">
        <w:rPr>
          <w:color w:val="auto"/>
          <w:szCs w:val="18"/>
          <w:lang w:val="en-CA"/>
        </w:rPr>
        <w:t>Kehl</w:t>
      </w:r>
      <w:proofErr w:type="spellEnd"/>
      <w:r w:rsidRPr="00AA6144">
        <w:rPr>
          <w:color w:val="auto"/>
          <w:szCs w:val="18"/>
          <w:lang w:val="en-CA"/>
        </w:rPr>
        <w:t xml:space="preserve"> am Rhein: NP Engel, 1993).</w:t>
      </w:r>
    </w:p>
    <w:p w14:paraId="65DDD455" w14:textId="77777777" w:rsidR="00CD0FF4" w:rsidRPr="00AA6144" w:rsidRDefault="00CD0FF4" w:rsidP="00971925">
      <w:pPr>
        <w:spacing w:after="0" w:line="240" w:lineRule="auto"/>
        <w:ind w:left="357" w:hanging="357"/>
        <w:rPr>
          <w:color w:val="auto"/>
          <w:szCs w:val="18"/>
          <w:lang w:val="en-CA"/>
        </w:rPr>
      </w:pPr>
    </w:p>
    <w:p w14:paraId="0A27B253" w14:textId="03AB1286"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Roach, Kent. </w:t>
      </w:r>
      <w:r w:rsidRPr="00AA6144">
        <w:rPr>
          <w:i/>
          <w:color w:val="auto"/>
          <w:szCs w:val="18"/>
          <w:lang w:val="en-CA"/>
        </w:rPr>
        <w:t>Criminal Law</w:t>
      </w:r>
      <w:r w:rsidRPr="00AA6144">
        <w:rPr>
          <w:color w:val="auto"/>
          <w:szCs w:val="18"/>
          <w:lang w:val="en-CA"/>
        </w:rPr>
        <w:t>, 4</w:t>
      </w:r>
      <w:r w:rsidRPr="00AA6144">
        <w:rPr>
          <w:color w:val="auto"/>
          <w:szCs w:val="18"/>
          <w:vertAlign w:val="superscript"/>
          <w:lang w:val="en-CA"/>
        </w:rPr>
        <w:t>th</w:t>
      </w:r>
      <w:r w:rsidRPr="00AA6144">
        <w:rPr>
          <w:color w:val="auto"/>
          <w:szCs w:val="18"/>
          <w:lang w:val="en-CA"/>
        </w:rPr>
        <w:t xml:space="preserve"> ed (Toronto: Irwin Law, 2009).</w:t>
      </w:r>
    </w:p>
    <w:p w14:paraId="54F24CD6" w14:textId="6E7A8362" w:rsidR="00B844F5" w:rsidRPr="00AA6144" w:rsidRDefault="00B844F5" w:rsidP="000828C3">
      <w:pPr>
        <w:spacing w:after="0" w:line="240" w:lineRule="auto"/>
        <w:ind w:left="357" w:hanging="357"/>
        <w:rPr>
          <w:color w:val="auto"/>
          <w:szCs w:val="18"/>
          <w:lang w:val="en-CA"/>
        </w:rPr>
      </w:pPr>
    </w:p>
    <w:p w14:paraId="2FF0CDC7" w14:textId="722B871A" w:rsidR="00CD0FF4" w:rsidRPr="00AA6144" w:rsidRDefault="00B844F5" w:rsidP="00AA6144">
      <w:pPr>
        <w:spacing w:line="240" w:lineRule="auto"/>
        <w:ind w:left="357" w:hanging="357"/>
        <w:rPr>
          <w:color w:val="auto"/>
          <w:szCs w:val="18"/>
          <w:lang w:val="en-CA"/>
        </w:rPr>
      </w:pPr>
      <w:r w:rsidRPr="00AA6144">
        <w:rPr>
          <w:lang w:val="en-CA"/>
        </w:rPr>
        <w:t xml:space="preserve">Joseph </w:t>
      </w:r>
      <w:proofErr w:type="spellStart"/>
      <w:r w:rsidRPr="00AA6144">
        <w:rPr>
          <w:lang w:val="en-CA"/>
        </w:rPr>
        <w:t>Rikhof</w:t>
      </w:r>
      <w:proofErr w:type="spellEnd"/>
      <w:r w:rsidRPr="00AA6144">
        <w:rPr>
          <w:lang w:val="en-CA"/>
        </w:rPr>
        <w:t xml:space="preserve">, “Update on Exclusion and Inadmissibility Jurisprudence: New developments since the decisions of the Supreme Court of Canada in the </w:t>
      </w:r>
      <w:proofErr w:type="spellStart"/>
      <w:r w:rsidRPr="00AA6144">
        <w:rPr>
          <w:lang w:val="en-CA"/>
        </w:rPr>
        <w:t>Ezokola</w:t>
      </w:r>
      <w:proofErr w:type="spellEnd"/>
      <w:r w:rsidRPr="00AA6144">
        <w:rPr>
          <w:lang w:val="en-CA"/>
        </w:rPr>
        <w:t xml:space="preserve"> and </w:t>
      </w:r>
      <w:proofErr w:type="spellStart"/>
      <w:r w:rsidRPr="00AA6144">
        <w:rPr>
          <w:lang w:val="en-CA"/>
        </w:rPr>
        <w:t>Febles</w:t>
      </w:r>
      <w:proofErr w:type="spellEnd"/>
      <w:r w:rsidRPr="00AA6144">
        <w:rPr>
          <w:lang w:val="en-CA"/>
        </w:rPr>
        <w:t xml:space="preserve">” </w:t>
      </w:r>
      <w:r w:rsidRPr="00AA6144">
        <w:rPr>
          <w:i/>
          <w:lang w:val="en-CA"/>
        </w:rPr>
        <w:t>Canadian Association for Refugee and Forced Migration Studies</w:t>
      </w:r>
      <w:r w:rsidRPr="00AA6144">
        <w:rPr>
          <w:lang w:val="en-CA"/>
        </w:rPr>
        <w:t>, Working Paper 2017/2 (2017) at 6-9, online (pdf): &lt;</w:t>
      </w:r>
      <w:r w:rsidRPr="000C2340">
        <w:rPr>
          <w:lang w:val="en-CA"/>
        </w:rPr>
        <w:t>http://carfms.org/wp-content/uploads/2017/04/CARFMS-WPS-No10-Joseph-Rikhof.pdf</w:t>
      </w:r>
      <w:r w:rsidRPr="00AA6144">
        <w:rPr>
          <w:lang w:val="en-CA"/>
        </w:rPr>
        <w:t>&gt;.</w:t>
      </w:r>
    </w:p>
    <w:p w14:paraId="44132AE7" w14:textId="77777777" w:rsidR="00CD0FF4" w:rsidRPr="007B53D3" w:rsidRDefault="00CD0FF4" w:rsidP="00B844F5">
      <w:pPr>
        <w:spacing w:after="0" w:line="240" w:lineRule="auto"/>
        <w:ind w:left="357" w:hanging="357"/>
        <w:rPr>
          <w:color w:val="auto"/>
          <w:szCs w:val="18"/>
          <w:lang w:val="fr-CA"/>
        </w:rPr>
      </w:pPr>
      <w:proofErr w:type="spellStart"/>
      <w:r w:rsidRPr="00356280">
        <w:rPr>
          <w:color w:val="auto"/>
          <w:szCs w:val="18"/>
          <w:lang w:val="fr-CA"/>
        </w:rPr>
        <w:t>Schaus</w:t>
      </w:r>
      <w:proofErr w:type="spellEnd"/>
      <w:r w:rsidRPr="00356280">
        <w:rPr>
          <w:color w:val="auto"/>
          <w:szCs w:val="18"/>
          <w:lang w:val="fr-CA"/>
        </w:rPr>
        <w:t xml:space="preserve">, </w:t>
      </w:r>
      <w:proofErr w:type="spellStart"/>
      <w:r w:rsidRPr="00356280">
        <w:rPr>
          <w:color w:val="auto"/>
          <w:szCs w:val="18"/>
          <w:lang w:val="fr-CA"/>
        </w:rPr>
        <w:t>Anemie</w:t>
      </w:r>
      <w:proofErr w:type="spellEnd"/>
      <w:r w:rsidRPr="00356280">
        <w:rPr>
          <w:color w:val="auto"/>
          <w:szCs w:val="18"/>
          <w:lang w:val="fr-CA"/>
        </w:rPr>
        <w:t xml:space="preserve">. “Article 27” in </w:t>
      </w:r>
      <w:proofErr w:type="spellStart"/>
      <w:r w:rsidRPr="00356280">
        <w:rPr>
          <w:color w:val="auto"/>
          <w:szCs w:val="18"/>
          <w:lang w:val="fr-CA"/>
        </w:rPr>
        <w:t>Corten</w:t>
      </w:r>
      <w:proofErr w:type="spellEnd"/>
      <w:r w:rsidRPr="00356280">
        <w:rPr>
          <w:color w:val="auto"/>
          <w:szCs w:val="18"/>
          <w:lang w:val="fr-CA"/>
        </w:rPr>
        <w:t xml:space="preserve">, Olivier &amp; Klein, Pierre </w:t>
      </w:r>
      <w:proofErr w:type="spellStart"/>
      <w:r w:rsidRPr="00356280">
        <w:rPr>
          <w:color w:val="auto"/>
          <w:szCs w:val="18"/>
          <w:lang w:val="fr-CA"/>
        </w:rPr>
        <w:t>eds</w:t>
      </w:r>
      <w:proofErr w:type="spellEnd"/>
      <w:r w:rsidRPr="00356280">
        <w:rPr>
          <w:color w:val="auto"/>
          <w:szCs w:val="18"/>
          <w:lang w:val="fr-CA"/>
        </w:rPr>
        <w:t xml:space="preserve">. </w:t>
      </w:r>
      <w:r w:rsidRPr="00356280">
        <w:rPr>
          <w:i/>
          <w:color w:val="auto"/>
          <w:szCs w:val="18"/>
          <w:lang w:val="fr-CA"/>
        </w:rPr>
        <w:t xml:space="preserve">Les Conventions de Vienne sur le droit des traités. </w:t>
      </w:r>
      <w:r w:rsidRPr="007B53D3">
        <w:rPr>
          <w:i/>
          <w:color w:val="auto"/>
          <w:szCs w:val="18"/>
          <w:lang w:val="fr-CA"/>
        </w:rPr>
        <w:t>Commentaire article par article</w:t>
      </w:r>
      <w:r w:rsidRPr="007B53D3">
        <w:rPr>
          <w:color w:val="auto"/>
          <w:szCs w:val="18"/>
          <w:lang w:val="fr-CA"/>
        </w:rPr>
        <w:t xml:space="preserve"> (Bruxelles : Bruylant-Centre de droit international-Université Libre de Bruxelles, 2006).</w:t>
      </w:r>
    </w:p>
    <w:p w14:paraId="2E61B111" w14:textId="77777777" w:rsidR="00CD0FF4" w:rsidRPr="007B53D3" w:rsidRDefault="00CD0FF4" w:rsidP="00971925">
      <w:pPr>
        <w:spacing w:after="0" w:line="240" w:lineRule="auto"/>
        <w:ind w:left="357" w:hanging="357"/>
        <w:rPr>
          <w:color w:val="auto"/>
          <w:szCs w:val="18"/>
          <w:lang w:val="fr-CA"/>
        </w:rPr>
      </w:pPr>
    </w:p>
    <w:p w14:paraId="74D2A826" w14:textId="77777777" w:rsidR="00CD0FF4" w:rsidRPr="00AA6144" w:rsidRDefault="00CD0FF4" w:rsidP="00971925">
      <w:pPr>
        <w:spacing w:after="0" w:line="240" w:lineRule="auto"/>
        <w:ind w:left="357" w:hanging="357"/>
        <w:rPr>
          <w:color w:val="auto"/>
          <w:szCs w:val="18"/>
          <w:lang w:val="en-CA"/>
        </w:rPr>
      </w:pPr>
      <w:r w:rsidRPr="00AA6144">
        <w:rPr>
          <w:color w:val="auto"/>
          <w:szCs w:val="18"/>
          <w:lang w:val="en-CA"/>
        </w:rPr>
        <w:t xml:space="preserve">Shaw, Malcolm N. </w:t>
      </w:r>
      <w:r w:rsidRPr="00AA6144">
        <w:rPr>
          <w:i/>
          <w:color w:val="auto"/>
          <w:szCs w:val="18"/>
          <w:lang w:val="en-CA"/>
        </w:rPr>
        <w:t>International Law</w:t>
      </w:r>
      <w:r w:rsidRPr="00AA6144">
        <w:rPr>
          <w:color w:val="auto"/>
          <w:szCs w:val="18"/>
          <w:lang w:val="en-CA"/>
        </w:rPr>
        <w:t>, 4</w:t>
      </w:r>
      <w:r w:rsidRPr="00AA6144">
        <w:rPr>
          <w:color w:val="auto"/>
          <w:szCs w:val="18"/>
          <w:vertAlign w:val="superscript"/>
          <w:lang w:val="en-CA"/>
        </w:rPr>
        <w:t>th</w:t>
      </w:r>
      <w:r w:rsidRPr="00AA6144">
        <w:rPr>
          <w:color w:val="auto"/>
          <w:szCs w:val="18"/>
          <w:lang w:val="en-CA"/>
        </w:rPr>
        <w:t xml:space="preserve"> ed (Cambridge: Cambridge University Press, 1997).</w:t>
      </w:r>
    </w:p>
    <w:p w14:paraId="5089A4E0" w14:textId="77777777" w:rsidR="00CD0FF4" w:rsidRPr="00AA6144" w:rsidRDefault="00CD0FF4" w:rsidP="00971925">
      <w:pPr>
        <w:spacing w:after="0" w:line="240" w:lineRule="auto"/>
        <w:ind w:left="357" w:hanging="357"/>
        <w:rPr>
          <w:color w:val="auto"/>
          <w:szCs w:val="18"/>
          <w:lang w:val="en-CA"/>
        </w:rPr>
      </w:pPr>
    </w:p>
    <w:p w14:paraId="4B8714F1" w14:textId="77777777" w:rsidR="00CD0FF4" w:rsidRPr="00AA6144" w:rsidRDefault="00CD0FF4" w:rsidP="00971925">
      <w:pPr>
        <w:spacing w:after="0" w:line="240" w:lineRule="auto"/>
        <w:ind w:left="357" w:hanging="357"/>
        <w:rPr>
          <w:color w:val="auto"/>
          <w:szCs w:val="18"/>
          <w:lang w:val="en-CA"/>
        </w:rPr>
      </w:pPr>
      <w:proofErr w:type="spellStart"/>
      <w:r w:rsidRPr="00AA6144">
        <w:rPr>
          <w:color w:val="auto"/>
          <w:szCs w:val="18"/>
          <w:lang w:val="en-CA"/>
        </w:rPr>
        <w:t>Villiger</w:t>
      </w:r>
      <w:proofErr w:type="spellEnd"/>
      <w:r w:rsidRPr="00AA6144">
        <w:rPr>
          <w:color w:val="auto"/>
          <w:szCs w:val="18"/>
          <w:lang w:val="en-CA"/>
        </w:rPr>
        <w:t xml:space="preserve">, Mark E. </w:t>
      </w:r>
      <w:r w:rsidRPr="00AA6144">
        <w:rPr>
          <w:i/>
          <w:color w:val="auto"/>
          <w:szCs w:val="18"/>
          <w:lang w:val="en-CA"/>
        </w:rPr>
        <w:t>Commentary on the 1969 Vienna Convention on the Law of Treaties</w:t>
      </w:r>
      <w:r w:rsidRPr="00AA6144">
        <w:rPr>
          <w:color w:val="auto"/>
          <w:szCs w:val="18"/>
          <w:lang w:val="en-CA"/>
        </w:rPr>
        <w:t xml:space="preserve">, (Leiden: </w:t>
      </w:r>
      <w:proofErr w:type="spellStart"/>
      <w:r w:rsidRPr="00AA6144">
        <w:rPr>
          <w:color w:val="auto"/>
          <w:szCs w:val="18"/>
          <w:lang w:val="en-CA"/>
        </w:rPr>
        <w:t>Martinus</w:t>
      </w:r>
      <w:proofErr w:type="spellEnd"/>
      <w:r w:rsidRPr="00AA6144">
        <w:rPr>
          <w:color w:val="auto"/>
          <w:szCs w:val="18"/>
          <w:lang w:val="en-CA"/>
        </w:rPr>
        <w:t xml:space="preserve"> </w:t>
      </w:r>
      <w:proofErr w:type="spellStart"/>
      <w:r w:rsidRPr="00AA6144">
        <w:rPr>
          <w:color w:val="auto"/>
          <w:szCs w:val="18"/>
          <w:lang w:val="en-CA"/>
        </w:rPr>
        <w:t>Nijhoff</w:t>
      </w:r>
      <w:proofErr w:type="spellEnd"/>
      <w:r w:rsidRPr="00AA6144">
        <w:rPr>
          <w:color w:val="auto"/>
          <w:szCs w:val="18"/>
          <w:lang w:val="en-CA"/>
        </w:rPr>
        <w:t>, 2009).</w:t>
      </w:r>
    </w:p>
    <w:p w14:paraId="183B4D27" w14:textId="77777777" w:rsidR="00D72F35" w:rsidRPr="00AA6144" w:rsidRDefault="00D72F35" w:rsidP="00971925">
      <w:pPr>
        <w:rPr>
          <w:color w:val="auto"/>
          <w:szCs w:val="18"/>
          <w:lang w:val="en-CA"/>
        </w:rPr>
      </w:pPr>
    </w:p>
    <w:p w14:paraId="360B7E5A" w14:textId="77777777" w:rsidR="00933062" w:rsidRPr="00AA6144" w:rsidRDefault="00933062" w:rsidP="00D72F35">
      <w:pPr>
        <w:rPr>
          <w:color w:val="auto"/>
          <w:szCs w:val="18"/>
          <w:lang w:val="en-CA"/>
        </w:rPr>
      </w:pPr>
      <w:r w:rsidRPr="00AA6144">
        <w:rPr>
          <w:color w:val="auto"/>
          <w:szCs w:val="18"/>
          <w:lang w:val="en-CA"/>
        </w:rPr>
        <w:t xml:space="preserve">LAW JOURNAL </w:t>
      </w:r>
      <w:r w:rsidR="00D72F35" w:rsidRPr="00AA6144">
        <w:rPr>
          <w:color w:val="auto"/>
          <w:szCs w:val="18"/>
          <w:lang w:val="en-CA"/>
        </w:rPr>
        <w:t>ARTICLES</w:t>
      </w:r>
    </w:p>
    <w:p w14:paraId="71FB0A79" w14:textId="77777777" w:rsidR="003D5746" w:rsidRPr="00AA6144" w:rsidRDefault="003D5746" w:rsidP="00971925">
      <w:pPr>
        <w:spacing w:after="0" w:line="240" w:lineRule="auto"/>
        <w:ind w:left="357" w:hanging="357"/>
        <w:rPr>
          <w:iCs/>
          <w:color w:val="auto"/>
          <w:szCs w:val="18"/>
          <w:lang w:val="en-CA"/>
        </w:rPr>
      </w:pPr>
      <w:r w:rsidRPr="00AA6144">
        <w:rPr>
          <w:color w:val="auto"/>
          <w:szCs w:val="18"/>
          <w:lang w:val="en-CA"/>
        </w:rPr>
        <w:t xml:space="preserve">Akhavan, Payam. “Enforcement of the Genocide Convention: A Challenge to Civilization” (1995) </w:t>
      </w:r>
      <w:r w:rsidRPr="00AA6144">
        <w:rPr>
          <w:iCs/>
          <w:color w:val="auto"/>
          <w:szCs w:val="18"/>
          <w:lang w:val="en-CA"/>
        </w:rPr>
        <w:t xml:space="preserve">8 Harv Hum </w:t>
      </w:r>
      <w:proofErr w:type="spellStart"/>
      <w:r w:rsidRPr="00AA6144">
        <w:rPr>
          <w:iCs/>
          <w:color w:val="auto"/>
          <w:szCs w:val="18"/>
          <w:lang w:val="en-CA"/>
        </w:rPr>
        <w:t>Rts</w:t>
      </w:r>
      <w:proofErr w:type="spellEnd"/>
      <w:r w:rsidRPr="00AA6144">
        <w:rPr>
          <w:iCs/>
          <w:color w:val="auto"/>
          <w:szCs w:val="18"/>
          <w:lang w:val="en-CA"/>
        </w:rPr>
        <w:t xml:space="preserve"> J 229.</w:t>
      </w:r>
    </w:p>
    <w:p w14:paraId="46CDC49C" w14:textId="77777777" w:rsidR="003D5746" w:rsidRPr="00AA6144" w:rsidRDefault="003D5746" w:rsidP="00971925">
      <w:pPr>
        <w:spacing w:after="0" w:line="240" w:lineRule="auto"/>
        <w:ind w:left="357" w:hanging="357"/>
        <w:rPr>
          <w:iCs/>
          <w:color w:val="auto"/>
          <w:szCs w:val="18"/>
          <w:lang w:val="en-CA"/>
        </w:rPr>
      </w:pPr>
    </w:p>
    <w:p w14:paraId="5EFC69DD" w14:textId="77777777" w:rsidR="003D5746" w:rsidRPr="00AA6144" w:rsidRDefault="003D5746" w:rsidP="00971925">
      <w:pPr>
        <w:pStyle w:val="FootnoteText"/>
        <w:spacing w:after="0" w:line="240" w:lineRule="auto"/>
        <w:ind w:left="357" w:hanging="357"/>
        <w:rPr>
          <w:bCs/>
          <w:color w:val="auto"/>
          <w:sz w:val="18"/>
          <w:szCs w:val="18"/>
          <w:lang w:val="en-CA"/>
        </w:rPr>
      </w:pPr>
      <w:r w:rsidRPr="00AA6144">
        <w:rPr>
          <w:color w:val="auto"/>
          <w:sz w:val="18"/>
          <w:szCs w:val="18"/>
          <w:lang w:val="en-CA"/>
        </w:rPr>
        <w:t xml:space="preserve">Bailey, Jane. “Reopening Law’s Gate: Public Interest Standing and Access to Justice” (2011) </w:t>
      </w:r>
      <w:r w:rsidRPr="00AA6144">
        <w:rPr>
          <w:bCs/>
          <w:color w:val="auto"/>
          <w:sz w:val="18"/>
          <w:szCs w:val="18"/>
          <w:lang w:val="en-CA"/>
        </w:rPr>
        <w:t xml:space="preserve">44 UBCL Rev 255. </w:t>
      </w:r>
    </w:p>
    <w:p w14:paraId="14763148" w14:textId="77777777" w:rsidR="003D5746" w:rsidRPr="00AA6144" w:rsidRDefault="003D5746" w:rsidP="00971925">
      <w:pPr>
        <w:pStyle w:val="FootnoteText"/>
        <w:spacing w:after="0" w:line="240" w:lineRule="auto"/>
        <w:ind w:left="357" w:hanging="357"/>
        <w:rPr>
          <w:bCs/>
          <w:color w:val="auto"/>
          <w:sz w:val="18"/>
          <w:szCs w:val="18"/>
          <w:lang w:val="en-CA"/>
        </w:rPr>
      </w:pPr>
    </w:p>
    <w:p w14:paraId="154D6383" w14:textId="77777777" w:rsidR="003D5746" w:rsidRPr="00AA6144" w:rsidRDefault="003D5746" w:rsidP="00971925">
      <w:pPr>
        <w:spacing w:after="0" w:line="240" w:lineRule="auto"/>
        <w:ind w:left="357" w:hanging="357"/>
        <w:rPr>
          <w:bCs/>
          <w:color w:val="auto"/>
          <w:szCs w:val="18"/>
          <w:lang w:val="en-CA"/>
        </w:rPr>
      </w:pPr>
      <w:proofErr w:type="spellStart"/>
      <w:r w:rsidRPr="00AA6144">
        <w:rPr>
          <w:color w:val="auto"/>
          <w:szCs w:val="18"/>
          <w:lang w:val="en-CA"/>
        </w:rPr>
        <w:t>Besner</w:t>
      </w:r>
      <w:proofErr w:type="spellEnd"/>
      <w:r w:rsidRPr="00AA6144">
        <w:rPr>
          <w:color w:val="auto"/>
          <w:szCs w:val="18"/>
          <w:lang w:val="en-CA"/>
        </w:rPr>
        <w:t>, Jennifer &amp; Attaran, Amir. “</w:t>
      </w:r>
      <w:r w:rsidRPr="00AA6144">
        <w:rPr>
          <w:bCs/>
          <w:color w:val="auto"/>
          <w:szCs w:val="18"/>
          <w:lang w:val="en-CA"/>
        </w:rPr>
        <w:t>Civil liability in Canada’s courts for torture committed abroad: The unsatisfactory interpretation of the State Immunity Act 1985” (2008) 16 Tort L Rev 150.</w:t>
      </w:r>
    </w:p>
    <w:p w14:paraId="54EF4F96" w14:textId="77777777" w:rsidR="003D5746" w:rsidRPr="00AA6144" w:rsidRDefault="003D5746" w:rsidP="00971925">
      <w:pPr>
        <w:spacing w:after="0" w:line="240" w:lineRule="auto"/>
        <w:ind w:left="357" w:hanging="357"/>
        <w:rPr>
          <w:bCs/>
          <w:color w:val="auto"/>
          <w:szCs w:val="18"/>
          <w:lang w:val="en-CA"/>
        </w:rPr>
      </w:pPr>
    </w:p>
    <w:p w14:paraId="7BCD13C4" w14:textId="77777777" w:rsidR="003D5746" w:rsidRPr="00AA6144" w:rsidRDefault="003D5746" w:rsidP="00971925">
      <w:pPr>
        <w:pStyle w:val="FootnoteText"/>
        <w:spacing w:after="0" w:line="240" w:lineRule="auto"/>
        <w:ind w:left="357" w:hanging="357"/>
        <w:rPr>
          <w:color w:val="auto"/>
          <w:sz w:val="18"/>
          <w:szCs w:val="18"/>
          <w:lang w:val="en-CA"/>
        </w:rPr>
      </w:pPr>
      <w:r w:rsidRPr="00AA6144">
        <w:rPr>
          <w:color w:val="auto"/>
          <w:sz w:val="18"/>
          <w:szCs w:val="18"/>
          <w:lang w:val="en-CA"/>
        </w:rPr>
        <w:t xml:space="preserve">Black, V &amp; </w:t>
      </w:r>
      <w:proofErr w:type="spellStart"/>
      <w:r w:rsidRPr="00AA6144">
        <w:rPr>
          <w:color w:val="auto"/>
          <w:sz w:val="18"/>
          <w:szCs w:val="18"/>
          <w:lang w:val="en-CA"/>
        </w:rPr>
        <w:t>Babin</w:t>
      </w:r>
      <w:proofErr w:type="spellEnd"/>
      <w:r w:rsidRPr="00AA6144">
        <w:rPr>
          <w:color w:val="auto"/>
          <w:sz w:val="18"/>
          <w:szCs w:val="18"/>
          <w:lang w:val="en-CA"/>
        </w:rPr>
        <w:t>, E. “</w:t>
      </w:r>
      <w:proofErr w:type="spellStart"/>
      <w:r w:rsidRPr="00AA6144">
        <w:rPr>
          <w:color w:val="auto"/>
          <w:sz w:val="18"/>
          <w:szCs w:val="18"/>
          <w:lang w:val="en-CA"/>
        </w:rPr>
        <w:t>Mareva</w:t>
      </w:r>
      <w:proofErr w:type="spellEnd"/>
      <w:r w:rsidRPr="00AA6144">
        <w:rPr>
          <w:color w:val="auto"/>
          <w:sz w:val="18"/>
          <w:szCs w:val="18"/>
          <w:lang w:val="en-CA"/>
        </w:rPr>
        <w:t xml:space="preserve"> Injunctions in Canada: Territorial Aspects” (1997) 28 Can Bus LJ 431.</w:t>
      </w:r>
    </w:p>
    <w:p w14:paraId="057C4416" w14:textId="77777777" w:rsidR="003D5746" w:rsidRPr="00AA6144" w:rsidRDefault="003D5746" w:rsidP="00971925">
      <w:pPr>
        <w:pStyle w:val="FootnoteText"/>
        <w:spacing w:after="0" w:line="240" w:lineRule="auto"/>
        <w:ind w:left="357" w:hanging="357"/>
        <w:rPr>
          <w:color w:val="auto"/>
          <w:sz w:val="18"/>
          <w:szCs w:val="18"/>
          <w:lang w:val="en-CA"/>
        </w:rPr>
      </w:pPr>
    </w:p>
    <w:p w14:paraId="0B4CB977" w14:textId="77777777" w:rsidR="003D5746" w:rsidRPr="00AA6144" w:rsidRDefault="003D5746" w:rsidP="00971925">
      <w:pPr>
        <w:pStyle w:val="FootnoteText"/>
        <w:spacing w:after="0" w:line="240" w:lineRule="auto"/>
        <w:ind w:left="357" w:hanging="357"/>
        <w:rPr>
          <w:rStyle w:val="sectionhighlight"/>
          <w:color w:val="auto"/>
          <w:sz w:val="18"/>
          <w:szCs w:val="18"/>
          <w:lang w:val="en-CA"/>
        </w:rPr>
      </w:pPr>
      <w:proofErr w:type="spellStart"/>
      <w:r w:rsidRPr="00AA6144">
        <w:rPr>
          <w:rStyle w:val="sectionhighlight"/>
          <w:color w:val="auto"/>
          <w:sz w:val="18"/>
          <w:szCs w:val="18"/>
          <w:lang w:val="en-CA"/>
        </w:rPr>
        <w:t>Borchard</w:t>
      </w:r>
      <w:proofErr w:type="spellEnd"/>
      <w:r w:rsidRPr="00AA6144">
        <w:rPr>
          <w:rStyle w:val="sectionhighlight"/>
          <w:color w:val="auto"/>
          <w:sz w:val="18"/>
          <w:szCs w:val="18"/>
          <w:lang w:val="en-CA"/>
        </w:rPr>
        <w:t xml:space="preserve">, Edwin. “The relation between international law and municipal law” (1940) 27 </w:t>
      </w:r>
      <w:proofErr w:type="spellStart"/>
      <w:r w:rsidRPr="00AA6144">
        <w:rPr>
          <w:rStyle w:val="sectionhighlight"/>
          <w:color w:val="auto"/>
          <w:sz w:val="18"/>
          <w:szCs w:val="18"/>
          <w:lang w:val="en-CA"/>
        </w:rPr>
        <w:t>Va</w:t>
      </w:r>
      <w:proofErr w:type="spellEnd"/>
      <w:r w:rsidRPr="00AA6144">
        <w:rPr>
          <w:rStyle w:val="sectionhighlight"/>
          <w:color w:val="auto"/>
          <w:sz w:val="18"/>
          <w:szCs w:val="18"/>
          <w:lang w:val="en-CA"/>
        </w:rPr>
        <w:t xml:space="preserve"> L Rev 137.</w:t>
      </w:r>
    </w:p>
    <w:p w14:paraId="1973C9EC" w14:textId="77777777" w:rsidR="003D5746" w:rsidRPr="00AA6144" w:rsidRDefault="003D5746" w:rsidP="00971925">
      <w:pPr>
        <w:pStyle w:val="FootnoteText"/>
        <w:spacing w:after="0" w:line="240" w:lineRule="auto"/>
        <w:ind w:left="357" w:hanging="357"/>
        <w:rPr>
          <w:rStyle w:val="sectionhighlight"/>
          <w:color w:val="auto"/>
          <w:sz w:val="18"/>
          <w:szCs w:val="18"/>
          <w:lang w:val="en-CA"/>
        </w:rPr>
      </w:pPr>
    </w:p>
    <w:p w14:paraId="0A162559" w14:textId="77777777" w:rsidR="003D5746" w:rsidRPr="00AA6144" w:rsidRDefault="003D5746" w:rsidP="00971925">
      <w:pPr>
        <w:spacing w:after="0" w:line="240" w:lineRule="auto"/>
        <w:ind w:left="357" w:hanging="357"/>
        <w:rPr>
          <w:color w:val="auto"/>
          <w:szCs w:val="18"/>
          <w:lang w:val="en-CA"/>
        </w:rPr>
      </w:pPr>
      <w:r w:rsidRPr="007B53D3">
        <w:rPr>
          <w:color w:val="auto"/>
          <w:szCs w:val="18"/>
          <w:lang w:val="fr-CA"/>
        </w:rPr>
        <w:t xml:space="preserve">Currie, Robert J &amp; </w:t>
      </w:r>
      <w:proofErr w:type="spellStart"/>
      <w:r w:rsidRPr="007B53D3">
        <w:rPr>
          <w:color w:val="auto"/>
          <w:szCs w:val="18"/>
          <w:lang w:val="fr-CA"/>
        </w:rPr>
        <w:t>Stancu</w:t>
      </w:r>
      <w:proofErr w:type="spellEnd"/>
      <w:r w:rsidRPr="007B53D3">
        <w:rPr>
          <w:color w:val="auto"/>
          <w:szCs w:val="18"/>
          <w:lang w:val="fr-CA"/>
        </w:rPr>
        <w:t xml:space="preserve">, Ion. </w:t>
      </w:r>
      <w:r w:rsidRPr="00AA6144">
        <w:rPr>
          <w:color w:val="auto"/>
          <w:szCs w:val="18"/>
          <w:lang w:val="en-CA"/>
        </w:rPr>
        <w:t>“</w:t>
      </w:r>
      <w:r w:rsidRPr="00AA6144">
        <w:rPr>
          <w:i/>
          <w:color w:val="auto"/>
          <w:szCs w:val="18"/>
          <w:lang w:val="en-CA"/>
        </w:rPr>
        <w:t xml:space="preserve">R. v. </w:t>
      </w:r>
      <w:proofErr w:type="spellStart"/>
      <w:r w:rsidRPr="00AA6144">
        <w:rPr>
          <w:i/>
          <w:color w:val="auto"/>
          <w:szCs w:val="18"/>
          <w:lang w:val="en-CA"/>
        </w:rPr>
        <w:t>Munyaneza</w:t>
      </w:r>
      <w:proofErr w:type="spellEnd"/>
      <w:r w:rsidRPr="00AA6144">
        <w:rPr>
          <w:color w:val="auto"/>
          <w:szCs w:val="18"/>
          <w:lang w:val="en-CA"/>
        </w:rPr>
        <w:t>: Pondering Canada’s First Core Crimes Conviction” (2010) 10 International Criminal Law Review.</w:t>
      </w:r>
    </w:p>
    <w:p w14:paraId="0EA38D2B" w14:textId="77777777" w:rsidR="003D5746" w:rsidRPr="00AA6144" w:rsidRDefault="003D5746" w:rsidP="00971925">
      <w:pPr>
        <w:spacing w:after="0" w:line="240" w:lineRule="auto"/>
        <w:ind w:left="357" w:hanging="357"/>
        <w:rPr>
          <w:rStyle w:val="sectionhighlight"/>
          <w:color w:val="auto"/>
          <w:szCs w:val="18"/>
          <w:lang w:val="en-CA"/>
        </w:rPr>
      </w:pPr>
    </w:p>
    <w:p w14:paraId="336B6930" w14:textId="77777777" w:rsidR="003D5746" w:rsidRPr="00AA6144" w:rsidRDefault="003D5746" w:rsidP="00971925">
      <w:pPr>
        <w:spacing w:after="0" w:line="240" w:lineRule="auto"/>
        <w:ind w:left="357" w:hanging="357"/>
        <w:rPr>
          <w:rStyle w:val="sectionhighlight"/>
          <w:color w:val="auto"/>
          <w:szCs w:val="18"/>
          <w:lang w:val="en-CA"/>
        </w:rPr>
      </w:pPr>
      <w:r w:rsidRPr="00AA6144">
        <w:rPr>
          <w:rStyle w:val="sectionhighlight"/>
          <w:color w:val="auto"/>
          <w:szCs w:val="18"/>
          <w:lang w:val="en-CA"/>
        </w:rPr>
        <w:t>Fitzmaurice, Gerald. “The Law and Procedure of the International Court of Justice 1954-9 General Principles and Sources of International Law” (1959) 35 Brit YB Int’l L at 183.</w:t>
      </w:r>
    </w:p>
    <w:p w14:paraId="3AAF239D" w14:textId="77777777" w:rsidR="003D5746" w:rsidRPr="00AA6144" w:rsidRDefault="003D5746" w:rsidP="00971925">
      <w:pPr>
        <w:spacing w:after="0" w:line="240" w:lineRule="auto"/>
        <w:ind w:left="357" w:hanging="357"/>
        <w:rPr>
          <w:rStyle w:val="sectionhighlight"/>
          <w:color w:val="auto"/>
          <w:szCs w:val="18"/>
          <w:lang w:val="en-CA"/>
        </w:rPr>
      </w:pPr>
    </w:p>
    <w:p w14:paraId="6BF61B52" w14:textId="77777777" w:rsidR="003D5746" w:rsidRPr="00AA6144" w:rsidRDefault="003D5746" w:rsidP="00971925">
      <w:pPr>
        <w:pStyle w:val="FootnoteText"/>
        <w:spacing w:after="0" w:line="240" w:lineRule="auto"/>
        <w:ind w:left="357" w:hanging="357"/>
        <w:rPr>
          <w:color w:val="auto"/>
          <w:sz w:val="18"/>
          <w:szCs w:val="18"/>
          <w:lang w:val="en-CA"/>
        </w:rPr>
      </w:pPr>
      <w:r w:rsidRPr="00AA6144">
        <w:rPr>
          <w:iCs/>
          <w:color w:val="auto"/>
          <w:sz w:val="18"/>
          <w:szCs w:val="18"/>
          <w:lang w:val="en-CA"/>
        </w:rPr>
        <w:t>Krebs</w:t>
      </w:r>
      <w:r w:rsidRPr="00AA6144">
        <w:rPr>
          <w:color w:val="auto"/>
          <w:sz w:val="18"/>
          <w:szCs w:val="18"/>
          <w:lang w:val="en-CA"/>
        </w:rPr>
        <w:t>,</w:t>
      </w:r>
      <w:r w:rsidRPr="00AA6144">
        <w:rPr>
          <w:iCs/>
          <w:color w:val="auto"/>
          <w:sz w:val="18"/>
          <w:szCs w:val="18"/>
          <w:lang w:val="en-CA"/>
        </w:rPr>
        <w:t xml:space="preserve"> Beatrice.</w:t>
      </w:r>
      <w:r w:rsidRPr="00AA6144">
        <w:rPr>
          <w:color w:val="auto"/>
          <w:sz w:val="18"/>
          <w:szCs w:val="18"/>
          <w:lang w:val="en-CA"/>
        </w:rPr>
        <w:t xml:space="preserve"> “</w:t>
      </w:r>
      <w:r w:rsidRPr="00AA6144">
        <w:rPr>
          <w:bCs/>
          <w:color w:val="auto"/>
          <w:sz w:val="18"/>
          <w:szCs w:val="18"/>
          <w:lang w:val="en-CA"/>
        </w:rPr>
        <w:t>Justification and Excuse in Article 31(1) of the Rome Statute</w:t>
      </w:r>
      <w:r w:rsidRPr="00AA6144">
        <w:rPr>
          <w:color w:val="auto"/>
          <w:sz w:val="18"/>
          <w:szCs w:val="18"/>
          <w:lang w:val="en-CA"/>
        </w:rPr>
        <w:t>” (2013) 2:3 Cambridge Journal of International and Comparative Law 382.</w:t>
      </w:r>
    </w:p>
    <w:p w14:paraId="5B82F819" w14:textId="77777777" w:rsidR="003D5746" w:rsidRPr="00AA6144" w:rsidRDefault="003D5746" w:rsidP="00971925">
      <w:pPr>
        <w:pStyle w:val="FootnoteText"/>
        <w:spacing w:after="0" w:line="240" w:lineRule="auto"/>
        <w:ind w:left="357" w:hanging="357"/>
        <w:rPr>
          <w:rStyle w:val="sectionhighlight"/>
          <w:color w:val="auto"/>
          <w:sz w:val="18"/>
          <w:szCs w:val="18"/>
          <w:lang w:val="en-CA"/>
        </w:rPr>
      </w:pPr>
    </w:p>
    <w:p w14:paraId="4A74B2B8" w14:textId="77777777" w:rsidR="003D5746" w:rsidRPr="00AA6144" w:rsidRDefault="003D5746" w:rsidP="00971925">
      <w:pPr>
        <w:pStyle w:val="FootnoteText"/>
        <w:spacing w:after="0" w:line="240" w:lineRule="auto"/>
        <w:ind w:left="357" w:hanging="357"/>
        <w:rPr>
          <w:color w:val="auto"/>
          <w:sz w:val="18"/>
          <w:szCs w:val="18"/>
          <w:lang w:val="en-CA"/>
        </w:rPr>
      </w:pPr>
      <w:r w:rsidRPr="00AA6144">
        <w:rPr>
          <w:color w:val="auto"/>
          <w:sz w:val="18"/>
          <w:szCs w:val="18"/>
          <w:lang w:val="en-CA"/>
        </w:rPr>
        <w:t xml:space="preserve">Lafontaine, Fannie. “Canada’s Crimes against Humanity and War Crimes Act on Trial: An Analysis of the </w:t>
      </w:r>
      <w:proofErr w:type="spellStart"/>
      <w:r w:rsidRPr="00AA6144">
        <w:rPr>
          <w:i/>
          <w:color w:val="auto"/>
          <w:sz w:val="18"/>
          <w:szCs w:val="18"/>
          <w:lang w:val="en-CA"/>
        </w:rPr>
        <w:t>Munyaneza</w:t>
      </w:r>
      <w:proofErr w:type="spellEnd"/>
      <w:r w:rsidRPr="00AA6144">
        <w:rPr>
          <w:color w:val="auto"/>
          <w:sz w:val="18"/>
          <w:szCs w:val="18"/>
          <w:lang w:val="en-CA"/>
        </w:rPr>
        <w:t xml:space="preserve"> case” (2010) 8 Journal of International Criminal Justice 269.</w:t>
      </w:r>
    </w:p>
    <w:p w14:paraId="79F91C4D" w14:textId="77777777" w:rsidR="003D5746" w:rsidRPr="00AA6144" w:rsidRDefault="003D5746" w:rsidP="00971925">
      <w:pPr>
        <w:pStyle w:val="FootnoteText"/>
        <w:spacing w:after="0" w:line="240" w:lineRule="auto"/>
        <w:ind w:left="357" w:hanging="357"/>
        <w:rPr>
          <w:color w:val="auto"/>
          <w:sz w:val="18"/>
          <w:szCs w:val="18"/>
          <w:lang w:val="en-CA"/>
        </w:rPr>
      </w:pPr>
    </w:p>
    <w:p w14:paraId="64BF9F8B" w14:textId="77777777" w:rsidR="003D5746" w:rsidRPr="00AA6144" w:rsidRDefault="003D5746" w:rsidP="00971925">
      <w:pPr>
        <w:spacing w:after="0" w:line="240" w:lineRule="auto"/>
        <w:ind w:left="357" w:hanging="357"/>
        <w:rPr>
          <w:color w:val="auto"/>
          <w:szCs w:val="18"/>
          <w:lang w:val="en-CA"/>
        </w:rPr>
      </w:pPr>
      <w:r w:rsidRPr="00AA6144">
        <w:rPr>
          <w:color w:val="auto"/>
          <w:szCs w:val="18"/>
          <w:lang w:val="en-CA"/>
        </w:rPr>
        <w:t xml:space="preserve">Schabas, William A.  “Canadian Implementing Legislation for the Rome Statute” (2000) 3 YB Int’l Human L 337. </w:t>
      </w:r>
    </w:p>
    <w:p w14:paraId="26589527" w14:textId="77777777" w:rsidR="003D5746" w:rsidRPr="00AA6144" w:rsidRDefault="003D5746" w:rsidP="00971925">
      <w:pPr>
        <w:spacing w:after="0" w:line="240" w:lineRule="auto"/>
        <w:ind w:left="357" w:hanging="357"/>
        <w:rPr>
          <w:color w:val="auto"/>
          <w:szCs w:val="18"/>
          <w:lang w:val="en-CA"/>
        </w:rPr>
      </w:pPr>
    </w:p>
    <w:p w14:paraId="2F5EC419" w14:textId="77777777" w:rsidR="003D5746" w:rsidRPr="00AA6144" w:rsidRDefault="003D5746" w:rsidP="00971925">
      <w:pPr>
        <w:spacing w:after="0" w:line="240" w:lineRule="auto"/>
        <w:ind w:left="357" w:hanging="357"/>
        <w:rPr>
          <w:rStyle w:val="sectionhighlight"/>
          <w:color w:val="auto"/>
          <w:szCs w:val="18"/>
          <w:lang w:val="en-CA"/>
        </w:rPr>
      </w:pPr>
      <w:r w:rsidRPr="00AA6144">
        <w:rPr>
          <w:color w:val="auto"/>
          <w:szCs w:val="18"/>
          <w:lang w:val="en-CA"/>
        </w:rPr>
        <w:t>Walker, Janet. “</w:t>
      </w:r>
      <w:proofErr w:type="spellStart"/>
      <w:r w:rsidRPr="00AA6144">
        <w:rPr>
          <w:color w:val="auto"/>
          <w:szCs w:val="18"/>
          <w:lang w:val="en-CA"/>
        </w:rPr>
        <w:t>Muscutt</w:t>
      </w:r>
      <w:proofErr w:type="spellEnd"/>
      <w:r w:rsidRPr="00AA6144">
        <w:rPr>
          <w:color w:val="auto"/>
          <w:szCs w:val="18"/>
          <w:lang w:val="en-CA"/>
        </w:rPr>
        <w:t xml:space="preserve"> Misplaced: The Future of Forum of Necessity Jurisdiction in Canada” (2009) 48 CBLJ 135.</w:t>
      </w:r>
    </w:p>
    <w:p w14:paraId="6195BF22" w14:textId="77777777" w:rsidR="003D5746" w:rsidRPr="00AA6144" w:rsidRDefault="003D5746">
      <w:pPr>
        <w:widowControl/>
        <w:suppressAutoHyphens w:val="0"/>
        <w:spacing w:after="0" w:line="240" w:lineRule="auto"/>
        <w:rPr>
          <w:color w:val="auto"/>
          <w:szCs w:val="18"/>
          <w:lang w:val="en-CA"/>
        </w:rPr>
      </w:pPr>
    </w:p>
    <w:p w14:paraId="48D26334" w14:textId="77777777" w:rsidR="003D5746" w:rsidRPr="00AA6144" w:rsidRDefault="003D5746">
      <w:pPr>
        <w:widowControl/>
        <w:suppressAutoHyphens w:val="0"/>
        <w:spacing w:after="0" w:line="240" w:lineRule="auto"/>
        <w:rPr>
          <w:color w:val="auto"/>
          <w:szCs w:val="18"/>
          <w:lang w:val="en-CA"/>
        </w:rPr>
      </w:pPr>
    </w:p>
    <w:p w14:paraId="4A34924A" w14:textId="77777777" w:rsidR="003D5746" w:rsidRPr="00AA6144" w:rsidRDefault="003D5746">
      <w:pPr>
        <w:widowControl/>
        <w:suppressAutoHyphens w:val="0"/>
        <w:spacing w:after="0" w:line="240" w:lineRule="auto"/>
        <w:rPr>
          <w:color w:val="auto"/>
          <w:szCs w:val="18"/>
          <w:lang w:val="en-CA"/>
        </w:rPr>
      </w:pPr>
      <w:r w:rsidRPr="00AA6144">
        <w:rPr>
          <w:color w:val="auto"/>
          <w:szCs w:val="18"/>
          <w:lang w:val="en-CA"/>
        </w:rPr>
        <w:t>CONFERENCE PAPERS</w:t>
      </w:r>
    </w:p>
    <w:p w14:paraId="5DDCF6E6" w14:textId="77777777" w:rsidR="003D5746" w:rsidRPr="00AA6144" w:rsidRDefault="003D5746">
      <w:pPr>
        <w:widowControl/>
        <w:suppressAutoHyphens w:val="0"/>
        <w:spacing w:after="0" w:line="240" w:lineRule="auto"/>
        <w:rPr>
          <w:color w:val="auto"/>
          <w:szCs w:val="18"/>
          <w:lang w:val="en-CA"/>
        </w:rPr>
      </w:pPr>
    </w:p>
    <w:p w14:paraId="00F8C37B" w14:textId="77777777" w:rsidR="003D5746" w:rsidRPr="00AA6144" w:rsidRDefault="003D5746" w:rsidP="00971925">
      <w:pPr>
        <w:pStyle w:val="FootnoteText"/>
        <w:spacing w:after="0" w:line="240" w:lineRule="auto"/>
        <w:ind w:left="357" w:hanging="357"/>
        <w:rPr>
          <w:color w:val="auto"/>
          <w:sz w:val="18"/>
          <w:szCs w:val="18"/>
          <w:lang w:val="en-CA"/>
        </w:rPr>
      </w:pPr>
      <w:proofErr w:type="spellStart"/>
      <w:r w:rsidRPr="00AA6144">
        <w:rPr>
          <w:color w:val="auto"/>
          <w:sz w:val="18"/>
          <w:szCs w:val="18"/>
          <w:lang w:val="en-CA"/>
        </w:rPr>
        <w:t>Rikhof</w:t>
      </w:r>
      <w:proofErr w:type="spellEnd"/>
      <w:r w:rsidRPr="00AA6144">
        <w:rPr>
          <w:color w:val="auto"/>
          <w:sz w:val="18"/>
          <w:szCs w:val="18"/>
          <w:lang w:val="en-CA"/>
        </w:rPr>
        <w:t xml:space="preserve">, </w:t>
      </w:r>
      <w:proofErr w:type="spellStart"/>
      <w:r w:rsidRPr="00AA6144">
        <w:rPr>
          <w:color w:val="auto"/>
          <w:sz w:val="18"/>
          <w:szCs w:val="18"/>
          <w:lang w:val="en-CA"/>
        </w:rPr>
        <w:t>Jospeh</w:t>
      </w:r>
      <w:proofErr w:type="spellEnd"/>
      <w:r w:rsidRPr="00AA6144">
        <w:rPr>
          <w:color w:val="auto"/>
          <w:sz w:val="18"/>
          <w:szCs w:val="18"/>
          <w:lang w:val="en-CA"/>
        </w:rPr>
        <w:t xml:space="preserve">. “Canada and War Criminals: The Policy, the Program and the Results” presented at the </w:t>
      </w:r>
      <w:r w:rsidRPr="00AA6144">
        <w:rPr>
          <w:iCs/>
          <w:color w:val="auto"/>
          <w:sz w:val="18"/>
          <w:szCs w:val="18"/>
          <w:lang w:val="en-CA"/>
        </w:rPr>
        <w:t>18</w:t>
      </w:r>
      <w:r w:rsidRPr="00AA6144">
        <w:rPr>
          <w:iCs/>
          <w:color w:val="auto"/>
          <w:sz w:val="18"/>
          <w:szCs w:val="18"/>
          <w:vertAlign w:val="superscript"/>
          <w:lang w:val="en-CA"/>
        </w:rPr>
        <w:t>th</w:t>
      </w:r>
      <w:r w:rsidRPr="00AA6144">
        <w:rPr>
          <w:iCs/>
          <w:color w:val="auto"/>
          <w:sz w:val="18"/>
          <w:szCs w:val="18"/>
          <w:lang w:val="en-CA"/>
        </w:rPr>
        <w:t xml:space="preserve"> International Conference of the International Society for the Reform of Criminal Law</w:t>
      </w:r>
      <w:r w:rsidRPr="00AA6144">
        <w:rPr>
          <w:color w:val="auto"/>
          <w:sz w:val="18"/>
          <w:szCs w:val="18"/>
          <w:lang w:val="en-CA"/>
        </w:rPr>
        <w:t xml:space="preserve"> held at Montreal Canada from 8-12 August 2004, online: &lt;http://www.isrcl.org/Papers/2004/Rikhof.pdf&gt;.</w:t>
      </w:r>
    </w:p>
    <w:p w14:paraId="626FE4B4" w14:textId="77777777" w:rsidR="00933062" w:rsidRPr="00AA6144" w:rsidRDefault="00933062" w:rsidP="00971925">
      <w:pPr>
        <w:widowControl/>
        <w:suppressAutoHyphens w:val="0"/>
        <w:spacing w:after="0" w:line="240" w:lineRule="auto"/>
        <w:ind w:left="357" w:hanging="357"/>
        <w:rPr>
          <w:color w:val="auto"/>
          <w:lang w:val="en-CA"/>
        </w:rPr>
      </w:pPr>
      <w:r w:rsidRPr="00AA6144">
        <w:rPr>
          <w:color w:val="auto"/>
          <w:lang w:val="en-CA"/>
        </w:rPr>
        <w:br w:type="page"/>
      </w:r>
    </w:p>
    <w:p w14:paraId="79A5AEDF" w14:textId="77777777" w:rsidR="00D72F35" w:rsidRPr="00AA6144" w:rsidRDefault="00D72F35" w:rsidP="00971925">
      <w:pPr>
        <w:rPr>
          <w:color w:val="auto"/>
          <w:lang w:val="en-CA"/>
        </w:rPr>
      </w:pPr>
    </w:p>
    <w:p w14:paraId="64329260" w14:textId="77777777" w:rsidR="00933062" w:rsidRPr="00AA6144" w:rsidRDefault="00933062" w:rsidP="00EF610D">
      <w:pPr>
        <w:jc w:val="center"/>
        <w:rPr>
          <w:sz w:val="24"/>
          <w:lang w:val="en-CA"/>
        </w:rPr>
      </w:pPr>
      <w:r w:rsidRPr="00AA6144">
        <w:rPr>
          <w:sz w:val="24"/>
          <w:lang w:val="en-CA"/>
        </w:rPr>
        <w:t>OTHER DOCUMENTS</w:t>
      </w:r>
    </w:p>
    <w:p w14:paraId="03266656" w14:textId="77777777" w:rsidR="00933062" w:rsidRPr="00AA6144" w:rsidRDefault="00933062" w:rsidP="00971925">
      <w:pPr>
        <w:rPr>
          <w:color w:val="auto"/>
          <w:lang w:val="en-CA"/>
        </w:rPr>
      </w:pPr>
      <w:r w:rsidRPr="00AA6144">
        <w:rPr>
          <w:color w:val="auto"/>
          <w:lang w:val="en-CA"/>
        </w:rPr>
        <w:t>AMNESTY INTERNATIONAL</w:t>
      </w:r>
    </w:p>
    <w:p w14:paraId="7330B593"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Canada, </w:t>
      </w:r>
      <w:r w:rsidRPr="00AA6144">
        <w:rPr>
          <w:i/>
          <w:color w:val="auto"/>
          <w:szCs w:val="18"/>
          <w:lang w:val="en-CA"/>
        </w:rPr>
        <w:t xml:space="preserve">Amnesty </w:t>
      </w:r>
      <w:r w:rsidRPr="00AA6144">
        <w:rPr>
          <w:bCs/>
          <w:i/>
          <w:color w:val="auto"/>
          <w:szCs w:val="18"/>
          <w:lang w:val="en-CA"/>
        </w:rPr>
        <w:t>International Canada Open Letter to Ministers Toews and Kenney about "Wanted by the CBSA"</w:t>
      </w:r>
      <w:r w:rsidRPr="00AA6144">
        <w:rPr>
          <w:bCs/>
          <w:color w:val="auto"/>
          <w:szCs w:val="18"/>
          <w:lang w:val="en-CA"/>
        </w:rPr>
        <w:t xml:space="preserve"> (2 August 2011), online: Amnesty International Canada &lt;</w:t>
      </w:r>
      <w:r w:rsidRPr="00AA6144">
        <w:rPr>
          <w:color w:val="auto"/>
          <w:szCs w:val="18"/>
          <w:lang w:val="en-CA"/>
        </w:rPr>
        <w:t>http://www.amnesty.ca/news/news-item/amnesty-international-canada-open-letter-to-ministers-toews-and-kenney&gt;.</w:t>
      </w:r>
    </w:p>
    <w:p w14:paraId="2EB2BB6C" w14:textId="77777777" w:rsidR="00990404" w:rsidRPr="00AA6144" w:rsidRDefault="00990404" w:rsidP="00971925">
      <w:pPr>
        <w:spacing w:after="0" w:line="240" w:lineRule="auto"/>
        <w:ind w:left="357" w:hanging="357"/>
        <w:rPr>
          <w:color w:val="auto"/>
          <w:szCs w:val="18"/>
          <w:lang w:val="en-CA"/>
        </w:rPr>
      </w:pPr>
    </w:p>
    <w:p w14:paraId="19CCE1BF" w14:textId="63C119E2"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Canada, </w:t>
      </w:r>
      <w:r w:rsidRPr="00AA6144">
        <w:rPr>
          <w:i/>
          <w:color w:val="auto"/>
          <w:szCs w:val="18"/>
          <w:lang w:val="en-CA"/>
        </w:rPr>
        <w:t>Briefing to the UN Committee against Torture 48</w:t>
      </w:r>
      <w:r w:rsidRPr="00AA6144">
        <w:rPr>
          <w:i/>
          <w:color w:val="auto"/>
          <w:szCs w:val="18"/>
          <w:vertAlign w:val="superscript"/>
          <w:lang w:val="en-CA"/>
        </w:rPr>
        <w:t>th</w:t>
      </w:r>
      <w:r w:rsidRPr="00AA6144">
        <w:rPr>
          <w:i/>
          <w:color w:val="auto"/>
          <w:szCs w:val="18"/>
          <w:lang w:val="en-CA"/>
        </w:rPr>
        <w:t xml:space="preserve"> Session</w:t>
      </w:r>
      <w:r w:rsidRPr="00AA6144">
        <w:rPr>
          <w:color w:val="auto"/>
          <w:szCs w:val="18"/>
          <w:lang w:val="en-CA"/>
        </w:rPr>
        <w:t>, AI Index: AMR 20/004/2012.</w:t>
      </w:r>
    </w:p>
    <w:p w14:paraId="020ADB68" w14:textId="77777777" w:rsidR="00B844F5" w:rsidRPr="00AA6144" w:rsidRDefault="00B844F5" w:rsidP="00971925">
      <w:pPr>
        <w:spacing w:after="0" w:line="240" w:lineRule="auto"/>
        <w:ind w:left="357" w:hanging="357"/>
        <w:rPr>
          <w:color w:val="auto"/>
          <w:szCs w:val="18"/>
          <w:lang w:val="en-CA"/>
        </w:rPr>
      </w:pPr>
    </w:p>
    <w:p w14:paraId="5147109A" w14:textId="2E54CAAC" w:rsidR="00B844F5" w:rsidRPr="00AA6144" w:rsidRDefault="00B844F5" w:rsidP="00971925">
      <w:pPr>
        <w:spacing w:after="0" w:line="240" w:lineRule="auto"/>
        <w:ind w:left="357" w:hanging="357"/>
        <w:rPr>
          <w:color w:val="auto"/>
          <w:szCs w:val="18"/>
          <w:lang w:val="en-CA"/>
        </w:rPr>
      </w:pPr>
      <w:r w:rsidRPr="00AA6144">
        <w:rPr>
          <w:lang w:val="en-CA"/>
        </w:rPr>
        <w:t>Amnesty International Canada, “</w:t>
      </w:r>
      <w:proofErr w:type="spellStart"/>
      <w:r w:rsidRPr="00AA6144">
        <w:rPr>
          <w:lang w:val="en-CA"/>
        </w:rPr>
        <w:t>Ezokola</w:t>
      </w:r>
      <w:proofErr w:type="spellEnd"/>
      <w:r w:rsidRPr="00AA6144">
        <w:rPr>
          <w:lang w:val="en-CA"/>
        </w:rPr>
        <w:t xml:space="preserve"> v. Canada”, (November 20, 2016), online: &lt;wwww.amnesty.ca/legal-brief/</w:t>
      </w:r>
      <w:proofErr w:type="spellStart"/>
      <w:r w:rsidRPr="00AA6144">
        <w:rPr>
          <w:lang w:val="en-CA"/>
        </w:rPr>
        <w:t>ezokola</w:t>
      </w:r>
      <w:proofErr w:type="spellEnd"/>
      <w:r w:rsidRPr="00AA6144">
        <w:rPr>
          <w:lang w:val="en-CA"/>
        </w:rPr>
        <w:t>-v-</w:t>
      </w:r>
      <w:proofErr w:type="spellStart"/>
      <w:r w:rsidRPr="00AA6144">
        <w:rPr>
          <w:lang w:val="en-CA"/>
        </w:rPr>
        <w:t>canada</w:t>
      </w:r>
      <w:proofErr w:type="spellEnd"/>
      <w:r w:rsidRPr="00AA6144">
        <w:rPr>
          <w:lang w:val="en-CA"/>
        </w:rPr>
        <w:t>&gt;.</w:t>
      </w:r>
    </w:p>
    <w:p w14:paraId="63FD291D" w14:textId="77777777" w:rsidR="00990404" w:rsidRPr="00AA6144" w:rsidRDefault="00990404" w:rsidP="00971925">
      <w:pPr>
        <w:spacing w:after="0" w:line="240" w:lineRule="auto"/>
        <w:ind w:left="357" w:hanging="357"/>
        <w:rPr>
          <w:color w:val="auto"/>
          <w:szCs w:val="18"/>
          <w:lang w:val="en-CA"/>
        </w:rPr>
      </w:pPr>
    </w:p>
    <w:p w14:paraId="021F1761"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Amnesty International Canada, Human rights abuses prevalent among vulnerable groups: Amnesty International Submission to the UN Universal Periodic Review, AI Index: AMR 20/008/2012 (Amnesty International Canada, 2012).</w:t>
      </w:r>
    </w:p>
    <w:p w14:paraId="7DD08F8B" w14:textId="77777777" w:rsidR="00990404" w:rsidRPr="00AA6144" w:rsidRDefault="00990404" w:rsidP="00971925">
      <w:pPr>
        <w:spacing w:after="0" w:line="240" w:lineRule="auto"/>
        <w:ind w:left="357" w:hanging="357"/>
        <w:rPr>
          <w:color w:val="auto"/>
          <w:szCs w:val="18"/>
          <w:lang w:val="en-CA"/>
        </w:rPr>
      </w:pPr>
    </w:p>
    <w:p w14:paraId="451FC740"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w:t>
      </w:r>
      <w:r w:rsidRPr="00AA6144">
        <w:rPr>
          <w:i/>
          <w:color w:val="auto"/>
          <w:szCs w:val="18"/>
          <w:lang w:val="en-CA"/>
        </w:rPr>
        <w:t>14-Point Program for the Prevention of Extrajudicial Executions</w:t>
      </w:r>
      <w:r w:rsidRPr="00AA6144">
        <w:rPr>
          <w:color w:val="auto"/>
          <w:szCs w:val="18"/>
          <w:lang w:val="en-CA"/>
        </w:rPr>
        <w:t xml:space="preserve">, AI Index: POL 35/002/1993 (Amnesty International, 1993); Amnesty International, </w:t>
      </w:r>
      <w:r w:rsidRPr="00AA6144">
        <w:rPr>
          <w:i/>
          <w:color w:val="auto"/>
          <w:szCs w:val="18"/>
          <w:lang w:val="en-CA"/>
        </w:rPr>
        <w:t>“Disappearances” and Political Killings – Human Rights Crisis of the 1990s: A Manual for Action</w:t>
      </w:r>
      <w:r w:rsidRPr="00AA6144">
        <w:rPr>
          <w:color w:val="auto"/>
          <w:szCs w:val="18"/>
          <w:lang w:val="en-CA"/>
        </w:rPr>
        <w:t>, AI Index: ACT 33/01/94 (Amnesty International: 1994).</w:t>
      </w:r>
    </w:p>
    <w:p w14:paraId="6F2BC77A" w14:textId="77777777" w:rsidR="00990404" w:rsidRPr="00AA6144" w:rsidRDefault="00990404" w:rsidP="00971925">
      <w:pPr>
        <w:spacing w:after="0" w:line="240" w:lineRule="auto"/>
        <w:ind w:left="357" w:hanging="357"/>
        <w:rPr>
          <w:color w:val="auto"/>
          <w:szCs w:val="18"/>
          <w:lang w:val="en-CA"/>
        </w:rPr>
      </w:pPr>
    </w:p>
    <w:p w14:paraId="7D907C5E"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w:t>
      </w:r>
      <w:r w:rsidRPr="00AA6144">
        <w:rPr>
          <w:i/>
          <w:color w:val="auto"/>
          <w:szCs w:val="18"/>
          <w:lang w:val="en-CA"/>
        </w:rPr>
        <w:t xml:space="preserve">Improving the effectiveness of state cooperation, </w:t>
      </w:r>
      <w:r w:rsidRPr="00AA6144">
        <w:rPr>
          <w:color w:val="auto"/>
          <w:szCs w:val="18"/>
          <w:lang w:val="en-CA"/>
        </w:rPr>
        <w:t>AI Index: 53/004/2009, (Amnesty International, 2009).</w:t>
      </w:r>
    </w:p>
    <w:p w14:paraId="2B001577" w14:textId="77777777" w:rsidR="00990404" w:rsidRPr="00AA6144" w:rsidRDefault="00990404" w:rsidP="00971925">
      <w:pPr>
        <w:spacing w:after="0" w:line="240" w:lineRule="auto"/>
        <w:ind w:left="357" w:hanging="357"/>
        <w:rPr>
          <w:color w:val="auto"/>
          <w:szCs w:val="18"/>
          <w:lang w:val="en-CA"/>
        </w:rPr>
      </w:pPr>
    </w:p>
    <w:p w14:paraId="3D443EB0"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w:t>
      </w:r>
      <w:r w:rsidRPr="00AA6144">
        <w:rPr>
          <w:i/>
          <w:color w:val="auto"/>
          <w:szCs w:val="18"/>
          <w:lang w:val="en-CA"/>
        </w:rPr>
        <w:t>Sierra Leone: Special Court for Sierra Leone: denial of right to appeal and prohibition of amnesties for crimes under international law</w:t>
      </w:r>
      <w:r w:rsidRPr="00AA6144">
        <w:rPr>
          <w:color w:val="auto"/>
          <w:szCs w:val="18"/>
          <w:lang w:val="en-CA"/>
        </w:rPr>
        <w:t>, AI Index: AI: AFR 51/012/2003, (Amnesty International, 2003).</w:t>
      </w:r>
    </w:p>
    <w:p w14:paraId="7E25B236" w14:textId="77777777" w:rsidR="00990404" w:rsidRPr="00AA6144" w:rsidRDefault="00990404" w:rsidP="00971925">
      <w:pPr>
        <w:spacing w:after="0" w:line="240" w:lineRule="auto"/>
        <w:ind w:left="357" w:hanging="357"/>
        <w:rPr>
          <w:color w:val="auto"/>
          <w:szCs w:val="18"/>
          <w:lang w:val="en-CA"/>
        </w:rPr>
      </w:pPr>
    </w:p>
    <w:p w14:paraId="0732BE60"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w:t>
      </w:r>
      <w:r w:rsidRPr="00AA6144">
        <w:rPr>
          <w:i/>
          <w:color w:val="auto"/>
          <w:szCs w:val="18"/>
          <w:lang w:val="en-CA"/>
        </w:rPr>
        <w:t>The International Criminal Court: Making the Right Choices – Part I: Defining the Crimes and Permissible Defences</w:t>
      </w:r>
      <w:r w:rsidRPr="00AA6144">
        <w:rPr>
          <w:color w:val="auto"/>
          <w:szCs w:val="18"/>
          <w:lang w:val="en-CA"/>
        </w:rPr>
        <w:t>, AI Index: IOR 40/01/1997, (Amnesty International, 1997), s VI E 6.</w:t>
      </w:r>
    </w:p>
    <w:p w14:paraId="40BE2CFC" w14:textId="77777777" w:rsidR="00990404" w:rsidRPr="00AA6144" w:rsidRDefault="00990404" w:rsidP="00971925">
      <w:pPr>
        <w:spacing w:after="0" w:line="240" w:lineRule="auto"/>
        <w:ind w:left="357" w:hanging="357"/>
        <w:rPr>
          <w:color w:val="auto"/>
          <w:szCs w:val="18"/>
          <w:lang w:val="en-CA"/>
        </w:rPr>
      </w:pPr>
    </w:p>
    <w:p w14:paraId="5AD09DA8"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w:t>
      </w:r>
      <w:r w:rsidRPr="00AA6144">
        <w:rPr>
          <w:i/>
          <w:iCs/>
          <w:color w:val="auto"/>
          <w:szCs w:val="18"/>
          <w:lang w:val="en-CA"/>
        </w:rPr>
        <w:t>Universal Jurisdiction:</w:t>
      </w:r>
      <w:r w:rsidRPr="00AA6144">
        <w:rPr>
          <w:color w:val="auto"/>
          <w:szCs w:val="18"/>
          <w:lang w:val="en-CA"/>
        </w:rPr>
        <w:t xml:space="preserve"> </w:t>
      </w:r>
      <w:r w:rsidRPr="00AA6144">
        <w:rPr>
          <w:i/>
          <w:color w:val="auto"/>
          <w:szCs w:val="18"/>
          <w:lang w:val="en-CA"/>
        </w:rPr>
        <w:t xml:space="preserve">Belgian court has jurisdiction in Sharon case to investigate 1982 Sabra and </w:t>
      </w:r>
      <w:proofErr w:type="spellStart"/>
      <w:r w:rsidRPr="00AA6144">
        <w:rPr>
          <w:i/>
          <w:color w:val="auto"/>
          <w:szCs w:val="18"/>
          <w:lang w:val="en-CA"/>
        </w:rPr>
        <w:t>Chatila</w:t>
      </w:r>
      <w:proofErr w:type="spellEnd"/>
      <w:r w:rsidRPr="00AA6144">
        <w:rPr>
          <w:i/>
          <w:color w:val="auto"/>
          <w:szCs w:val="18"/>
          <w:lang w:val="en-CA"/>
        </w:rPr>
        <w:t xml:space="preserve"> killings</w:t>
      </w:r>
      <w:r w:rsidRPr="00AA6144">
        <w:rPr>
          <w:color w:val="auto"/>
          <w:szCs w:val="18"/>
          <w:lang w:val="en-CA"/>
        </w:rPr>
        <w:t>, AI Index: EUR 53/001/2002 (Amnesty International, 2002).</w:t>
      </w:r>
    </w:p>
    <w:p w14:paraId="103D1545" w14:textId="77777777" w:rsidR="00990404" w:rsidRPr="00AA6144" w:rsidRDefault="00990404" w:rsidP="00971925">
      <w:pPr>
        <w:spacing w:after="0" w:line="240" w:lineRule="auto"/>
        <w:ind w:left="357" w:hanging="357"/>
        <w:rPr>
          <w:color w:val="auto"/>
          <w:szCs w:val="18"/>
          <w:lang w:val="en-CA"/>
        </w:rPr>
      </w:pPr>
    </w:p>
    <w:p w14:paraId="1265A660"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w:t>
      </w:r>
      <w:r w:rsidRPr="00AA6144">
        <w:rPr>
          <w:i/>
          <w:iCs/>
          <w:color w:val="auto"/>
          <w:szCs w:val="18"/>
          <w:lang w:val="en-CA"/>
        </w:rPr>
        <w:t>Universal Jurisdiction: Belgian prosecutors can investigate crimes under international law committed abroad</w:t>
      </w:r>
      <w:r w:rsidRPr="00AA6144">
        <w:rPr>
          <w:color w:val="auto"/>
          <w:szCs w:val="18"/>
          <w:lang w:val="en-CA"/>
        </w:rPr>
        <w:t>, AI Index: IOR 53/001/2003 (Amnesty International, 2003).</w:t>
      </w:r>
    </w:p>
    <w:p w14:paraId="60AC6E17" w14:textId="77777777" w:rsidR="00990404" w:rsidRPr="00AA6144" w:rsidRDefault="00990404" w:rsidP="00971925">
      <w:pPr>
        <w:spacing w:after="0" w:line="240" w:lineRule="auto"/>
        <w:ind w:left="357" w:hanging="357"/>
        <w:rPr>
          <w:color w:val="auto"/>
          <w:szCs w:val="18"/>
          <w:lang w:val="en-CA"/>
        </w:rPr>
      </w:pPr>
    </w:p>
    <w:p w14:paraId="5208518E"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w:t>
      </w:r>
      <w:r w:rsidRPr="00AA6144">
        <w:rPr>
          <w:i/>
          <w:color w:val="auto"/>
          <w:szCs w:val="18"/>
          <w:lang w:val="en-CA"/>
        </w:rPr>
        <w:t>Universal jurisdiction: The duty of states to enact and enforce legislation</w:t>
      </w:r>
      <w:r w:rsidRPr="00AA6144">
        <w:rPr>
          <w:color w:val="auto"/>
          <w:szCs w:val="18"/>
          <w:lang w:val="en-CA"/>
        </w:rPr>
        <w:t>, AI Index: 53/014/2001 (Amnesty International, 2001).</w:t>
      </w:r>
    </w:p>
    <w:p w14:paraId="242D8F53" w14:textId="77777777" w:rsidR="00990404" w:rsidRPr="00AA6144" w:rsidRDefault="00990404" w:rsidP="00971925">
      <w:pPr>
        <w:spacing w:after="0" w:line="240" w:lineRule="auto"/>
        <w:ind w:left="357" w:hanging="357"/>
        <w:rPr>
          <w:color w:val="auto"/>
          <w:szCs w:val="18"/>
          <w:lang w:val="en-CA"/>
        </w:rPr>
      </w:pPr>
    </w:p>
    <w:p w14:paraId="02E03BB9"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w:t>
      </w:r>
      <w:r w:rsidRPr="00AA6144">
        <w:rPr>
          <w:i/>
          <w:color w:val="auto"/>
          <w:szCs w:val="18"/>
          <w:lang w:val="en-CA"/>
        </w:rPr>
        <w:t>Universal jurisdiction: The scope of universal civil jurisdiction</w:t>
      </w:r>
      <w:r w:rsidRPr="00AA6144">
        <w:rPr>
          <w:color w:val="auto"/>
          <w:szCs w:val="18"/>
          <w:lang w:val="en-CA"/>
        </w:rPr>
        <w:t>, IOR 53/008/2007 (Amnesty International, 2007).</w:t>
      </w:r>
    </w:p>
    <w:p w14:paraId="6F5FD024" w14:textId="77777777" w:rsidR="00990404" w:rsidRPr="00AA6144" w:rsidRDefault="00990404" w:rsidP="00971925">
      <w:pPr>
        <w:spacing w:after="0" w:line="240" w:lineRule="auto"/>
        <w:ind w:left="357" w:hanging="357"/>
        <w:rPr>
          <w:color w:val="auto"/>
          <w:szCs w:val="18"/>
          <w:lang w:val="en-CA"/>
        </w:rPr>
      </w:pPr>
    </w:p>
    <w:p w14:paraId="49C0EE2A"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Amnesty International, </w:t>
      </w:r>
      <w:r w:rsidRPr="00AA6144">
        <w:rPr>
          <w:i/>
          <w:color w:val="auto"/>
          <w:szCs w:val="18"/>
          <w:lang w:val="en-CA"/>
        </w:rPr>
        <w:t>Universal Jurisdiction: UN General Assembly Should Support This Essential International Justice Tool</w:t>
      </w:r>
      <w:r w:rsidRPr="00AA6144">
        <w:rPr>
          <w:color w:val="auto"/>
          <w:szCs w:val="18"/>
          <w:lang w:val="en-CA"/>
        </w:rPr>
        <w:t>, AI Index: IOR 53/015/2010 (Amnesty International, 2010).</w:t>
      </w:r>
    </w:p>
    <w:p w14:paraId="337756F6" w14:textId="77777777" w:rsidR="00990404" w:rsidRPr="00AA6144" w:rsidRDefault="00990404" w:rsidP="00971925">
      <w:pPr>
        <w:rPr>
          <w:color w:val="auto"/>
          <w:lang w:val="en-CA"/>
        </w:rPr>
      </w:pPr>
    </w:p>
    <w:p w14:paraId="044FE912" w14:textId="77777777" w:rsidR="00990404" w:rsidRPr="00AA6144" w:rsidRDefault="00990404" w:rsidP="00971925">
      <w:pPr>
        <w:rPr>
          <w:color w:val="auto"/>
          <w:lang w:val="en-CA"/>
        </w:rPr>
      </w:pPr>
    </w:p>
    <w:p w14:paraId="08AD18E1" w14:textId="77777777" w:rsidR="00990404" w:rsidRPr="00AA6144" w:rsidRDefault="00933062" w:rsidP="00971925">
      <w:pPr>
        <w:rPr>
          <w:color w:val="auto"/>
          <w:lang w:val="en-CA"/>
        </w:rPr>
      </w:pPr>
      <w:r w:rsidRPr="00AA6144">
        <w:rPr>
          <w:color w:val="auto"/>
          <w:lang w:val="en-CA"/>
        </w:rPr>
        <w:t>CANADIAN ORGANISATIONS</w:t>
      </w:r>
    </w:p>
    <w:p w14:paraId="73A03232" w14:textId="77777777"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Canadian Centre for International Justice, </w:t>
      </w:r>
      <w:r w:rsidRPr="00AA6144">
        <w:rPr>
          <w:i/>
          <w:color w:val="auto"/>
          <w:szCs w:val="18"/>
          <w:lang w:val="en-CA"/>
        </w:rPr>
        <w:t>George W Bush and the “War on Terror”,</w:t>
      </w:r>
      <w:r w:rsidRPr="00AA6144">
        <w:rPr>
          <w:color w:val="auto"/>
          <w:szCs w:val="18"/>
          <w:lang w:val="en-CA"/>
        </w:rPr>
        <w:t xml:space="preserve"> online: Canadian Centre for International Justice &lt;http://www.ccij.ca/programs/cases/guantanamo/index.php&gt;.</w:t>
      </w:r>
    </w:p>
    <w:p w14:paraId="63B2ACC9" w14:textId="77777777" w:rsidR="00990404" w:rsidRPr="00AA6144" w:rsidRDefault="00990404" w:rsidP="00971925">
      <w:pPr>
        <w:spacing w:after="0" w:line="240" w:lineRule="auto"/>
        <w:ind w:left="357" w:hanging="357"/>
        <w:rPr>
          <w:color w:val="auto"/>
          <w:szCs w:val="18"/>
          <w:lang w:val="en-CA"/>
        </w:rPr>
      </w:pPr>
    </w:p>
    <w:p w14:paraId="589B8857" w14:textId="2B6620D8" w:rsidR="00990404" w:rsidRPr="00AA6144" w:rsidRDefault="00990404" w:rsidP="00971925">
      <w:pPr>
        <w:spacing w:after="0" w:line="240" w:lineRule="auto"/>
        <w:ind w:left="357" w:hanging="357"/>
        <w:rPr>
          <w:color w:val="auto"/>
          <w:szCs w:val="18"/>
          <w:lang w:val="en-CA"/>
        </w:rPr>
      </w:pPr>
      <w:r w:rsidRPr="00AA6144">
        <w:rPr>
          <w:color w:val="auto"/>
          <w:szCs w:val="18"/>
          <w:lang w:val="en-CA"/>
        </w:rPr>
        <w:t xml:space="preserve">Canadian Centre for International Justice, </w:t>
      </w:r>
      <w:r w:rsidRPr="00AA6144">
        <w:rPr>
          <w:i/>
          <w:color w:val="auto"/>
          <w:szCs w:val="18"/>
          <w:lang w:val="en-CA"/>
        </w:rPr>
        <w:t>CCIJ’s Public Cases and Interventions</w:t>
      </w:r>
      <w:r w:rsidRPr="00AA6144">
        <w:rPr>
          <w:color w:val="auto"/>
          <w:szCs w:val="18"/>
          <w:lang w:val="en-CA"/>
        </w:rPr>
        <w:t xml:space="preserve">, </w:t>
      </w:r>
      <w:proofErr w:type="gramStart"/>
      <w:r w:rsidRPr="00AA6144">
        <w:rPr>
          <w:color w:val="auto"/>
          <w:szCs w:val="18"/>
          <w:lang w:val="en-CA"/>
        </w:rPr>
        <w:t>online :</w:t>
      </w:r>
      <w:proofErr w:type="gramEnd"/>
      <w:r w:rsidRPr="00AA6144">
        <w:rPr>
          <w:color w:val="auto"/>
          <w:szCs w:val="18"/>
          <w:lang w:val="en-CA"/>
        </w:rPr>
        <w:t xml:space="preserve"> Canadian Centre for International Justice &lt;http://www.ccij.ca/programs/cases/index.php?DOC_INST=19&gt;.</w:t>
      </w:r>
    </w:p>
    <w:p w14:paraId="1536247A" w14:textId="38BF9D39" w:rsidR="00B844F5" w:rsidRPr="00AA6144" w:rsidRDefault="00B844F5" w:rsidP="00971925">
      <w:pPr>
        <w:spacing w:after="0" w:line="240" w:lineRule="auto"/>
        <w:ind w:left="357" w:hanging="357"/>
        <w:rPr>
          <w:color w:val="auto"/>
          <w:szCs w:val="18"/>
          <w:lang w:val="en-CA"/>
        </w:rPr>
      </w:pPr>
    </w:p>
    <w:p w14:paraId="61CA4BF8" w14:textId="77777777" w:rsidR="00990404" w:rsidRPr="00AA6144" w:rsidRDefault="00990404" w:rsidP="00971925">
      <w:pPr>
        <w:rPr>
          <w:color w:val="auto"/>
          <w:lang w:val="en-CA"/>
        </w:rPr>
      </w:pPr>
    </w:p>
    <w:p w14:paraId="28D1452F" w14:textId="77777777" w:rsidR="00933062" w:rsidRPr="00AA6144" w:rsidRDefault="00933062" w:rsidP="00971925">
      <w:pPr>
        <w:rPr>
          <w:color w:val="auto"/>
          <w:lang w:val="en-CA"/>
        </w:rPr>
      </w:pPr>
      <w:r w:rsidRPr="00AA6144">
        <w:rPr>
          <w:color w:val="auto"/>
          <w:lang w:val="en-CA"/>
        </w:rPr>
        <w:t>MEDIA</w:t>
      </w:r>
    </w:p>
    <w:p w14:paraId="7F57D89D" w14:textId="77777777" w:rsidR="00990404" w:rsidRPr="00AA6144" w:rsidRDefault="00990404" w:rsidP="00971925">
      <w:pPr>
        <w:spacing w:after="0" w:line="240" w:lineRule="auto"/>
        <w:ind w:left="357" w:hanging="357"/>
        <w:rPr>
          <w:color w:val="auto"/>
          <w:szCs w:val="18"/>
          <w:lang w:val="en-CA"/>
        </w:rPr>
      </w:pPr>
      <w:r w:rsidRPr="00AA6144">
        <w:rPr>
          <w:bCs/>
          <w:i/>
          <w:color w:val="auto"/>
          <w:szCs w:val="18"/>
          <w:lang w:val="en-CA"/>
        </w:rPr>
        <w:t>Trial of ex-Quebec resident on Rwanda genocide charges stirs tensions</w:t>
      </w:r>
      <w:r w:rsidRPr="00AA6144">
        <w:rPr>
          <w:bCs/>
          <w:color w:val="auto"/>
          <w:szCs w:val="18"/>
          <w:lang w:val="en-CA"/>
        </w:rPr>
        <w:t>, 17 November 2013, online: CTV News &lt;http://www.ctvnews.ca/canada/trial-of-ex-quebec-resident-on-rwanda-genocide-charges-stirs-tensions-1.1547147&gt;.</w:t>
      </w:r>
    </w:p>
    <w:p w14:paraId="681DF63E" w14:textId="77777777" w:rsidR="00933062" w:rsidRPr="00AA6144" w:rsidRDefault="00933062" w:rsidP="00971925">
      <w:pPr>
        <w:rPr>
          <w:color w:val="auto"/>
          <w:lang w:val="en-CA"/>
        </w:rPr>
      </w:pPr>
    </w:p>
    <w:p w14:paraId="607CA86D" w14:textId="77777777" w:rsidR="00A75017" w:rsidRPr="00AA6144" w:rsidRDefault="00A75017">
      <w:pPr>
        <w:rPr>
          <w:color w:val="auto"/>
          <w:lang w:val="en-CA"/>
        </w:rPr>
      </w:pPr>
    </w:p>
    <w:p w14:paraId="295639C3" w14:textId="77777777" w:rsidR="00093DA6" w:rsidRPr="00AA6144" w:rsidRDefault="00093DA6">
      <w:pPr>
        <w:widowControl/>
        <w:suppressAutoHyphens w:val="0"/>
        <w:spacing w:after="0" w:line="240" w:lineRule="auto"/>
        <w:rPr>
          <w:rFonts w:ascii="Amnesty Trade Gothic Cn" w:hAnsi="Amnesty Trade Gothic Cn"/>
          <w:b/>
          <w:caps/>
          <w:color w:val="auto"/>
          <w:kern w:val="1"/>
          <w:sz w:val="56"/>
          <w:szCs w:val="32"/>
          <w:lang w:val="en-CA"/>
        </w:rPr>
      </w:pPr>
      <w:r w:rsidRPr="00AA6144">
        <w:rPr>
          <w:color w:val="auto"/>
          <w:lang w:val="en-CA"/>
        </w:rPr>
        <w:br w:type="page"/>
      </w:r>
    </w:p>
    <w:p w14:paraId="6BF2B159" w14:textId="77777777" w:rsidR="003B7776" w:rsidRPr="00AA6144" w:rsidRDefault="003B7776" w:rsidP="003B7776">
      <w:pPr>
        <w:pStyle w:val="Heading1"/>
        <w:rPr>
          <w:color w:val="auto"/>
          <w:lang w:val="en-CA"/>
        </w:rPr>
      </w:pPr>
      <w:bookmarkStart w:id="333" w:name="_Toc43382820"/>
      <w:r w:rsidRPr="00AA6144">
        <w:rPr>
          <w:color w:val="auto"/>
          <w:lang w:val="en-CA"/>
        </w:rPr>
        <w:t xml:space="preserve">Appendix I – List of papers in the </w:t>
      </w:r>
      <w:r w:rsidRPr="00AA6144">
        <w:rPr>
          <w:i/>
          <w:color w:val="auto"/>
          <w:lang w:val="en-CA"/>
        </w:rPr>
        <w:t>No safe haven</w:t>
      </w:r>
      <w:r w:rsidRPr="00AA6144">
        <w:rPr>
          <w:color w:val="auto"/>
          <w:lang w:val="en-CA"/>
        </w:rPr>
        <w:t xml:space="preserve"> series published so far</w:t>
      </w:r>
      <w:bookmarkEnd w:id="333"/>
      <w:r w:rsidRPr="00AA6144">
        <w:rPr>
          <w:color w:val="auto"/>
          <w:lang w:val="en-CA"/>
        </w:rPr>
        <w:t xml:space="preserve"> </w:t>
      </w:r>
    </w:p>
    <w:p w14:paraId="588A966C" w14:textId="77777777" w:rsidR="003B7776" w:rsidRPr="00FD1463" w:rsidRDefault="003B7776" w:rsidP="003B7776">
      <w:pPr>
        <w:pStyle w:val="FootnoteText"/>
        <w:rPr>
          <w:iCs/>
          <w:color w:val="auto"/>
          <w:sz w:val="18"/>
          <w:szCs w:val="18"/>
          <w:lang w:val="es-AR"/>
        </w:rPr>
      </w:pPr>
      <w:r w:rsidRPr="000C2340">
        <w:rPr>
          <w:b/>
          <w:bCs/>
          <w:i/>
          <w:iCs/>
          <w:color w:val="auto"/>
          <w:sz w:val="18"/>
          <w:szCs w:val="18"/>
          <w:lang w:val="es-AR"/>
        </w:rPr>
        <w:t>Bulgaria</w:t>
      </w:r>
      <w:r w:rsidRPr="00FD1463">
        <w:rPr>
          <w:iCs/>
          <w:color w:val="auto"/>
          <w:sz w:val="18"/>
          <w:szCs w:val="18"/>
          <w:lang w:val="es-AR"/>
        </w:rPr>
        <w:t xml:space="preserve"> (</w:t>
      </w:r>
      <w:hyperlink r:id="rId23" w:history="1">
        <w:r w:rsidRPr="00FD1463">
          <w:rPr>
            <w:rStyle w:val="Hyperlink"/>
            <w:iCs/>
            <w:color w:val="auto"/>
            <w:sz w:val="18"/>
            <w:szCs w:val="18"/>
            <w:lang w:val="es-AR"/>
          </w:rPr>
          <w:t>http://www.amnesty.org/en/library/info/EUR15/001/2009/en</w:t>
        </w:r>
      </w:hyperlink>
      <w:r w:rsidRPr="00FD1463">
        <w:rPr>
          <w:iCs/>
          <w:color w:val="auto"/>
          <w:sz w:val="18"/>
          <w:szCs w:val="18"/>
          <w:lang w:val="es-AR"/>
        </w:rPr>
        <w:t xml:space="preserve">); </w:t>
      </w:r>
    </w:p>
    <w:p w14:paraId="57B98713" w14:textId="77777777" w:rsidR="003B7776" w:rsidRPr="00AA6144" w:rsidRDefault="003B7776" w:rsidP="003B7776">
      <w:pPr>
        <w:pStyle w:val="FootnoteText"/>
        <w:rPr>
          <w:iCs/>
          <w:color w:val="auto"/>
          <w:sz w:val="18"/>
          <w:szCs w:val="18"/>
          <w:lang w:val="en-CA"/>
        </w:rPr>
      </w:pPr>
      <w:r w:rsidRPr="00AA6144">
        <w:rPr>
          <w:b/>
          <w:i/>
          <w:iCs/>
          <w:color w:val="auto"/>
          <w:sz w:val="18"/>
          <w:szCs w:val="18"/>
          <w:lang w:val="en-CA"/>
        </w:rPr>
        <w:t>Germany</w:t>
      </w:r>
      <w:r w:rsidRPr="00AA6144">
        <w:rPr>
          <w:b/>
          <w:iCs/>
          <w:color w:val="auto"/>
          <w:sz w:val="18"/>
          <w:szCs w:val="18"/>
          <w:lang w:val="en-CA"/>
        </w:rPr>
        <w:t xml:space="preserve"> </w:t>
      </w:r>
      <w:r w:rsidRPr="00AA6144">
        <w:rPr>
          <w:iCs/>
          <w:color w:val="auto"/>
          <w:sz w:val="18"/>
          <w:szCs w:val="18"/>
          <w:lang w:val="en-CA"/>
        </w:rPr>
        <w:t>(</w:t>
      </w:r>
      <w:hyperlink r:id="rId24" w:history="1">
        <w:r w:rsidRPr="00AA6144">
          <w:rPr>
            <w:rStyle w:val="Hyperlink"/>
            <w:iCs/>
            <w:color w:val="auto"/>
            <w:sz w:val="18"/>
            <w:szCs w:val="18"/>
            <w:lang w:val="en-CA"/>
          </w:rPr>
          <w:t>http://www.amnesty.org/en/library/info/EUR23/003/2008/en</w:t>
        </w:r>
      </w:hyperlink>
      <w:r w:rsidRPr="00AA6144">
        <w:rPr>
          <w:iCs/>
          <w:color w:val="auto"/>
          <w:sz w:val="18"/>
          <w:szCs w:val="18"/>
          <w:lang w:val="en-CA"/>
        </w:rPr>
        <w:t xml:space="preserve">); (https://doc.es.amnesty.org/cgi-bin/ai/BRSCGI/ALEMANIA%20LA%20LUCHA%20CONTRA%20LA%20IMPUNIDAD%20A%20TRAVES%20DE%20LA%20JURISDICCION%20UNIVERSAL?CMD=VEROBJ&amp;MLKOB=27141201313) (Spanish) </w:t>
      </w:r>
    </w:p>
    <w:p w14:paraId="037FB594" w14:textId="77777777" w:rsidR="003B7776" w:rsidRPr="00AA6144" w:rsidRDefault="003B7776" w:rsidP="003B7776">
      <w:pPr>
        <w:pStyle w:val="FootnoteText"/>
        <w:rPr>
          <w:iCs/>
          <w:color w:val="auto"/>
          <w:sz w:val="18"/>
          <w:szCs w:val="18"/>
          <w:lang w:val="en-CA"/>
        </w:rPr>
      </w:pPr>
      <w:r w:rsidRPr="00AA6144">
        <w:rPr>
          <w:b/>
          <w:i/>
          <w:iCs/>
          <w:color w:val="auto"/>
          <w:sz w:val="18"/>
          <w:szCs w:val="18"/>
          <w:lang w:val="en-CA"/>
        </w:rPr>
        <w:t>Solomon Islands</w:t>
      </w:r>
      <w:r w:rsidRPr="00AA6144">
        <w:rPr>
          <w:iCs/>
          <w:color w:val="auto"/>
          <w:sz w:val="18"/>
          <w:szCs w:val="18"/>
          <w:lang w:val="en-CA"/>
        </w:rPr>
        <w:t xml:space="preserve"> (</w:t>
      </w:r>
      <w:hyperlink r:id="rId25" w:history="1">
        <w:r w:rsidRPr="00AA6144">
          <w:rPr>
            <w:rStyle w:val="Hyperlink"/>
            <w:bCs/>
            <w:iCs/>
            <w:color w:val="auto"/>
            <w:sz w:val="18"/>
            <w:szCs w:val="18"/>
            <w:lang w:val="en-CA"/>
          </w:rPr>
          <w:t>http://www.amnesty.org/en/library/info/ASA43/002/2009/en</w:t>
        </w:r>
      </w:hyperlink>
      <w:r w:rsidRPr="00AA6144">
        <w:rPr>
          <w:iCs/>
          <w:color w:val="auto"/>
          <w:sz w:val="18"/>
          <w:szCs w:val="18"/>
          <w:lang w:val="en-CA"/>
        </w:rPr>
        <w:t xml:space="preserve">); </w:t>
      </w:r>
    </w:p>
    <w:p w14:paraId="5565A1CA" w14:textId="77777777" w:rsidR="003B7776" w:rsidRPr="00AA6144" w:rsidRDefault="003B7776" w:rsidP="003B7776">
      <w:pPr>
        <w:pStyle w:val="FootnoteText"/>
        <w:rPr>
          <w:iCs/>
          <w:color w:val="auto"/>
          <w:sz w:val="18"/>
          <w:szCs w:val="18"/>
          <w:lang w:val="en-CA"/>
        </w:rPr>
      </w:pPr>
      <w:r w:rsidRPr="00AA6144">
        <w:rPr>
          <w:b/>
          <w:i/>
          <w:iCs/>
          <w:color w:val="auto"/>
          <w:sz w:val="18"/>
          <w:szCs w:val="18"/>
          <w:lang w:val="en-CA"/>
        </w:rPr>
        <w:t>Spain</w:t>
      </w:r>
      <w:r w:rsidRPr="00AA6144">
        <w:rPr>
          <w:iCs/>
          <w:color w:val="auto"/>
          <w:sz w:val="18"/>
          <w:szCs w:val="18"/>
          <w:lang w:val="en-CA"/>
        </w:rPr>
        <w:t xml:space="preserve"> (http://www.amnesty.org/es/library/info/EUR41/017/2008/es) (Spanish only</w:t>
      </w:r>
      <w:proofErr w:type="gramStart"/>
      <w:r w:rsidRPr="00AA6144">
        <w:rPr>
          <w:iCs/>
          <w:color w:val="auto"/>
          <w:sz w:val="18"/>
          <w:szCs w:val="18"/>
          <w:lang w:val="en-CA"/>
        </w:rPr>
        <w:t>);</w:t>
      </w:r>
      <w:proofErr w:type="gramEnd"/>
      <w:r w:rsidRPr="00AA6144">
        <w:rPr>
          <w:iCs/>
          <w:color w:val="auto"/>
          <w:sz w:val="18"/>
          <w:szCs w:val="18"/>
          <w:lang w:val="en-CA"/>
        </w:rPr>
        <w:t xml:space="preserve"> </w:t>
      </w:r>
    </w:p>
    <w:p w14:paraId="36FCB6F9" w14:textId="77777777" w:rsidR="003B7776" w:rsidRPr="00AA6144" w:rsidRDefault="003B7776" w:rsidP="003B7776">
      <w:pPr>
        <w:pStyle w:val="FootnoteText"/>
        <w:rPr>
          <w:iCs/>
          <w:color w:val="auto"/>
          <w:sz w:val="18"/>
          <w:szCs w:val="18"/>
          <w:lang w:val="en-CA"/>
        </w:rPr>
      </w:pPr>
      <w:r w:rsidRPr="00AA6144">
        <w:rPr>
          <w:b/>
          <w:i/>
          <w:iCs/>
          <w:color w:val="auto"/>
          <w:sz w:val="18"/>
          <w:szCs w:val="18"/>
          <w:lang w:val="en-CA"/>
        </w:rPr>
        <w:t>Sweden</w:t>
      </w:r>
      <w:r w:rsidRPr="00AA6144">
        <w:rPr>
          <w:iCs/>
          <w:color w:val="auto"/>
          <w:sz w:val="18"/>
          <w:szCs w:val="18"/>
          <w:lang w:val="en-CA"/>
        </w:rPr>
        <w:t xml:space="preserve"> (</w:t>
      </w:r>
      <w:hyperlink r:id="rId26" w:history="1">
        <w:r w:rsidRPr="00AA6144">
          <w:rPr>
            <w:rStyle w:val="Hyperlink"/>
            <w:iCs/>
            <w:color w:val="auto"/>
            <w:sz w:val="18"/>
            <w:szCs w:val="18"/>
            <w:lang w:val="en-CA"/>
          </w:rPr>
          <w:t>http://www.amnesty.org/en/library/info/EUR42/001/2009/en</w:t>
        </w:r>
      </w:hyperlink>
      <w:r w:rsidRPr="00AA6144">
        <w:rPr>
          <w:iCs/>
          <w:color w:val="auto"/>
          <w:sz w:val="18"/>
          <w:szCs w:val="18"/>
          <w:lang w:val="en-CA"/>
        </w:rPr>
        <w:t xml:space="preserve">); </w:t>
      </w:r>
    </w:p>
    <w:p w14:paraId="18043A36" w14:textId="77777777" w:rsidR="003B7776" w:rsidRPr="00AA6144" w:rsidRDefault="003B7776" w:rsidP="003B7776">
      <w:pPr>
        <w:rPr>
          <w:color w:val="auto"/>
          <w:szCs w:val="18"/>
          <w:lang w:val="en-CA"/>
        </w:rPr>
      </w:pPr>
      <w:r w:rsidRPr="00AA6144">
        <w:rPr>
          <w:b/>
          <w:i/>
          <w:iCs/>
          <w:color w:val="auto"/>
          <w:szCs w:val="18"/>
          <w:lang w:val="en-CA"/>
        </w:rPr>
        <w:t>Venezuela</w:t>
      </w:r>
      <w:r w:rsidRPr="00AA6144">
        <w:rPr>
          <w:iCs/>
          <w:color w:val="auto"/>
          <w:szCs w:val="18"/>
          <w:lang w:val="en-CA"/>
        </w:rPr>
        <w:t xml:space="preserve"> (</w:t>
      </w:r>
      <w:hyperlink r:id="rId27" w:history="1">
        <w:r w:rsidRPr="00AA6144">
          <w:rPr>
            <w:rStyle w:val="Hyperlink"/>
            <w:iCs/>
            <w:color w:val="auto"/>
            <w:szCs w:val="18"/>
            <w:lang w:val="en-CA"/>
          </w:rPr>
          <w:t>http://www.amnesty.org/en/library/info/AMR53/006/2009/en</w:t>
        </w:r>
      </w:hyperlink>
      <w:r w:rsidRPr="00AA6144">
        <w:rPr>
          <w:iCs/>
          <w:color w:val="auto"/>
          <w:szCs w:val="18"/>
          <w:lang w:val="en-CA"/>
        </w:rPr>
        <w:t>); (</w:t>
      </w:r>
      <w:hyperlink r:id="rId28" w:history="1">
        <w:r w:rsidRPr="00AA6144">
          <w:rPr>
            <w:rStyle w:val="Hyperlink"/>
            <w:iCs/>
            <w:color w:val="auto"/>
            <w:szCs w:val="18"/>
            <w:lang w:val="en-CA"/>
          </w:rPr>
          <w:t>http://www.amnesty.org/es/library/info/AMR53/006/2009/es</w:t>
        </w:r>
      </w:hyperlink>
      <w:r w:rsidRPr="00AA6144">
        <w:rPr>
          <w:iCs/>
          <w:color w:val="auto"/>
          <w:szCs w:val="18"/>
          <w:lang w:val="en-CA"/>
        </w:rPr>
        <w:t>) (Spanish)</w:t>
      </w:r>
    </w:p>
    <w:p w14:paraId="7539F597" w14:textId="77777777" w:rsidR="003B7776" w:rsidRPr="00AA6144" w:rsidRDefault="003B7776">
      <w:pPr>
        <w:rPr>
          <w:color w:val="auto"/>
          <w:lang w:val="en-CA"/>
        </w:rPr>
      </w:pPr>
    </w:p>
    <w:p w14:paraId="4B8FA91A" w14:textId="77777777" w:rsidR="009821B3" w:rsidRPr="00AA6144" w:rsidRDefault="009821B3">
      <w:pPr>
        <w:rPr>
          <w:color w:val="auto"/>
          <w:lang w:val="en-CA"/>
        </w:rPr>
      </w:pPr>
    </w:p>
    <w:p w14:paraId="61571F0A" w14:textId="77777777" w:rsidR="009821B3" w:rsidRPr="00AA6144" w:rsidRDefault="009821B3">
      <w:pPr>
        <w:rPr>
          <w:color w:val="auto"/>
          <w:lang w:val="en-CA"/>
        </w:rPr>
      </w:pPr>
    </w:p>
    <w:p w14:paraId="664E9F3E" w14:textId="77777777" w:rsidR="009821B3" w:rsidRPr="00AA6144" w:rsidRDefault="009821B3">
      <w:pPr>
        <w:rPr>
          <w:color w:val="auto"/>
          <w:lang w:val="en-CA"/>
        </w:rPr>
      </w:pPr>
    </w:p>
    <w:p w14:paraId="713FFAD7" w14:textId="77777777" w:rsidR="009821B3" w:rsidRPr="00AA6144" w:rsidRDefault="009821B3">
      <w:pPr>
        <w:rPr>
          <w:color w:val="auto"/>
          <w:lang w:val="en-CA"/>
        </w:rPr>
      </w:pPr>
    </w:p>
    <w:p w14:paraId="3E870AD5" w14:textId="77777777" w:rsidR="009821B3" w:rsidRPr="00AA6144" w:rsidRDefault="009821B3">
      <w:pPr>
        <w:rPr>
          <w:color w:val="auto"/>
          <w:lang w:val="en-CA"/>
        </w:rPr>
      </w:pPr>
    </w:p>
    <w:p w14:paraId="5DB7699D" w14:textId="77777777" w:rsidR="009821B3" w:rsidRPr="00AA6144" w:rsidRDefault="009821B3">
      <w:pPr>
        <w:rPr>
          <w:color w:val="auto"/>
          <w:lang w:val="en-CA"/>
        </w:rPr>
      </w:pPr>
    </w:p>
    <w:p w14:paraId="605B9CE0" w14:textId="77777777" w:rsidR="009821B3" w:rsidRPr="00AA6144" w:rsidRDefault="009821B3">
      <w:pPr>
        <w:rPr>
          <w:color w:val="auto"/>
          <w:lang w:val="en-CA"/>
        </w:rPr>
      </w:pPr>
    </w:p>
    <w:p w14:paraId="359E2C58" w14:textId="77777777" w:rsidR="009821B3" w:rsidRPr="00AA6144" w:rsidRDefault="009821B3">
      <w:pPr>
        <w:rPr>
          <w:color w:val="auto"/>
          <w:lang w:val="en-CA"/>
        </w:rPr>
      </w:pPr>
    </w:p>
    <w:p w14:paraId="10180630" w14:textId="77777777" w:rsidR="009821B3" w:rsidRPr="00AA6144" w:rsidRDefault="009821B3">
      <w:pPr>
        <w:rPr>
          <w:color w:val="auto"/>
          <w:lang w:val="en-CA"/>
        </w:rPr>
      </w:pPr>
    </w:p>
    <w:p w14:paraId="04B2073A" w14:textId="77777777" w:rsidR="009821B3" w:rsidRPr="00AA6144" w:rsidRDefault="009821B3">
      <w:pPr>
        <w:rPr>
          <w:color w:val="auto"/>
          <w:lang w:val="en-CA"/>
        </w:rPr>
      </w:pPr>
    </w:p>
    <w:p w14:paraId="3CCC00DB" w14:textId="77777777" w:rsidR="009821B3" w:rsidRPr="00AA6144" w:rsidRDefault="009821B3">
      <w:pPr>
        <w:rPr>
          <w:color w:val="auto"/>
          <w:lang w:val="en-CA"/>
        </w:rPr>
      </w:pPr>
    </w:p>
    <w:p w14:paraId="7949A1A7" w14:textId="77777777" w:rsidR="009821B3" w:rsidRPr="00AA6144" w:rsidRDefault="009821B3">
      <w:pPr>
        <w:rPr>
          <w:color w:val="auto"/>
          <w:lang w:val="en-CA"/>
        </w:rPr>
      </w:pPr>
    </w:p>
    <w:p w14:paraId="18CB8A8B" w14:textId="1C49F9C0" w:rsidR="009821B3" w:rsidRPr="00E47A9C" w:rsidRDefault="009821B3" w:rsidP="00E47A9C">
      <w:pPr>
        <w:pStyle w:val="Heading1"/>
        <w:rPr>
          <w:color w:val="000000" w:themeColor="text1"/>
          <w:lang w:val="en-CA"/>
        </w:rPr>
      </w:pPr>
      <w:bookmarkStart w:id="334" w:name="_Toc43382821"/>
      <w:r w:rsidRPr="00E47A9C">
        <w:rPr>
          <w:color w:val="000000" w:themeColor="text1"/>
          <w:lang w:val="en-CA"/>
        </w:rPr>
        <w:t>Appendix I</w:t>
      </w:r>
      <w:r w:rsidR="00E47A9C" w:rsidRPr="00E47A9C">
        <w:rPr>
          <w:color w:val="000000" w:themeColor="text1"/>
          <w:lang w:val="en-CA"/>
        </w:rPr>
        <w:t>I</w:t>
      </w:r>
      <w:r w:rsidRPr="00E47A9C">
        <w:rPr>
          <w:color w:val="000000" w:themeColor="text1"/>
          <w:lang w:val="en-CA"/>
        </w:rPr>
        <w:t xml:space="preserve"> – List of abreviations of IHL treaties listed on charts III and V</w:t>
      </w:r>
      <w:bookmarkEnd w:id="334"/>
    </w:p>
    <w:tbl>
      <w:tblPr>
        <w:tblW w:w="0" w:type="auto"/>
        <w:tblBorders>
          <w:insideV w:val="single" w:sz="4" w:space="0" w:color="auto"/>
        </w:tblBorders>
        <w:tblLook w:val="01E0" w:firstRow="1" w:lastRow="1" w:firstColumn="1" w:lastColumn="1" w:noHBand="0" w:noVBand="0"/>
      </w:tblPr>
      <w:tblGrid>
        <w:gridCol w:w="1266"/>
        <w:gridCol w:w="6672"/>
      </w:tblGrid>
      <w:tr w:rsidR="009821B3" w:rsidRPr="00AA6144" w14:paraId="1B81E901" w14:textId="77777777">
        <w:tc>
          <w:tcPr>
            <w:tcW w:w="1276" w:type="dxa"/>
            <w:tcBorders>
              <w:right w:val="nil"/>
            </w:tcBorders>
            <w:shd w:val="clear" w:color="auto" w:fill="auto"/>
          </w:tcPr>
          <w:p w14:paraId="538EA82C"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 xml:space="preserve">1925 Geneva Protocol Geneva  </w:t>
            </w:r>
          </w:p>
        </w:tc>
        <w:tc>
          <w:tcPr>
            <w:tcW w:w="6878" w:type="dxa"/>
            <w:tcBorders>
              <w:left w:val="nil"/>
            </w:tcBorders>
            <w:shd w:val="clear" w:color="auto" w:fill="auto"/>
          </w:tcPr>
          <w:p w14:paraId="22D68A3C"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Protocol of 17 June 1925 for the Prohibition of the Use of Asphyxiating, Poisonous or Other Gases, and of Bacteriological Methods of Warfare.</w:t>
            </w:r>
          </w:p>
        </w:tc>
      </w:tr>
      <w:tr w:rsidR="009821B3" w:rsidRPr="00AA6144" w14:paraId="6F46EDDA" w14:textId="77777777">
        <w:tc>
          <w:tcPr>
            <w:tcW w:w="1276" w:type="dxa"/>
            <w:tcBorders>
              <w:right w:val="nil"/>
            </w:tcBorders>
            <w:shd w:val="clear" w:color="auto" w:fill="auto"/>
          </w:tcPr>
          <w:p w14:paraId="61D49098" w14:textId="77777777" w:rsidR="009821B3" w:rsidRPr="00AA6144" w:rsidRDefault="009821B3" w:rsidP="00340CA2">
            <w:pPr>
              <w:rPr>
                <w:color w:val="auto"/>
                <w:szCs w:val="18"/>
                <w:lang w:val="en-CA"/>
              </w:rPr>
            </w:pPr>
            <w:r w:rsidRPr="00AA6144">
              <w:rPr>
                <w:rStyle w:val="Style4Char"/>
                <w:color w:val="auto"/>
                <w:sz w:val="18"/>
                <w:szCs w:val="18"/>
                <w:lang w:val="en-CA"/>
              </w:rPr>
              <w:t>1954 CCP</w:t>
            </w:r>
          </w:p>
          <w:p w14:paraId="32BC1121" w14:textId="77777777" w:rsidR="009821B3" w:rsidRPr="00AA6144" w:rsidRDefault="009821B3" w:rsidP="00340CA2">
            <w:pPr>
              <w:rPr>
                <w:rStyle w:val="Style4Char"/>
                <w:color w:val="auto"/>
                <w:sz w:val="18"/>
                <w:szCs w:val="18"/>
                <w:lang w:val="en-CA"/>
              </w:rPr>
            </w:pPr>
          </w:p>
        </w:tc>
        <w:tc>
          <w:tcPr>
            <w:tcW w:w="6878" w:type="dxa"/>
            <w:tcBorders>
              <w:left w:val="nil"/>
            </w:tcBorders>
            <w:shd w:val="clear" w:color="auto" w:fill="auto"/>
          </w:tcPr>
          <w:p w14:paraId="73E9E6C4"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Convention for the Protection of Cultural Property in the Event of Armed Conflict, The Hague, 14 May 1954, art. 28</w:t>
            </w:r>
          </w:p>
        </w:tc>
      </w:tr>
      <w:tr w:rsidR="009821B3" w:rsidRPr="00AA6144" w14:paraId="7AD4499B" w14:textId="77777777">
        <w:tc>
          <w:tcPr>
            <w:tcW w:w="1276" w:type="dxa"/>
            <w:tcBorders>
              <w:right w:val="nil"/>
            </w:tcBorders>
            <w:shd w:val="clear" w:color="auto" w:fill="auto"/>
          </w:tcPr>
          <w:p w14:paraId="0F1FBFC1"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Hague Prot. 1954</w:t>
            </w:r>
          </w:p>
        </w:tc>
        <w:tc>
          <w:tcPr>
            <w:tcW w:w="6878" w:type="dxa"/>
            <w:tcBorders>
              <w:left w:val="nil"/>
            </w:tcBorders>
            <w:shd w:val="clear" w:color="auto" w:fill="auto"/>
          </w:tcPr>
          <w:p w14:paraId="500C16D2"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Protocol for the Protection of Cultural Property in the Event of Armed Conflict. The Hague, 14 May 1954</w:t>
            </w:r>
          </w:p>
        </w:tc>
      </w:tr>
      <w:tr w:rsidR="009821B3" w:rsidRPr="00AA6144" w14:paraId="2E243994" w14:textId="77777777">
        <w:trPr>
          <w:trHeight w:val="1080"/>
        </w:trPr>
        <w:tc>
          <w:tcPr>
            <w:tcW w:w="1276" w:type="dxa"/>
            <w:tcBorders>
              <w:right w:val="nil"/>
            </w:tcBorders>
            <w:shd w:val="clear" w:color="auto" w:fill="auto"/>
          </w:tcPr>
          <w:p w14:paraId="3D18BEE9" w14:textId="77777777" w:rsidR="009821B3" w:rsidRPr="00AA6144" w:rsidRDefault="009821B3" w:rsidP="00340CA2">
            <w:pPr>
              <w:pStyle w:val="AIBodyText"/>
              <w:rPr>
                <w:rStyle w:val="Style4Char"/>
                <w:color w:val="auto"/>
                <w:sz w:val="18"/>
                <w:szCs w:val="18"/>
                <w:lang w:val="en-CA"/>
              </w:rPr>
            </w:pPr>
            <w:r w:rsidRPr="00AA6144">
              <w:rPr>
                <w:rStyle w:val="Style4Char"/>
                <w:color w:val="auto"/>
                <w:sz w:val="18"/>
                <w:szCs w:val="18"/>
                <w:lang w:val="en-CA"/>
              </w:rPr>
              <w:t>BWC 1972</w:t>
            </w:r>
          </w:p>
          <w:p w14:paraId="7960D75E" w14:textId="77777777" w:rsidR="009821B3" w:rsidRPr="00AA6144" w:rsidRDefault="009821B3" w:rsidP="00340CA2">
            <w:pPr>
              <w:rPr>
                <w:rStyle w:val="Style4Char"/>
                <w:color w:val="auto"/>
                <w:sz w:val="18"/>
                <w:szCs w:val="18"/>
                <w:lang w:val="en-CA"/>
              </w:rPr>
            </w:pPr>
          </w:p>
        </w:tc>
        <w:tc>
          <w:tcPr>
            <w:tcW w:w="6878" w:type="dxa"/>
            <w:tcBorders>
              <w:left w:val="nil"/>
            </w:tcBorders>
            <w:shd w:val="clear" w:color="auto" w:fill="auto"/>
          </w:tcPr>
          <w:p w14:paraId="1333327A"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Convention on the Prohibition of the Development, Production and Stockpiling of Bacteriological (Biological) and Toxin Weapons and on their Destruction, Opened for Signature at London, Moscow and Washington, 10 April 1972, art. IV</w:t>
            </w:r>
          </w:p>
        </w:tc>
      </w:tr>
      <w:tr w:rsidR="009821B3" w:rsidRPr="00AA6144" w14:paraId="18400E1E" w14:textId="77777777">
        <w:tc>
          <w:tcPr>
            <w:tcW w:w="1276" w:type="dxa"/>
            <w:tcBorders>
              <w:right w:val="nil"/>
            </w:tcBorders>
            <w:shd w:val="clear" w:color="auto" w:fill="auto"/>
          </w:tcPr>
          <w:p w14:paraId="3EC1B2A4"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ENMOD Conv. 1976</w:t>
            </w:r>
          </w:p>
        </w:tc>
        <w:tc>
          <w:tcPr>
            <w:tcW w:w="6878" w:type="dxa"/>
            <w:tcBorders>
              <w:left w:val="nil"/>
            </w:tcBorders>
            <w:shd w:val="clear" w:color="auto" w:fill="auto"/>
          </w:tcPr>
          <w:p w14:paraId="27EF092F"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Convention on the prohibition of military or any hostile use of environmental modification techniques, 10 December 1976, art. IV</w:t>
            </w:r>
          </w:p>
        </w:tc>
      </w:tr>
      <w:tr w:rsidR="009821B3" w:rsidRPr="00AA6144" w14:paraId="2C72A218" w14:textId="77777777">
        <w:tc>
          <w:tcPr>
            <w:tcW w:w="1276" w:type="dxa"/>
            <w:tcBorders>
              <w:right w:val="nil"/>
            </w:tcBorders>
            <w:shd w:val="clear" w:color="auto" w:fill="auto"/>
          </w:tcPr>
          <w:p w14:paraId="6C6A57A8"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CCW 1980</w:t>
            </w:r>
          </w:p>
        </w:tc>
        <w:tc>
          <w:tcPr>
            <w:tcW w:w="6878" w:type="dxa"/>
            <w:tcBorders>
              <w:left w:val="nil"/>
            </w:tcBorders>
            <w:shd w:val="clear" w:color="auto" w:fill="auto"/>
          </w:tcPr>
          <w:p w14:paraId="46B1C22A"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Convention on Prohibitions or Restrictions on the Use of Certain Conventional Weapons Which May be Deemed to be Excessively Injurious or to Have Indiscriminate Effects, Geneva, 10 October 1980.</w:t>
            </w:r>
          </w:p>
        </w:tc>
      </w:tr>
      <w:tr w:rsidR="009821B3" w:rsidRPr="00AA6144" w14:paraId="123D6734" w14:textId="77777777">
        <w:tc>
          <w:tcPr>
            <w:tcW w:w="1276" w:type="dxa"/>
            <w:tcBorders>
              <w:right w:val="nil"/>
            </w:tcBorders>
            <w:shd w:val="clear" w:color="auto" w:fill="auto"/>
          </w:tcPr>
          <w:p w14:paraId="44C14E95" w14:textId="77777777" w:rsidR="009821B3" w:rsidRPr="00AA6144" w:rsidRDefault="009821B3" w:rsidP="00340CA2">
            <w:pPr>
              <w:rPr>
                <w:rStyle w:val="Style4Char"/>
                <w:color w:val="auto"/>
                <w:sz w:val="18"/>
                <w:szCs w:val="18"/>
                <w:lang w:val="en-CA"/>
              </w:rPr>
            </w:pPr>
            <w:proofErr w:type="gramStart"/>
            <w:r w:rsidRPr="00AA6144">
              <w:rPr>
                <w:rStyle w:val="Style4Char"/>
                <w:color w:val="auto"/>
                <w:sz w:val="18"/>
                <w:szCs w:val="18"/>
                <w:lang w:val="en-CA"/>
              </w:rPr>
              <w:t>CCW  Prot.</w:t>
            </w:r>
            <w:proofErr w:type="gramEnd"/>
            <w:r w:rsidRPr="00AA6144">
              <w:rPr>
                <w:rStyle w:val="Style4Char"/>
                <w:color w:val="auto"/>
                <w:sz w:val="18"/>
                <w:szCs w:val="18"/>
                <w:lang w:val="en-CA"/>
              </w:rPr>
              <w:t xml:space="preserve"> I 1980</w:t>
            </w:r>
          </w:p>
        </w:tc>
        <w:tc>
          <w:tcPr>
            <w:tcW w:w="6878" w:type="dxa"/>
            <w:tcBorders>
              <w:left w:val="nil"/>
            </w:tcBorders>
            <w:shd w:val="clear" w:color="auto" w:fill="auto"/>
          </w:tcPr>
          <w:p w14:paraId="46F07821"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Protocol on Non-Detectable Fragments (Protocol I), Geneva, 10 October 1980;</w:t>
            </w:r>
          </w:p>
        </w:tc>
      </w:tr>
      <w:tr w:rsidR="009821B3" w:rsidRPr="00AA6144" w14:paraId="7383E7DD" w14:textId="77777777">
        <w:tc>
          <w:tcPr>
            <w:tcW w:w="1276" w:type="dxa"/>
            <w:tcBorders>
              <w:right w:val="nil"/>
            </w:tcBorders>
            <w:shd w:val="clear" w:color="auto" w:fill="auto"/>
          </w:tcPr>
          <w:p w14:paraId="58ACE7DE"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CCW Prot. II 1980</w:t>
            </w:r>
          </w:p>
        </w:tc>
        <w:tc>
          <w:tcPr>
            <w:tcW w:w="6878" w:type="dxa"/>
            <w:tcBorders>
              <w:left w:val="nil"/>
            </w:tcBorders>
            <w:shd w:val="clear" w:color="auto" w:fill="auto"/>
          </w:tcPr>
          <w:p w14:paraId="7C480F67"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Protocol on Prohibitions or Restrictions on the Use of Mines, Booby-Traps and Other Devices (Protocol II), Geneva, 10 October 1980</w:t>
            </w:r>
          </w:p>
        </w:tc>
      </w:tr>
      <w:tr w:rsidR="009821B3" w:rsidRPr="00AA6144" w14:paraId="330118A9" w14:textId="77777777">
        <w:tc>
          <w:tcPr>
            <w:tcW w:w="1276" w:type="dxa"/>
            <w:tcBorders>
              <w:right w:val="nil"/>
            </w:tcBorders>
            <w:shd w:val="clear" w:color="auto" w:fill="auto"/>
          </w:tcPr>
          <w:p w14:paraId="2662F675"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CCW Prot. III 1980</w:t>
            </w:r>
          </w:p>
        </w:tc>
        <w:tc>
          <w:tcPr>
            <w:tcW w:w="6878" w:type="dxa"/>
            <w:tcBorders>
              <w:left w:val="nil"/>
            </w:tcBorders>
            <w:shd w:val="clear" w:color="auto" w:fill="auto"/>
          </w:tcPr>
          <w:p w14:paraId="3D95B302"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Protocol on Prohibitions or Restrictions on the Use of Incendiary Weapons (Protocol III), Geneva, 10 October 1980</w:t>
            </w:r>
          </w:p>
        </w:tc>
      </w:tr>
      <w:tr w:rsidR="009821B3" w:rsidRPr="00AA6144" w14:paraId="0323FEDD" w14:textId="77777777">
        <w:tc>
          <w:tcPr>
            <w:tcW w:w="1276" w:type="dxa"/>
            <w:tcBorders>
              <w:right w:val="nil"/>
            </w:tcBorders>
            <w:shd w:val="clear" w:color="auto" w:fill="auto"/>
          </w:tcPr>
          <w:p w14:paraId="4C1BE96E"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CWC 1993</w:t>
            </w:r>
          </w:p>
        </w:tc>
        <w:tc>
          <w:tcPr>
            <w:tcW w:w="6878" w:type="dxa"/>
            <w:tcBorders>
              <w:left w:val="nil"/>
            </w:tcBorders>
            <w:shd w:val="clear" w:color="auto" w:fill="auto"/>
          </w:tcPr>
          <w:p w14:paraId="65D6F939"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Convention on the prohibition of the development, production, stockpiling and use of chemical weapons and on their destruction, Paris 13 January 1993</w:t>
            </w:r>
          </w:p>
        </w:tc>
      </w:tr>
      <w:tr w:rsidR="009821B3" w:rsidRPr="00AA6144" w14:paraId="30ADF751" w14:textId="77777777">
        <w:tc>
          <w:tcPr>
            <w:tcW w:w="1276" w:type="dxa"/>
            <w:tcBorders>
              <w:right w:val="nil"/>
            </w:tcBorders>
            <w:shd w:val="clear" w:color="auto" w:fill="auto"/>
          </w:tcPr>
          <w:p w14:paraId="16F52121"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CCW Prot. IV 1995</w:t>
            </w:r>
          </w:p>
        </w:tc>
        <w:tc>
          <w:tcPr>
            <w:tcW w:w="6878" w:type="dxa"/>
            <w:tcBorders>
              <w:left w:val="nil"/>
            </w:tcBorders>
            <w:shd w:val="clear" w:color="auto" w:fill="auto"/>
          </w:tcPr>
          <w:p w14:paraId="5504B559"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Protocol on Blinding Laser Weapons (Protocol IV to the 1980 Convention), 13 October 1995</w:t>
            </w:r>
          </w:p>
        </w:tc>
      </w:tr>
      <w:tr w:rsidR="009821B3" w:rsidRPr="00AA6144" w14:paraId="13B30217" w14:textId="77777777">
        <w:tc>
          <w:tcPr>
            <w:tcW w:w="1276" w:type="dxa"/>
            <w:tcBorders>
              <w:right w:val="nil"/>
            </w:tcBorders>
            <w:shd w:val="clear" w:color="auto" w:fill="auto"/>
          </w:tcPr>
          <w:p w14:paraId="1CF5AC0E"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CCW Prot. II a 1996</w:t>
            </w:r>
          </w:p>
        </w:tc>
        <w:tc>
          <w:tcPr>
            <w:tcW w:w="6878" w:type="dxa"/>
            <w:tcBorders>
              <w:left w:val="nil"/>
            </w:tcBorders>
            <w:shd w:val="clear" w:color="auto" w:fill="auto"/>
          </w:tcPr>
          <w:p w14:paraId="17D64F75"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Protocol on Prohibitions or Restrictions on the Use of Mines, Booby-Traps and Other Devices as amended on 3 May 1996 (Protocol II to the 1980 Convention as amended on 3 May 1996)</w:t>
            </w:r>
          </w:p>
        </w:tc>
      </w:tr>
      <w:tr w:rsidR="009821B3" w:rsidRPr="00AA6144" w14:paraId="0944E236" w14:textId="77777777">
        <w:tc>
          <w:tcPr>
            <w:tcW w:w="1276" w:type="dxa"/>
            <w:tcBorders>
              <w:right w:val="nil"/>
            </w:tcBorders>
            <w:shd w:val="clear" w:color="auto" w:fill="auto"/>
          </w:tcPr>
          <w:p w14:paraId="5563E3E0"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AP Mine Ban Conv. 1997</w:t>
            </w:r>
          </w:p>
        </w:tc>
        <w:tc>
          <w:tcPr>
            <w:tcW w:w="6878" w:type="dxa"/>
            <w:tcBorders>
              <w:left w:val="nil"/>
            </w:tcBorders>
            <w:shd w:val="clear" w:color="auto" w:fill="auto"/>
          </w:tcPr>
          <w:p w14:paraId="7429F910"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Convention on the Prohibition of the Use, Stockpiling, Production and Transfer of Anti-Personnel Mines and on their Destruction, 18 September 1997.</w:t>
            </w:r>
          </w:p>
        </w:tc>
      </w:tr>
      <w:tr w:rsidR="009821B3" w:rsidRPr="00AA6144" w14:paraId="2ED12009" w14:textId="77777777">
        <w:tc>
          <w:tcPr>
            <w:tcW w:w="1276" w:type="dxa"/>
            <w:tcBorders>
              <w:right w:val="nil"/>
            </w:tcBorders>
            <w:shd w:val="clear" w:color="auto" w:fill="auto"/>
          </w:tcPr>
          <w:p w14:paraId="32A6EDC9"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Hague Prot. 1999</w:t>
            </w:r>
          </w:p>
        </w:tc>
        <w:tc>
          <w:tcPr>
            <w:tcW w:w="6878" w:type="dxa"/>
            <w:tcBorders>
              <w:left w:val="nil"/>
            </w:tcBorders>
            <w:shd w:val="clear" w:color="auto" w:fill="auto"/>
          </w:tcPr>
          <w:p w14:paraId="48FD0C63"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 xml:space="preserve">Second Protocol to the Hague Convention of 1954 for the Protection of Cultural Property in the Event of Armed Conflict </w:t>
            </w:r>
            <w:proofErr w:type="gramStart"/>
            <w:r w:rsidRPr="00AA6144">
              <w:rPr>
                <w:rStyle w:val="Style4Char"/>
                <w:color w:val="auto"/>
                <w:sz w:val="18"/>
                <w:szCs w:val="18"/>
                <w:lang w:val="en-CA"/>
              </w:rPr>
              <w:t>The</w:t>
            </w:r>
            <w:proofErr w:type="gramEnd"/>
            <w:r w:rsidRPr="00AA6144">
              <w:rPr>
                <w:rStyle w:val="Style4Char"/>
                <w:color w:val="auto"/>
                <w:sz w:val="18"/>
                <w:szCs w:val="18"/>
                <w:lang w:val="en-CA"/>
              </w:rPr>
              <w:t xml:space="preserve"> Hague, 26 March 1999</w:t>
            </w:r>
          </w:p>
        </w:tc>
      </w:tr>
      <w:tr w:rsidR="009821B3" w:rsidRPr="00AA6144" w14:paraId="6EC1FD5E" w14:textId="77777777">
        <w:tc>
          <w:tcPr>
            <w:tcW w:w="1276" w:type="dxa"/>
            <w:tcBorders>
              <w:right w:val="nil"/>
            </w:tcBorders>
            <w:shd w:val="clear" w:color="auto" w:fill="auto"/>
          </w:tcPr>
          <w:p w14:paraId="27C6CC97" w14:textId="77777777" w:rsidR="009821B3" w:rsidRPr="00AA6144" w:rsidRDefault="009821B3" w:rsidP="00340CA2">
            <w:pPr>
              <w:rPr>
                <w:rStyle w:val="Style4Char"/>
                <w:color w:val="auto"/>
                <w:sz w:val="18"/>
                <w:szCs w:val="18"/>
                <w:lang w:val="en-CA"/>
              </w:rPr>
            </w:pPr>
            <w:proofErr w:type="spellStart"/>
            <w:r w:rsidRPr="00AA6144">
              <w:rPr>
                <w:rStyle w:val="Style4Char"/>
                <w:color w:val="auto"/>
                <w:sz w:val="18"/>
                <w:szCs w:val="18"/>
                <w:lang w:val="en-CA"/>
              </w:rPr>
              <w:t>Opt</w:t>
            </w:r>
            <w:proofErr w:type="spellEnd"/>
            <w:r w:rsidRPr="00AA6144">
              <w:rPr>
                <w:rStyle w:val="Style4Char"/>
                <w:color w:val="auto"/>
                <w:sz w:val="18"/>
                <w:szCs w:val="18"/>
                <w:lang w:val="en-CA"/>
              </w:rPr>
              <w:t xml:space="preserve"> Prot. CRC 2000</w:t>
            </w:r>
          </w:p>
        </w:tc>
        <w:tc>
          <w:tcPr>
            <w:tcW w:w="6878" w:type="dxa"/>
            <w:tcBorders>
              <w:left w:val="nil"/>
            </w:tcBorders>
            <w:shd w:val="clear" w:color="auto" w:fill="auto"/>
          </w:tcPr>
          <w:p w14:paraId="10A39619"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Optional Protocol to the Convention on the Rights of the Child on the involvement of children in armed conflict, 25 May 2000</w:t>
            </w:r>
          </w:p>
        </w:tc>
      </w:tr>
      <w:tr w:rsidR="009821B3" w:rsidRPr="00AA6144" w14:paraId="31C018F0" w14:textId="77777777">
        <w:tc>
          <w:tcPr>
            <w:tcW w:w="1276" w:type="dxa"/>
            <w:tcBorders>
              <w:right w:val="nil"/>
            </w:tcBorders>
            <w:shd w:val="clear" w:color="auto" w:fill="auto"/>
          </w:tcPr>
          <w:p w14:paraId="2321F982"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 xml:space="preserve">CCW </w:t>
            </w:r>
            <w:proofErr w:type="spellStart"/>
            <w:r w:rsidRPr="00AA6144">
              <w:rPr>
                <w:rStyle w:val="Style4Char"/>
                <w:color w:val="auto"/>
                <w:sz w:val="18"/>
                <w:szCs w:val="18"/>
                <w:lang w:val="en-CA"/>
              </w:rPr>
              <w:t>Amdt</w:t>
            </w:r>
            <w:proofErr w:type="spellEnd"/>
            <w:r w:rsidRPr="00AA6144">
              <w:rPr>
                <w:rStyle w:val="Style4Char"/>
                <w:color w:val="auto"/>
                <w:sz w:val="18"/>
                <w:szCs w:val="18"/>
                <w:lang w:val="en-CA"/>
              </w:rPr>
              <w:t xml:space="preserve"> 2001</w:t>
            </w:r>
          </w:p>
        </w:tc>
        <w:tc>
          <w:tcPr>
            <w:tcW w:w="6878" w:type="dxa"/>
            <w:tcBorders>
              <w:left w:val="nil"/>
            </w:tcBorders>
            <w:shd w:val="clear" w:color="auto" w:fill="auto"/>
          </w:tcPr>
          <w:p w14:paraId="696DBB87"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Convention on Prohibitions or Restrictions on the Use of Certain Conventional Weapons Which May be Deemed to be Excessively Injurious or to Have Indiscriminate Effects, Geneva, 10 October 1980 (Amendment article 1, 21 December 2001)</w:t>
            </w:r>
          </w:p>
        </w:tc>
      </w:tr>
      <w:tr w:rsidR="009821B3" w:rsidRPr="00AA6144" w14:paraId="3BFFE7FE" w14:textId="77777777">
        <w:tc>
          <w:tcPr>
            <w:tcW w:w="1276" w:type="dxa"/>
            <w:tcBorders>
              <w:right w:val="nil"/>
            </w:tcBorders>
            <w:shd w:val="clear" w:color="auto" w:fill="auto"/>
          </w:tcPr>
          <w:p w14:paraId="3189826F"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CCW Prot. V 2003</w:t>
            </w:r>
          </w:p>
        </w:tc>
        <w:tc>
          <w:tcPr>
            <w:tcW w:w="6878" w:type="dxa"/>
            <w:tcBorders>
              <w:left w:val="nil"/>
            </w:tcBorders>
            <w:shd w:val="clear" w:color="auto" w:fill="auto"/>
          </w:tcPr>
          <w:p w14:paraId="035DAE99"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Protocol on Explosive Remnants of War (Protocol V to the 1980 Convention), 28 November 2003</w:t>
            </w:r>
          </w:p>
        </w:tc>
      </w:tr>
      <w:tr w:rsidR="009821B3" w:rsidRPr="00AA6144" w14:paraId="40EBF4B8" w14:textId="77777777">
        <w:tc>
          <w:tcPr>
            <w:tcW w:w="1276" w:type="dxa"/>
            <w:tcBorders>
              <w:right w:val="nil"/>
            </w:tcBorders>
            <w:shd w:val="clear" w:color="auto" w:fill="auto"/>
          </w:tcPr>
          <w:p w14:paraId="6373CEE4"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Cluster Munitions 2008</w:t>
            </w:r>
          </w:p>
        </w:tc>
        <w:tc>
          <w:tcPr>
            <w:tcW w:w="6878" w:type="dxa"/>
            <w:tcBorders>
              <w:left w:val="nil"/>
            </w:tcBorders>
            <w:shd w:val="clear" w:color="auto" w:fill="auto"/>
          </w:tcPr>
          <w:p w14:paraId="6CD4F5F0" w14:textId="77777777" w:rsidR="009821B3" w:rsidRPr="00AA6144" w:rsidRDefault="009821B3" w:rsidP="00340CA2">
            <w:pPr>
              <w:rPr>
                <w:rStyle w:val="Style4Char"/>
                <w:color w:val="auto"/>
                <w:sz w:val="18"/>
                <w:szCs w:val="18"/>
                <w:lang w:val="en-CA"/>
              </w:rPr>
            </w:pPr>
            <w:r w:rsidRPr="00AA6144">
              <w:rPr>
                <w:rStyle w:val="Style4Char"/>
                <w:color w:val="auto"/>
                <w:sz w:val="18"/>
                <w:szCs w:val="18"/>
                <w:lang w:val="en-CA"/>
              </w:rPr>
              <w:t>Convention on Cluster Munitions, 30 May 2008</w:t>
            </w:r>
          </w:p>
        </w:tc>
      </w:tr>
    </w:tbl>
    <w:p w14:paraId="37180C7D" w14:textId="77777777" w:rsidR="009821B3" w:rsidRPr="00AA6144" w:rsidRDefault="009821B3">
      <w:pPr>
        <w:rPr>
          <w:rFonts w:ascii="Amnesty Trade Gothic Cn" w:hAnsi="Amnesty Trade Gothic Cn"/>
          <w:b/>
          <w:caps/>
          <w:color w:val="auto"/>
          <w:kern w:val="1"/>
          <w:sz w:val="56"/>
          <w:szCs w:val="32"/>
          <w:lang w:val="en-CA"/>
        </w:rPr>
        <w:sectPr w:rsidR="009821B3" w:rsidRPr="00AA6144">
          <w:headerReference w:type="even" r:id="rId29"/>
          <w:headerReference w:type="default" r:id="rId30"/>
          <w:footerReference w:type="even" r:id="rId31"/>
          <w:footerReference w:type="default" r:id="rId32"/>
          <w:headerReference w:type="first" r:id="rId33"/>
          <w:footerReference w:type="first" r:id="rId34"/>
          <w:footnotePr>
            <w:pos w:val="beneathText"/>
          </w:footnotePr>
          <w:endnotePr>
            <w:numFmt w:val="decimal"/>
          </w:endnotePr>
          <w:pgSz w:w="11900" w:h="16837"/>
          <w:pgMar w:top="1701" w:right="2261" w:bottom="3402" w:left="1701" w:header="709" w:footer="709" w:gutter="0"/>
          <w:pgNumType w:start="1"/>
          <w:cols w:space="720"/>
          <w:docGrid w:linePitch="360"/>
        </w:sectPr>
      </w:pPr>
    </w:p>
    <w:p w14:paraId="1A34AF67" w14:textId="77777777" w:rsidR="00A75017" w:rsidRPr="00AA6144" w:rsidRDefault="00A75017">
      <w:pPr>
        <w:pageBreakBefore/>
        <w:rPr>
          <w:color w:val="auto"/>
          <w:lang w:val="en-CA"/>
        </w:rPr>
      </w:pPr>
    </w:p>
    <w:p w14:paraId="7239BBA9" w14:textId="11CAD5E6" w:rsidR="00A75017" w:rsidRPr="00AA6144" w:rsidRDefault="00813F07">
      <w:pPr>
        <w:rPr>
          <w:color w:val="auto"/>
          <w:lang w:val="en-CA"/>
        </w:rPr>
      </w:pPr>
      <w:r w:rsidRPr="00AA6144">
        <w:rPr>
          <w:noProof/>
          <w:color w:val="auto"/>
          <w:lang w:val="en-CA" w:eastAsia="en-US"/>
        </w:rPr>
        <mc:AlternateContent>
          <mc:Choice Requires="wpg">
            <w:drawing>
              <wp:anchor distT="0" distB="0" distL="0" distR="0" simplePos="0" relativeHeight="251656704" behindDoc="0" locked="0" layoutInCell="1" allowOverlap="1" wp14:anchorId="0F17B5C0" wp14:editId="1BA452A8">
                <wp:simplePos x="0" y="0"/>
                <wp:positionH relativeFrom="column">
                  <wp:posOffset>1451610</wp:posOffset>
                </wp:positionH>
                <wp:positionV relativeFrom="paragraph">
                  <wp:posOffset>4437380</wp:posOffset>
                </wp:positionV>
                <wp:extent cx="3597275" cy="3452495"/>
                <wp:effectExtent l="0" t="0" r="9525" b="190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275" cy="3452495"/>
                          <a:chOff x="2286" y="6988"/>
                          <a:chExt cx="5664" cy="5436"/>
                        </a:xfrm>
                      </wpg:grpSpPr>
                      <wps:wsp>
                        <wps:cNvPr id="4" name="Text Box 7"/>
                        <wps:cNvSpPr txBox="1">
                          <a:spLocks noChangeArrowheads="1"/>
                        </wps:cNvSpPr>
                        <wps:spPr bwMode="auto">
                          <a:xfrm>
                            <a:off x="2286" y="6988"/>
                            <a:ext cx="5664" cy="5436"/>
                          </a:xfrm>
                          <a:prstGeom prst="rect">
                            <a:avLst/>
                          </a:prstGeom>
                          <a:solidFill>
                            <a:srgbClr val="FFFF00"/>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700BEFCB"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Amnesty International</w:t>
                              </w:r>
                            </w:p>
                            <w:p w14:paraId="14FB38A8"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International Secretariat</w:t>
                              </w:r>
                            </w:p>
                            <w:p w14:paraId="04B94CE4"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 xml:space="preserve">Peter </w:t>
                              </w:r>
                              <w:proofErr w:type="spellStart"/>
                              <w:r>
                                <w:rPr>
                                  <w:rFonts w:ascii="Amnesty Trade Gothic Cn" w:hAnsi="Amnesty Trade Gothic Cn"/>
                                  <w:b/>
                                  <w:kern w:val="1"/>
                                  <w:sz w:val="20"/>
                                  <w:szCs w:val="32"/>
                                </w:rPr>
                                <w:t>Benenson</w:t>
                              </w:r>
                              <w:proofErr w:type="spellEnd"/>
                              <w:r>
                                <w:rPr>
                                  <w:rFonts w:ascii="Amnesty Trade Gothic Cn" w:hAnsi="Amnesty Trade Gothic Cn"/>
                                  <w:b/>
                                  <w:kern w:val="1"/>
                                  <w:sz w:val="20"/>
                                  <w:szCs w:val="32"/>
                                </w:rPr>
                                <w:t xml:space="preserve"> House</w:t>
                              </w:r>
                            </w:p>
                            <w:p w14:paraId="53C781B9"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1 Easton Street</w:t>
                              </w:r>
                            </w:p>
                            <w:p w14:paraId="27C86735"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London WC1X 0DW</w:t>
                              </w:r>
                            </w:p>
                            <w:p w14:paraId="4E2C1D4B" w14:textId="77777777" w:rsidR="00356280" w:rsidRDefault="00356280">
                              <w:pPr>
                                <w:spacing w:after="0" w:line="246" w:lineRule="exact"/>
                              </w:pPr>
                            </w:p>
                            <w:p w14:paraId="0D6C9333"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www.amnesty.org</w:t>
                              </w:r>
                            </w:p>
                            <w:p w14:paraId="1957D3E9" w14:textId="77777777" w:rsidR="00356280" w:rsidRDefault="00356280">
                              <w:pPr>
                                <w:spacing w:line="246" w:lineRule="exact"/>
                              </w:pPr>
                            </w:p>
                            <w:p w14:paraId="596956F4" w14:textId="77777777" w:rsidR="00356280" w:rsidRDefault="00356280">
                              <w:pPr>
                                <w:spacing w:line="246" w:lineRule="exact"/>
                                <w:jc w:val="right"/>
                              </w:pPr>
                            </w:p>
                          </w:txbxContent>
                        </wps:txbx>
                        <wps:bodyPr rot="0" vert="horz" wrap="square" lIns="360000" tIns="360000" rIns="360000" bIns="360000" anchor="ctr" anchorCtr="0">
                          <a:noAutofit/>
                        </wps:bodyPr>
                      </wps:wsp>
                      <pic:pic xmlns:pic="http://schemas.openxmlformats.org/drawingml/2006/picture">
                        <pic:nvPicPr>
                          <pic:cNvPr id="5"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50" y="10952"/>
                            <a:ext cx="5125" cy="125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blipFill dpi="0" rotWithShape="0">
                                  <a:blip/>
                                  <a:srcRect/>
                                  <a:stretch>
                                    <a:fillRect/>
                                  </a:stretch>
                                </a:blip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F17B5C0" id="Group 6" o:spid="_x0000_s1034" style="position:absolute;margin-left:114.3pt;margin-top:349.4pt;width:283.25pt;height:271.85pt;z-index:251656704;mso-wrap-distance-left:0;mso-wrap-distance-right:0" coordorigin="2286,6988" coordsize="5664,5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">
                <v:shape id="Text Box 7" o:spid="_x0000_s1035" type="#_x0000_t202" style="position:absolute;left:2286;top:6988;width:5664;height: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" fillcolor="yellow" stroked="f">
                  <v:textbox inset="10mm,10mm,10mm,10mm">
                    <w:txbxContent>
                      <w:p w14:paraId="700BEFCB"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Amnesty International</w:t>
                        </w:r>
                      </w:p>
                      <w:p w14:paraId="14FB38A8"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International Secretariat</w:t>
                        </w:r>
                      </w:p>
                      <w:p w14:paraId="04B94CE4"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 xml:space="preserve">Peter </w:t>
                        </w:r>
                        <w:proofErr w:type="spellStart"/>
                        <w:r>
                          <w:rPr>
                            <w:rFonts w:ascii="Amnesty Trade Gothic Cn" w:hAnsi="Amnesty Trade Gothic Cn"/>
                            <w:b/>
                            <w:kern w:val="1"/>
                            <w:sz w:val="20"/>
                            <w:szCs w:val="32"/>
                          </w:rPr>
                          <w:t>Benenson</w:t>
                        </w:r>
                        <w:proofErr w:type="spellEnd"/>
                        <w:r>
                          <w:rPr>
                            <w:rFonts w:ascii="Amnesty Trade Gothic Cn" w:hAnsi="Amnesty Trade Gothic Cn"/>
                            <w:b/>
                            <w:kern w:val="1"/>
                            <w:sz w:val="20"/>
                            <w:szCs w:val="32"/>
                          </w:rPr>
                          <w:t xml:space="preserve"> House</w:t>
                        </w:r>
                      </w:p>
                      <w:p w14:paraId="53C781B9"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1 Easton Street</w:t>
                        </w:r>
                      </w:p>
                      <w:p w14:paraId="27C86735"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London WC1X 0DW</w:t>
                        </w:r>
                      </w:p>
                      <w:p w14:paraId="4E2C1D4B" w14:textId="77777777" w:rsidR="00356280" w:rsidRDefault="00356280">
                        <w:pPr>
                          <w:spacing w:after="0" w:line="246" w:lineRule="exact"/>
                        </w:pPr>
                      </w:p>
                      <w:p w14:paraId="0D6C9333" w14:textId="77777777" w:rsidR="00356280" w:rsidRDefault="00356280">
                        <w:pPr>
                          <w:spacing w:after="0" w:line="246" w:lineRule="exact"/>
                          <w:rPr>
                            <w:rFonts w:ascii="Amnesty Trade Gothic Cn" w:hAnsi="Amnesty Trade Gothic Cn"/>
                            <w:b/>
                            <w:kern w:val="1"/>
                            <w:sz w:val="20"/>
                            <w:szCs w:val="32"/>
                          </w:rPr>
                        </w:pPr>
                        <w:r>
                          <w:rPr>
                            <w:rFonts w:ascii="Amnesty Trade Gothic Cn" w:hAnsi="Amnesty Trade Gothic Cn"/>
                            <w:b/>
                            <w:kern w:val="1"/>
                            <w:sz w:val="20"/>
                            <w:szCs w:val="32"/>
                          </w:rPr>
                          <w:t>www.amnesty.org</w:t>
                        </w:r>
                      </w:p>
                      <w:p w14:paraId="1957D3E9" w14:textId="77777777" w:rsidR="00356280" w:rsidRDefault="00356280">
                        <w:pPr>
                          <w:spacing w:line="246" w:lineRule="exact"/>
                        </w:pPr>
                      </w:p>
                      <w:p w14:paraId="596956F4" w14:textId="77777777" w:rsidR="00356280" w:rsidRDefault="00356280">
                        <w:pPr>
                          <w:spacing w:line="246" w:lineRule="exact"/>
                          <w:jc w:val="right"/>
                        </w:pPr>
                      </w:p>
                    </w:txbxContent>
                  </v:textbox>
                </v:shape>
                <v:shape id="Picture 8" o:spid="_x0000_s1036" type="#_x0000_t75" style="position:absolute;left:2650;top:10952;width:5125;height:1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">
                  <v:imagedata r:id="rId9" o:title=""/>
                </v:shape>
              </v:group>
            </w:pict>
          </mc:Fallback>
        </mc:AlternateContent>
      </w:r>
    </w:p>
    <w:sectPr w:rsidR="00A75017" w:rsidRPr="00AA6144" w:rsidSect="00FD5C6A">
      <w:headerReference w:type="even" r:id="rId35"/>
      <w:headerReference w:type="default" r:id="rId36"/>
      <w:footerReference w:type="even" r:id="rId37"/>
      <w:footerReference w:type="default" r:id="rId38"/>
      <w:headerReference w:type="first" r:id="rId39"/>
      <w:footerReference w:type="first" r:id="rId40"/>
      <w:footnotePr>
        <w:pos w:val="beneathText"/>
      </w:footnotePr>
      <w:endnotePr>
        <w:numFmt w:val="decimal"/>
      </w:endnotePr>
      <w:pgSz w:w="11900" w:h="16837"/>
      <w:pgMar w:top="1701" w:right="2835" w:bottom="3402"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BA861" w14:textId="77777777" w:rsidR="00356280" w:rsidRDefault="00356280">
      <w:r>
        <w:separator/>
      </w:r>
    </w:p>
  </w:endnote>
  <w:endnote w:type="continuationSeparator" w:id="0">
    <w:p w14:paraId="694358EA" w14:textId="77777777" w:rsidR="00356280" w:rsidRDefault="0035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Cn">
    <w:panose1 w:val="020B05060403030200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Roman">
    <w:altName w:val="Times"/>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Linotype,Bold">
    <w:altName w:val="Palatino Linotype"/>
    <w:panose1 w:val="00000000000000000000"/>
    <w:charset w:val="00"/>
    <w:family w:val="roman"/>
    <w:notTrueType/>
    <w:pitch w:val="default"/>
  </w:font>
  <w:font w:name="-webkit-standard">
    <w:altName w:val="Cambria"/>
    <w:panose1 w:val="00000000000000000000"/>
    <w:charset w:val="00"/>
    <w:family w:val="roman"/>
    <w:notTrueType/>
    <w:pitch w:val="default"/>
  </w:font>
  <w:font w:name="AmnestyTradeGothic">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abon-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06A3C" w14:textId="77777777" w:rsidR="00356280" w:rsidRDefault="0035628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3FF0" w14:textId="77777777" w:rsidR="00356280" w:rsidRDefault="0035628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B540" w14:textId="77777777" w:rsidR="00356280" w:rsidRDefault="0035628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3DBF" w14:textId="77777777" w:rsidR="00356280" w:rsidRDefault="003562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A031" w14:textId="77777777" w:rsidR="00356280" w:rsidRDefault="00356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67C26" w14:textId="77777777" w:rsidR="00356280" w:rsidRDefault="00356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71C3A" w14:textId="77777777" w:rsidR="00356280" w:rsidRDefault="0035628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DA695" w14:textId="77777777" w:rsidR="00356280" w:rsidRDefault="003562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5B2E" w14:textId="77777777" w:rsidR="00356280" w:rsidRDefault="0035628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709C" w14:textId="334A504A" w:rsidR="00356280" w:rsidRDefault="00356280" w:rsidP="00A06B14">
    <w:pPr>
      <w:pStyle w:val="AIEvenPageFooter"/>
    </w:pPr>
    <w:r>
      <w:t xml:space="preserve">Amnesty International [June 2020] </w:t>
    </w:r>
    <w:r>
      <w:tab/>
      <w:t xml:space="preserve">Index: </w:t>
    </w:r>
    <w:r w:rsidRPr="000C2340">
      <w:t>AMR 20/2287/2020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6ACD" w14:textId="266C1449" w:rsidR="00356280" w:rsidRDefault="00356280" w:rsidP="00A06B14">
    <w:pPr>
      <w:pStyle w:val="AIOddPageFooter"/>
    </w:pPr>
    <w:r>
      <w:t xml:space="preserve">Index: </w:t>
    </w:r>
    <w:r w:rsidRPr="000C2340">
      <w:t>AMR 20/2287/2020</w:t>
    </w:r>
    <w:r>
      <w:tab/>
      <w:t>Amnesty International [June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1103" w14:textId="77777777" w:rsidR="00356280" w:rsidRDefault="003562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2A309" w14:textId="77777777" w:rsidR="00356280" w:rsidRDefault="00356280">
      <w:r>
        <w:separator/>
      </w:r>
    </w:p>
  </w:footnote>
  <w:footnote w:type="continuationSeparator" w:id="0">
    <w:p w14:paraId="055FEEC6" w14:textId="77777777" w:rsidR="00356280" w:rsidRDefault="00356280">
      <w:r>
        <w:continuationSeparator/>
      </w:r>
    </w:p>
  </w:footnote>
  <w:footnote w:id="1">
    <w:p w14:paraId="060F73DE" w14:textId="518E826D"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The drafting of this report was coordinated by </w:t>
      </w:r>
      <w:r>
        <w:rPr>
          <w:sz w:val="16"/>
          <w:szCs w:val="16"/>
          <w:lang w:val="en-CA"/>
        </w:rPr>
        <w:t xml:space="preserve">Prof. </w:t>
      </w:r>
      <w:r w:rsidRPr="00793101">
        <w:rPr>
          <w:sz w:val="16"/>
          <w:szCs w:val="16"/>
          <w:lang w:val="en-CA"/>
        </w:rPr>
        <w:t>Sébastien Jodoin (</w:t>
      </w:r>
      <w:r>
        <w:rPr>
          <w:sz w:val="16"/>
          <w:szCs w:val="16"/>
          <w:lang w:val="en-CA"/>
        </w:rPr>
        <w:t>McGill University, Faculty of Law</w:t>
      </w:r>
      <w:r w:rsidRPr="00793101">
        <w:rPr>
          <w:sz w:val="16"/>
          <w:szCs w:val="16"/>
          <w:lang w:val="en-CA"/>
        </w:rPr>
        <w:t xml:space="preserve">), under the supervision of the International Justice </w:t>
      </w:r>
      <w:r>
        <w:rPr>
          <w:sz w:val="16"/>
          <w:szCs w:val="16"/>
          <w:lang w:val="en-CA"/>
        </w:rPr>
        <w:t>Team</w:t>
      </w:r>
      <w:r w:rsidRPr="00793101">
        <w:rPr>
          <w:sz w:val="16"/>
          <w:szCs w:val="16"/>
          <w:lang w:val="en-CA"/>
        </w:rPr>
        <w:t xml:space="preserve"> in the Secretariat of Amnesty International. The report was researched and drafted by Rebecca Aleem (Canadian Centre for International Justice Toronto Working Group), </w:t>
      </w:r>
      <w:proofErr w:type="spellStart"/>
      <w:r w:rsidRPr="00793101">
        <w:rPr>
          <w:sz w:val="16"/>
          <w:szCs w:val="16"/>
          <w:lang w:val="en-CA"/>
        </w:rPr>
        <w:t>Minoo</w:t>
      </w:r>
      <w:proofErr w:type="spellEnd"/>
      <w:r w:rsidRPr="00793101">
        <w:rPr>
          <w:sz w:val="16"/>
          <w:szCs w:val="16"/>
          <w:lang w:val="en-CA"/>
        </w:rPr>
        <w:t xml:space="preserve"> </w:t>
      </w:r>
      <w:proofErr w:type="spellStart"/>
      <w:r w:rsidRPr="00793101">
        <w:rPr>
          <w:sz w:val="16"/>
          <w:szCs w:val="16"/>
          <w:lang w:val="en-CA"/>
        </w:rPr>
        <w:t>Alipoor</w:t>
      </w:r>
      <w:proofErr w:type="spellEnd"/>
      <w:r w:rsidRPr="00793101">
        <w:rPr>
          <w:sz w:val="16"/>
          <w:szCs w:val="16"/>
          <w:lang w:val="en-CA"/>
        </w:rPr>
        <w:t xml:space="preserve"> (Canadian Centre for International Ju</w:t>
      </w:r>
      <w:r>
        <w:rPr>
          <w:sz w:val="16"/>
          <w:szCs w:val="16"/>
          <w:lang w:val="en-CA"/>
        </w:rPr>
        <w:t xml:space="preserve">stice Toronto Working Group), </w:t>
      </w:r>
      <w:proofErr w:type="spellStart"/>
      <w:r w:rsidRPr="00793101">
        <w:rPr>
          <w:sz w:val="16"/>
          <w:szCs w:val="16"/>
          <w:lang w:val="en-CA"/>
        </w:rPr>
        <w:t>Raha</w:t>
      </w:r>
      <w:proofErr w:type="spellEnd"/>
      <w:r w:rsidRPr="00793101">
        <w:rPr>
          <w:sz w:val="16"/>
          <w:szCs w:val="16"/>
          <w:lang w:val="en-CA"/>
        </w:rPr>
        <w:t xml:space="preserve"> </w:t>
      </w:r>
      <w:proofErr w:type="spellStart"/>
      <w:r w:rsidRPr="00793101">
        <w:rPr>
          <w:sz w:val="16"/>
          <w:szCs w:val="16"/>
          <w:lang w:val="en-CA"/>
        </w:rPr>
        <w:t>Bahreini</w:t>
      </w:r>
      <w:proofErr w:type="spellEnd"/>
      <w:r w:rsidRPr="00793101">
        <w:rPr>
          <w:sz w:val="16"/>
          <w:szCs w:val="16"/>
          <w:lang w:val="en-CA"/>
        </w:rPr>
        <w:t xml:space="preserve"> (Amnesty International Canada),</w:t>
      </w:r>
      <w:r>
        <w:rPr>
          <w:sz w:val="16"/>
          <w:szCs w:val="16"/>
          <w:lang w:val="en-CA"/>
        </w:rPr>
        <w:t xml:space="preserve"> Katrina Gower (Amnesty International Canada),</w:t>
      </w:r>
      <w:r w:rsidRPr="00793101">
        <w:rPr>
          <w:sz w:val="16"/>
          <w:szCs w:val="16"/>
          <w:lang w:val="en-CA"/>
        </w:rPr>
        <w:t xml:space="preserve"> Karen Heath (Canadian Centre for International Justice Toronto Working Group), Caylee Hong (McGil</w:t>
      </w:r>
      <w:r>
        <w:rPr>
          <w:sz w:val="16"/>
          <w:szCs w:val="16"/>
          <w:lang w:val="en-CA"/>
        </w:rPr>
        <w:t xml:space="preserve">l University, Faculty of Law), Morgan McGill </w:t>
      </w:r>
      <w:r w:rsidRPr="00793101">
        <w:rPr>
          <w:sz w:val="16"/>
          <w:szCs w:val="16"/>
          <w:lang w:val="en-CA"/>
        </w:rPr>
        <w:t>(McGil</w:t>
      </w:r>
      <w:r>
        <w:rPr>
          <w:sz w:val="16"/>
          <w:szCs w:val="16"/>
          <w:lang w:val="en-CA"/>
        </w:rPr>
        <w:t xml:space="preserve">l University, Faculty of Law),  </w:t>
      </w:r>
      <w:r w:rsidRPr="00793101">
        <w:rPr>
          <w:sz w:val="16"/>
          <w:szCs w:val="16"/>
          <w:lang w:val="en-CA"/>
        </w:rPr>
        <w:t xml:space="preserve">Justin Mohammed (Canadian Centre for International Justice), Audrey </w:t>
      </w:r>
      <w:proofErr w:type="spellStart"/>
      <w:r w:rsidRPr="00793101">
        <w:rPr>
          <w:sz w:val="16"/>
          <w:szCs w:val="16"/>
          <w:lang w:val="en-CA"/>
        </w:rPr>
        <w:t>Mocle</w:t>
      </w:r>
      <w:proofErr w:type="spellEnd"/>
      <w:r w:rsidRPr="00793101">
        <w:rPr>
          <w:sz w:val="16"/>
          <w:szCs w:val="16"/>
          <w:lang w:val="en-CA"/>
        </w:rPr>
        <w:t xml:space="preserve"> (McGill University, Faculty of Law), Rachel </w:t>
      </w:r>
      <w:proofErr w:type="spellStart"/>
      <w:r w:rsidRPr="00793101">
        <w:rPr>
          <w:sz w:val="16"/>
          <w:szCs w:val="16"/>
          <w:lang w:val="en-CA"/>
        </w:rPr>
        <w:t>Rhéaume</w:t>
      </w:r>
      <w:proofErr w:type="spellEnd"/>
      <w:r w:rsidRPr="00793101">
        <w:rPr>
          <w:sz w:val="16"/>
          <w:szCs w:val="16"/>
          <w:lang w:val="en-CA"/>
        </w:rPr>
        <w:t xml:space="preserve"> (</w:t>
      </w:r>
      <w:proofErr w:type="spellStart"/>
      <w:r w:rsidRPr="00793101">
        <w:rPr>
          <w:sz w:val="16"/>
          <w:szCs w:val="16"/>
          <w:lang w:val="en-CA"/>
        </w:rPr>
        <w:t>Université</w:t>
      </w:r>
      <w:proofErr w:type="spellEnd"/>
      <w:r w:rsidRPr="00793101">
        <w:rPr>
          <w:sz w:val="16"/>
          <w:szCs w:val="16"/>
          <w:lang w:val="en-CA"/>
        </w:rPr>
        <w:t xml:space="preserve"> Laval, Clinique de droit </w:t>
      </w:r>
      <w:proofErr w:type="spellStart"/>
      <w:r w:rsidRPr="00793101">
        <w:rPr>
          <w:sz w:val="16"/>
          <w:szCs w:val="16"/>
          <w:lang w:val="en-CA"/>
        </w:rPr>
        <w:t>intenational</w:t>
      </w:r>
      <w:proofErr w:type="spellEnd"/>
      <w:r w:rsidRPr="00793101">
        <w:rPr>
          <w:sz w:val="16"/>
          <w:szCs w:val="16"/>
          <w:lang w:val="en-CA"/>
        </w:rPr>
        <w:t xml:space="preserve"> </w:t>
      </w:r>
      <w:proofErr w:type="spellStart"/>
      <w:r w:rsidRPr="00793101">
        <w:rPr>
          <w:sz w:val="16"/>
          <w:szCs w:val="16"/>
          <w:lang w:val="en-CA"/>
        </w:rPr>
        <w:t>pénal</w:t>
      </w:r>
      <w:proofErr w:type="spellEnd"/>
      <w:r w:rsidRPr="00793101">
        <w:rPr>
          <w:sz w:val="16"/>
          <w:szCs w:val="16"/>
          <w:lang w:val="en-CA"/>
        </w:rPr>
        <w:t xml:space="preserve"> et </w:t>
      </w:r>
      <w:proofErr w:type="spellStart"/>
      <w:r w:rsidRPr="00793101">
        <w:rPr>
          <w:sz w:val="16"/>
          <w:szCs w:val="16"/>
          <w:lang w:val="en-CA"/>
        </w:rPr>
        <w:t>humanitaire</w:t>
      </w:r>
      <w:proofErr w:type="spellEnd"/>
      <w:r w:rsidRPr="00793101">
        <w:rPr>
          <w:sz w:val="16"/>
          <w:szCs w:val="16"/>
          <w:lang w:val="en-CA"/>
        </w:rPr>
        <w:t xml:space="preserve">), Cimon </w:t>
      </w:r>
      <w:proofErr w:type="spellStart"/>
      <w:r w:rsidRPr="00793101">
        <w:rPr>
          <w:sz w:val="16"/>
          <w:szCs w:val="16"/>
          <w:lang w:val="en-CA"/>
        </w:rPr>
        <w:t>Sénécal</w:t>
      </w:r>
      <w:proofErr w:type="spellEnd"/>
      <w:r w:rsidRPr="00793101">
        <w:rPr>
          <w:sz w:val="16"/>
          <w:szCs w:val="16"/>
          <w:lang w:val="en-CA"/>
        </w:rPr>
        <w:t xml:space="preserve"> (</w:t>
      </w:r>
      <w:proofErr w:type="spellStart"/>
      <w:r w:rsidRPr="00793101">
        <w:rPr>
          <w:sz w:val="16"/>
          <w:szCs w:val="16"/>
          <w:lang w:val="en-CA"/>
        </w:rPr>
        <w:t>Université</w:t>
      </w:r>
      <w:proofErr w:type="spellEnd"/>
      <w:r w:rsidRPr="00793101">
        <w:rPr>
          <w:sz w:val="16"/>
          <w:szCs w:val="16"/>
          <w:lang w:val="en-CA"/>
        </w:rPr>
        <w:t xml:space="preserve"> Laval, Clinique de droit </w:t>
      </w:r>
      <w:proofErr w:type="spellStart"/>
      <w:r w:rsidRPr="00793101">
        <w:rPr>
          <w:sz w:val="16"/>
          <w:szCs w:val="16"/>
          <w:lang w:val="en-CA"/>
        </w:rPr>
        <w:t>intenational</w:t>
      </w:r>
      <w:proofErr w:type="spellEnd"/>
      <w:r w:rsidRPr="00793101">
        <w:rPr>
          <w:sz w:val="16"/>
          <w:szCs w:val="16"/>
          <w:lang w:val="en-CA"/>
        </w:rPr>
        <w:t xml:space="preserve"> </w:t>
      </w:r>
      <w:proofErr w:type="spellStart"/>
      <w:r w:rsidRPr="00793101">
        <w:rPr>
          <w:sz w:val="16"/>
          <w:szCs w:val="16"/>
          <w:lang w:val="en-CA"/>
        </w:rPr>
        <w:t>pénal</w:t>
      </w:r>
      <w:proofErr w:type="spellEnd"/>
      <w:r w:rsidRPr="00793101">
        <w:rPr>
          <w:sz w:val="16"/>
          <w:szCs w:val="16"/>
          <w:lang w:val="en-CA"/>
        </w:rPr>
        <w:t xml:space="preserve"> et </w:t>
      </w:r>
      <w:proofErr w:type="spellStart"/>
      <w:r w:rsidRPr="00793101">
        <w:rPr>
          <w:sz w:val="16"/>
          <w:szCs w:val="16"/>
          <w:lang w:val="en-CA"/>
        </w:rPr>
        <w:t>humanitaire</w:t>
      </w:r>
      <w:proofErr w:type="spellEnd"/>
      <w:r w:rsidRPr="00793101">
        <w:rPr>
          <w:sz w:val="16"/>
          <w:szCs w:val="16"/>
          <w:lang w:val="en-CA"/>
        </w:rPr>
        <w:t>), William Shipley (McGill University, Faculty of Law), Valérie Simard-Croteau (</w:t>
      </w:r>
      <w:proofErr w:type="spellStart"/>
      <w:r w:rsidRPr="00793101">
        <w:rPr>
          <w:sz w:val="16"/>
          <w:szCs w:val="16"/>
          <w:lang w:val="en-CA"/>
        </w:rPr>
        <w:t>Université</w:t>
      </w:r>
      <w:proofErr w:type="spellEnd"/>
      <w:r w:rsidRPr="00793101">
        <w:rPr>
          <w:sz w:val="16"/>
          <w:szCs w:val="16"/>
          <w:lang w:val="en-CA"/>
        </w:rPr>
        <w:t xml:space="preserve"> Laval, Clinique de droit </w:t>
      </w:r>
      <w:proofErr w:type="spellStart"/>
      <w:r w:rsidRPr="00793101">
        <w:rPr>
          <w:sz w:val="16"/>
          <w:szCs w:val="16"/>
          <w:lang w:val="en-CA"/>
        </w:rPr>
        <w:t>intenational</w:t>
      </w:r>
      <w:proofErr w:type="spellEnd"/>
      <w:r w:rsidRPr="00793101">
        <w:rPr>
          <w:sz w:val="16"/>
          <w:szCs w:val="16"/>
          <w:lang w:val="en-CA"/>
        </w:rPr>
        <w:t xml:space="preserve"> </w:t>
      </w:r>
      <w:proofErr w:type="spellStart"/>
      <w:r w:rsidRPr="00793101">
        <w:rPr>
          <w:sz w:val="16"/>
          <w:szCs w:val="16"/>
          <w:lang w:val="en-CA"/>
        </w:rPr>
        <w:t>pénal</w:t>
      </w:r>
      <w:proofErr w:type="spellEnd"/>
      <w:r w:rsidRPr="00793101">
        <w:rPr>
          <w:sz w:val="16"/>
          <w:szCs w:val="16"/>
          <w:lang w:val="en-CA"/>
        </w:rPr>
        <w:t xml:space="preserve"> et </w:t>
      </w:r>
      <w:proofErr w:type="spellStart"/>
      <w:r w:rsidRPr="00793101">
        <w:rPr>
          <w:sz w:val="16"/>
          <w:szCs w:val="16"/>
          <w:lang w:val="en-CA"/>
        </w:rPr>
        <w:t>humanitaire</w:t>
      </w:r>
      <w:proofErr w:type="spellEnd"/>
      <w:r w:rsidRPr="00793101">
        <w:rPr>
          <w:sz w:val="16"/>
          <w:szCs w:val="16"/>
          <w:lang w:val="en-CA"/>
        </w:rPr>
        <w:t xml:space="preserve">), </w:t>
      </w:r>
      <w:r>
        <w:rPr>
          <w:sz w:val="16"/>
          <w:szCs w:val="16"/>
          <w:lang w:val="en-CA"/>
        </w:rPr>
        <w:t xml:space="preserve"> </w:t>
      </w:r>
      <w:r w:rsidRPr="00793101">
        <w:rPr>
          <w:sz w:val="16"/>
          <w:szCs w:val="16"/>
          <w:lang w:val="en-CA"/>
        </w:rPr>
        <w:t xml:space="preserve">and </w:t>
      </w:r>
      <w:proofErr w:type="spellStart"/>
      <w:r w:rsidRPr="00793101">
        <w:rPr>
          <w:sz w:val="16"/>
          <w:szCs w:val="16"/>
          <w:lang w:val="en-CA"/>
        </w:rPr>
        <w:t>Émilie</w:t>
      </w:r>
      <w:proofErr w:type="spellEnd"/>
      <w:r w:rsidRPr="00793101">
        <w:rPr>
          <w:sz w:val="16"/>
          <w:szCs w:val="16"/>
          <w:lang w:val="en-CA"/>
        </w:rPr>
        <w:t xml:space="preserve"> Tremblay (</w:t>
      </w:r>
      <w:proofErr w:type="spellStart"/>
      <w:r w:rsidRPr="00793101">
        <w:rPr>
          <w:sz w:val="16"/>
          <w:szCs w:val="16"/>
          <w:lang w:val="en-CA"/>
        </w:rPr>
        <w:t>Université</w:t>
      </w:r>
      <w:proofErr w:type="spellEnd"/>
      <w:r w:rsidRPr="00793101">
        <w:rPr>
          <w:sz w:val="16"/>
          <w:szCs w:val="16"/>
          <w:lang w:val="en-CA"/>
        </w:rPr>
        <w:t xml:space="preserve"> Laval, Clinique de droit </w:t>
      </w:r>
      <w:proofErr w:type="spellStart"/>
      <w:r w:rsidRPr="00793101">
        <w:rPr>
          <w:sz w:val="16"/>
          <w:szCs w:val="16"/>
          <w:lang w:val="en-CA"/>
        </w:rPr>
        <w:t>intenational</w:t>
      </w:r>
      <w:proofErr w:type="spellEnd"/>
      <w:r w:rsidRPr="00793101">
        <w:rPr>
          <w:sz w:val="16"/>
          <w:szCs w:val="16"/>
          <w:lang w:val="en-CA"/>
        </w:rPr>
        <w:t xml:space="preserve"> </w:t>
      </w:r>
      <w:proofErr w:type="spellStart"/>
      <w:r w:rsidRPr="00793101">
        <w:rPr>
          <w:sz w:val="16"/>
          <w:szCs w:val="16"/>
          <w:lang w:val="en-CA"/>
        </w:rPr>
        <w:t>pénal</w:t>
      </w:r>
      <w:proofErr w:type="spellEnd"/>
      <w:r w:rsidRPr="00793101">
        <w:rPr>
          <w:sz w:val="16"/>
          <w:szCs w:val="16"/>
          <w:lang w:val="en-CA"/>
        </w:rPr>
        <w:t xml:space="preserve"> et </w:t>
      </w:r>
      <w:proofErr w:type="spellStart"/>
      <w:r w:rsidRPr="00793101">
        <w:rPr>
          <w:sz w:val="16"/>
          <w:szCs w:val="16"/>
          <w:lang w:val="en-CA"/>
        </w:rPr>
        <w:t>humanitaire</w:t>
      </w:r>
      <w:proofErr w:type="spellEnd"/>
      <w:r w:rsidRPr="00793101">
        <w:rPr>
          <w:sz w:val="16"/>
          <w:szCs w:val="16"/>
          <w:lang w:val="en-CA"/>
        </w:rPr>
        <w:t xml:space="preserve">). Thanks are due to Christiane </w:t>
      </w:r>
      <w:proofErr w:type="spellStart"/>
      <w:r w:rsidRPr="00793101">
        <w:rPr>
          <w:sz w:val="16"/>
          <w:szCs w:val="16"/>
          <w:lang w:val="en-CA"/>
        </w:rPr>
        <w:t>Bossé</w:t>
      </w:r>
      <w:proofErr w:type="spellEnd"/>
      <w:r w:rsidRPr="00793101">
        <w:rPr>
          <w:sz w:val="16"/>
          <w:szCs w:val="16"/>
          <w:lang w:val="en-CA"/>
        </w:rPr>
        <w:t xml:space="preserve"> (University of Ottawa, Faculty of Law)</w:t>
      </w:r>
      <w:r>
        <w:rPr>
          <w:sz w:val="16"/>
          <w:szCs w:val="16"/>
          <w:lang w:val="en-CA"/>
        </w:rPr>
        <w:t>,</w:t>
      </w:r>
      <w:r w:rsidRPr="00793101">
        <w:rPr>
          <w:sz w:val="16"/>
          <w:szCs w:val="16"/>
          <w:lang w:val="en-CA"/>
        </w:rPr>
        <w:t xml:space="preserve"> Carrie Levitt</w:t>
      </w:r>
      <w:r>
        <w:rPr>
          <w:sz w:val="16"/>
          <w:szCs w:val="16"/>
          <w:lang w:val="en-CA"/>
        </w:rPr>
        <w:t xml:space="preserve"> (Osgoode Hall Law School), and Verity Thomson (McGill Faculty of Law)</w:t>
      </w:r>
      <w:r w:rsidRPr="00793101">
        <w:rPr>
          <w:sz w:val="16"/>
          <w:szCs w:val="16"/>
          <w:lang w:val="en-CA"/>
        </w:rPr>
        <w:t xml:space="preserve"> for editing and proofreading assistance. Amnesty International wishes to thank Prof. Robert Currie (Dalhousie University, School of Law), Matt Eisenbrandt (Canadian Centre for International Justice),</w:t>
      </w:r>
      <w:r>
        <w:rPr>
          <w:sz w:val="16"/>
          <w:szCs w:val="16"/>
          <w:lang w:val="en-CA"/>
        </w:rPr>
        <w:t xml:space="preserve"> </w:t>
      </w:r>
      <w:r w:rsidRPr="00793101">
        <w:rPr>
          <w:sz w:val="16"/>
          <w:szCs w:val="16"/>
          <w:lang w:val="en-CA"/>
        </w:rPr>
        <w:t>Prof. Fannie Lafontaine (</w:t>
      </w:r>
      <w:proofErr w:type="spellStart"/>
      <w:r w:rsidRPr="00793101">
        <w:rPr>
          <w:sz w:val="16"/>
          <w:szCs w:val="16"/>
          <w:lang w:val="en-CA"/>
        </w:rPr>
        <w:t>Université</w:t>
      </w:r>
      <w:proofErr w:type="spellEnd"/>
      <w:r w:rsidRPr="00793101">
        <w:rPr>
          <w:sz w:val="16"/>
          <w:szCs w:val="16"/>
          <w:lang w:val="en-CA"/>
        </w:rPr>
        <w:t xml:space="preserve"> Laval, Faculty of Law)</w:t>
      </w:r>
      <w:r>
        <w:rPr>
          <w:sz w:val="16"/>
          <w:szCs w:val="16"/>
          <w:lang w:val="en-CA"/>
        </w:rPr>
        <w:t xml:space="preserve">, and Dr. Joseph </w:t>
      </w:r>
      <w:proofErr w:type="spellStart"/>
      <w:r>
        <w:rPr>
          <w:sz w:val="16"/>
          <w:szCs w:val="16"/>
          <w:lang w:val="en-CA"/>
        </w:rPr>
        <w:t>Rikhof</w:t>
      </w:r>
      <w:proofErr w:type="spellEnd"/>
      <w:r w:rsidRPr="00793101">
        <w:rPr>
          <w:sz w:val="16"/>
          <w:szCs w:val="16"/>
          <w:lang w:val="en-CA"/>
        </w:rPr>
        <w:t xml:space="preserve"> for their thoughtful and helpful comments and suggestions on </w:t>
      </w:r>
      <w:r w:rsidRPr="00C7376E">
        <w:rPr>
          <w:sz w:val="16"/>
          <w:szCs w:val="16"/>
          <w:lang w:val="en-CA"/>
        </w:rPr>
        <w:t xml:space="preserve">the report during the drafting stage. In addition, Amnesty International is grateful for the very helpful cooperation and assistance provided by members of the Crimes against Humanity and War Crimes Section in Canada’s Department of Justice. Every effort was made to ensure that all the information in this paper was accurate as of </w:t>
      </w:r>
      <w:r>
        <w:rPr>
          <w:sz w:val="16"/>
          <w:szCs w:val="16"/>
          <w:lang w:val="en-CA"/>
        </w:rPr>
        <w:t>January 2020</w:t>
      </w:r>
      <w:r w:rsidRPr="00C7376E">
        <w:rPr>
          <w:sz w:val="16"/>
          <w:szCs w:val="16"/>
          <w:lang w:val="en-CA"/>
        </w:rPr>
        <w:t xml:space="preserve">.  However, for an authoritative interpretation of Canadian law, counsel authorized to practice in Canada should be consulted. Amnesty International welcomes any comments or corrections, which should be sent to </w:t>
      </w:r>
      <w:r>
        <w:rPr>
          <w:rStyle w:val="Hyperlink"/>
          <w:bCs/>
          <w:iCs/>
          <w:sz w:val="16"/>
          <w:szCs w:val="16"/>
          <w:lang w:val="en-CA"/>
        </w:rPr>
        <w:t>ijteam@amnesty.org</w:t>
      </w:r>
      <w:r w:rsidRPr="00793101">
        <w:rPr>
          <w:sz w:val="16"/>
          <w:szCs w:val="16"/>
          <w:lang w:val="en-CA"/>
        </w:rPr>
        <w:t xml:space="preserve">.                                                                                                                                                                                                                                                                                                                  </w:t>
      </w:r>
    </w:p>
  </w:footnote>
  <w:footnote w:id="2">
    <w:p w14:paraId="19DCC92B" w14:textId="77777777" w:rsidR="00356280" w:rsidRPr="00793101" w:rsidRDefault="00356280" w:rsidP="000D6C42">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Other obstacles to prosecution, not specifically related to prosecutions based on universal jurisdiction, such as general economic, </w:t>
      </w:r>
      <w:proofErr w:type="gramStart"/>
      <w:r w:rsidRPr="00793101">
        <w:rPr>
          <w:szCs w:val="16"/>
          <w:lang w:val="en-CA"/>
        </w:rPr>
        <w:t>social</w:t>
      </w:r>
      <w:proofErr w:type="gramEnd"/>
      <w:r w:rsidRPr="00793101">
        <w:rPr>
          <w:szCs w:val="16"/>
          <w:lang w:val="en-CA"/>
        </w:rPr>
        <w:t xml:space="preserve"> and cultural barriers to access to justice in the state exercising universal jurisdiction, are not addressed in this paper.</w:t>
      </w:r>
    </w:p>
  </w:footnote>
  <w:footnote w:id="3">
    <w:p w14:paraId="388CA77F" w14:textId="76ECB57C" w:rsidR="00356280" w:rsidRPr="00834B0C" w:rsidRDefault="00356280" w:rsidP="000D6C42">
      <w:pPr>
        <w:pStyle w:val="FootnoteText"/>
        <w:spacing w:after="0" w:line="240" w:lineRule="auto"/>
        <w:rPr>
          <w:lang w:val="en-CA"/>
        </w:rPr>
      </w:pPr>
      <w:r>
        <w:rPr>
          <w:rStyle w:val="FootnoteReference"/>
        </w:rPr>
        <w:footnoteRef/>
      </w:r>
      <w:r>
        <w:t xml:space="preserve"> </w:t>
      </w:r>
      <w:r>
        <w:rPr>
          <w:lang w:val="en-CA"/>
        </w:rPr>
        <w:t xml:space="preserve">Department of Justice Evaluation Division Corporate Services Branch, </w:t>
      </w:r>
      <w:r>
        <w:rPr>
          <w:i/>
          <w:lang w:val="en-CA"/>
        </w:rPr>
        <w:t>Crimes Against Humanity and War Crimes Program Evaluation: Final Report</w:t>
      </w:r>
      <w:r>
        <w:rPr>
          <w:lang w:val="en-CA"/>
        </w:rPr>
        <w:t xml:space="preserve">, August 2016. </w:t>
      </w:r>
    </w:p>
  </w:footnote>
  <w:footnote w:id="4">
    <w:p w14:paraId="461E2EF8" w14:textId="77777777" w:rsidR="00356280" w:rsidRPr="00793101" w:rsidRDefault="00356280" w:rsidP="00A968FF">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Canada Border Services Agency et al., </w:t>
      </w:r>
      <w:r w:rsidRPr="00793101">
        <w:rPr>
          <w:bCs/>
          <w:i/>
          <w:szCs w:val="16"/>
          <w:lang w:val="en-US"/>
        </w:rPr>
        <w:t>Eleventh Annual Report: Canada’s Program on Crimes Against Humanity and War Crimes, 2007-2008</w:t>
      </w:r>
      <w:r w:rsidRPr="00793101">
        <w:rPr>
          <w:bCs/>
          <w:szCs w:val="16"/>
          <w:lang w:val="en-US"/>
        </w:rPr>
        <w:t xml:space="preserve"> (Ottawa: Canada Border Services Agency et al., 2008) at 2.  </w:t>
      </w:r>
    </w:p>
  </w:footnote>
  <w:footnote w:id="5">
    <w:p w14:paraId="2011B8D2" w14:textId="08100DF7" w:rsidR="00356280" w:rsidRPr="00212DB9" w:rsidRDefault="00356280" w:rsidP="00C7376E">
      <w:pPr>
        <w:pStyle w:val="FootnoteText"/>
        <w:spacing w:after="0" w:line="240" w:lineRule="auto"/>
        <w:rPr>
          <w:lang w:val="en-CA"/>
        </w:rPr>
      </w:pPr>
      <w:r>
        <w:rPr>
          <w:rStyle w:val="FootnoteReference"/>
        </w:rPr>
        <w:footnoteRef/>
      </w:r>
      <w:r>
        <w:t xml:space="preserve"> </w:t>
      </w:r>
      <w:r>
        <w:rPr>
          <w:i/>
          <w:lang w:val="en-CA"/>
        </w:rPr>
        <w:t>Crimes Against Humanity and War Crimes Program Evaluation: Final Report</w:t>
      </w:r>
      <w:r>
        <w:rPr>
          <w:lang w:val="en-CA"/>
        </w:rPr>
        <w:t xml:space="preserve">, 2016, </w:t>
      </w:r>
      <w:r w:rsidRPr="0077043E">
        <w:rPr>
          <w:i/>
          <w:lang w:val="en-CA"/>
        </w:rPr>
        <w:t>supra</w:t>
      </w:r>
      <w:r>
        <w:rPr>
          <w:lang w:val="en-CA"/>
        </w:rPr>
        <w:t xml:space="preserve"> note </w:t>
      </w:r>
      <w:r>
        <w:rPr>
          <w:lang w:val="en-CA"/>
        </w:rPr>
        <w:fldChar w:fldCharType="begin"/>
      </w:r>
      <w:r>
        <w:rPr>
          <w:lang w:val="en-CA"/>
        </w:rPr>
        <w:instrText xml:space="preserve"> NOTEREF _Ref498080233 \h </w:instrText>
      </w:r>
      <w:r>
        <w:rPr>
          <w:lang w:val="en-CA"/>
        </w:rPr>
      </w:r>
      <w:r>
        <w:rPr>
          <w:lang w:val="en-CA"/>
        </w:rPr>
        <w:fldChar w:fldCharType="separate"/>
      </w:r>
      <w:r>
        <w:rPr>
          <w:lang w:val="en-CA"/>
        </w:rPr>
        <w:t>3</w:t>
      </w:r>
      <w:r>
        <w:rPr>
          <w:lang w:val="en-CA"/>
        </w:rPr>
        <w:fldChar w:fldCharType="end"/>
      </w:r>
      <w:r>
        <w:rPr>
          <w:lang w:val="en-CA"/>
        </w:rPr>
        <w:t xml:space="preserve">, </w:t>
      </w:r>
      <w:proofErr w:type="spellStart"/>
      <w:r>
        <w:rPr>
          <w:lang w:val="en-CA"/>
        </w:rPr>
        <w:t>i</w:t>
      </w:r>
      <w:proofErr w:type="spellEnd"/>
      <w:r>
        <w:rPr>
          <w:lang w:val="en-CA"/>
        </w:rPr>
        <w:t>.</w:t>
      </w:r>
    </w:p>
  </w:footnote>
  <w:footnote w:id="6">
    <w:p w14:paraId="0E1FF266" w14:textId="77777777" w:rsidR="00356280" w:rsidRPr="00793101" w:rsidRDefault="00356280" w:rsidP="00A968FF">
      <w:pPr>
        <w:pStyle w:val="FootnoteText"/>
        <w:spacing w:after="0" w:line="240" w:lineRule="auto"/>
        <w:rPr>
          <w:iCs/>
          <w:szCs w:val="16"/>
          <w:lang w:val="en-CA"/>
        </w:rPr>
      </w:pPr>
      <w:r w:rsidRPr="00793101">
        <w:rPr>
          <w:rStyle w:val="FootnoteReference"/>
          <w:szCs w:val="16"/>
          <w:lang w:val="en-CA"/>
        </w:rPr>
        <w:footnoteRef/>
      </w:r>
      <w:r w:rsidRPr="00793101">
        <w:rPr>
          <w:szCs w:val="16"/>
          <w:lang w:val="en-CA"/>
        </w:rPr>
        <w:t xml:space="preserve"> Amnesty International, </w:t>
      </w:r>
      <w:r w:rsidRPr="00793101">
        <w:rPr>
          <w:i/>
          <w:szCs w:val="16"/>
          <w:lang w:val="en-CA"/>
        </w:rPr>
        <w:t>Universal jurisdiction: The duty of states to enact and enforce legislation</w:t>
      </w:r>
      <w:r w:rsidRPr="00793101">
        <w:rPr>
          <w:szCs w:val="16"/>
          <w:lang w:val="en-CA"/>
        </w:rPr>
        <w:t>, AI Index: 53/014/2001 (Amnesty International, 2001). S</w:t>
      </w:r>
      <w:r>
        <w:rPr>
          <w:szCs w:val="16"/>
          <w:lang w:val="en-CA"/>
        </w:rPr>
        <w:t>even</w:t>
      </w:r>
      <w:r w:rsidRPr="00793101">
        <w:rPr>
          <w:szCs w:val="16"/>
          <w:lang w:val="en-CA"/>
        </w:rPr>
        <w:t xml:space="preserve"> of the papers in the series have been published so far (Bulgaria, </w:t>
      </w:r>
      <w:r>
        <w:rPr>
          <w:szCs w:val="16"/>
          <w:lang w:val="en-CA"/>
        </w:rPr>
        <w:t xml:space="preserve">Burkina Faso, </w:t>
      </w:r>
      <w:r w:rsidRPr="00793101">
        <w:rPr>
          <w:szCs w:val="16"/>
          <w:lang w:val="en-CA"/>
        </w:rPr>
        <w:t xml:space="preserve">Germany, Solomon Islands, Spain, </w:t>
      </w:r>
      <w:proofErr w:type="gramStart"/>
      <w:r>
        <w:rPr>
          <w:szCs w:val="16"/>
          <w:lang w:val="en-CA"/>
        </w:rPr>
        <w:t>Sweden</w:t>
      </w:r>
      <w:proofErr w:type="gramEnd"/>
      <w:r>
        <w:rPr>
          <w:szCs w:val="16"/>
          <w:lang w:val="en-CA"/>
        </w:rPr>
        <w:t xml:space="preserve"> </w:t>
      </w:r>
      <w:r w:rsidRPr="00793101">
        <w:rPr>
          <w:szCs w:val="16"/>
          <w:lang w:val="en-CA"/>
        </w:rPr>
        <w:t>and Venezuela) (see Appendix I for list and links).</w:t>
      </w:r>
    </w:p>
  </w:footnote>
  <w:footnote w:id="7">
    <w:p w14:paraId="43A7334A" w14:textId="7055DC52" w:rsidR="00356280" w:rsidRPr="00417CF4" w:rsidRDefault="00356280">
      <w:pPr>
        <w:pStyle w:val="FootnoteText"/>
        <w:rPr>
          <w:lang w:val="en-CA"/>
        </w:rPr>
      </w:pPr>
      <w:r>
        <w:rPr>
          <w:rStyle w:val="FootnoteReference"/>
        </w:rPr>
        <w:footnoteRef/>
      </w:r>
      <w:r>
        <w:t xml:space="preserve"> </w:t>
      </w:r>
      <w:r w:rsidRPr="00417CF4">
        <w:t xml:space="preserve">Truth and Reconciliation Commission of Canada, </w:t>
      </w:r>
      <w:r w:rsidRPr="00417CF4">
        <w:rPr>
          <w:i/>
          <w:iCs/>
        </w:rPr>
        <w:t>Honouring the Truth, Reconciling for the Future: Summary of the Final Report of the Truth and Reconciliation Commission of Canada</w:t>
      </w:r>
      <w:r w:rsidRPr="00417CF4">
        <w:t xml:space="preserve"> (</w:t>
      </w:r>
      <w:r>
        <w:t xml:space="preserve">2015) </w:t>
      </w:r>
      <w:r w:rsidRPr="00417CF4">
        <w:t>online</w:t>
      </w:r>
      <w:r>
        <w:t xml:space="preserve">: </w:t>
      </w:r>
      <w:hyperlink r:id="rId1" w:history="1">
        <w:r w:rsidRPr="006F12D1">
          <w:rPr>
            <w:rStyle w:val="Hyperlink"/>
          </w:rPr>
          <w:t>http://www.trc.ca/assets/pdf/Honouring_the_Truth_Reconciling_for_the_Future_July_23_2015.pdf</w:t>
        </w:r>
      </w:hyperlink>
      <w:r>
        <w:t xml:space="preserve">.  </w:t>
      </w:r>
    </w:p>
  </w:footnote>
  <w:footnote w:id="8">
    <w:p w14:paraId="08EE1136" w14:textId="32E6D1B8" w:rsidR="00356280" w:rsidRPr="005137FC" w:rsidRDefault="00356280">
      <w:pPr>
        <w:pStyle w:val="FootnoteText"/>
        <w:rPr>
          <w:lang w:val="en-CA"/>
        </w:rPr>
      </w:pPr>
      <w:r>
        <w:rPr>
          <w:rStyle w:val="FootnoteReference"/>
        </w:rPr>
        <w:footnoteRef/>
      </w:r>
      <w:r>
        <w:t xml:space="preserve"> National Inquiry into Missing and Murdered Indigenous Women and Girls, </w:t>
      </w:r>
      <w:r w:rsidRPr="005137FC">
        <w:t>Reclaiming Power and Place: The Final Report of the National Inquiry into Missing and Murdered Indigenous Women and Girls</w:t>
      </w:r>
      <w:r>
        <w:t xml:space="preserve"> (2019) online: &lt;</w:t>
      </w:r>
      <w:r w:rsidRPr="005137FC">
        <w:t>https://www.mmiwg-ffada.ca/final-report/</w:t>
      </w:r>
      <w:r>
        <w:t>&gt;.</w:t>
      </w:r>
    </w:p>
  </w:footnote>
  <w:footnote w:id="9">
    <w:p w14:paraId="7AA2F344" w14:textId="77777777" w:rsidR="00356280" w:rsidRPr="00793101" w:rsidRDefault="00356280" w:rsidP="0040644D">
      <w:pPr>
        <w:pStyle w:val="Style4"/>
        <w:spacing w:after="0" w:line="240" w:lineRule="auto"/>
        <w:rPr>
          <w:szCs w:val="16"/>
          <w:lang w:val="en-CA"/>
        </w:rPr>
      </w:pPr>
      <w:r w:rsidRPr="00793101">
        <w:rPr>
          <w:rStyle w:val="FootnoteReference"/>
          <w:szCs w:val="16"/>
          <w:lang w:val="en-CA"/>
        </w:rPr>
        <w:footnoteRef/>
      </w:r>
      <w:r w:rsidRPr="00793101">
        <w:rPr>
          <w:szCs w:val="16"/>
          <w:lang w:val="en-CA"/>
        </w:rPr>
        <w:t xml:space="preserve"> According to the dualist approach, international and national law are two separate legal systems. International law would apply within a state only to the extent that it has been adopted by that state’s own national law, not as international law. According to the monist approach, international and national law are part of a single legal system and international law can be directly applied by national courts. See generally, Robert Jennings &amp; Arthur Watts, </w:t>
      </w:r>
      <w:r w:rsidRPr="00793101">
        <w:rPr>
          <w:i/>
          <w:szCs w:val="16"/>
          <w:lang w:val="en-CA"/>
        </w:rPr>
        <w:t>Oppenheim’s International Law</w:t>
      </w:r>
      <w:r w:rsidRPr="00793101">
        <w:rPr>
          <w:szCs w:val="16"/>
          <w:lang w:val="en-CA"/>
        </w:rPr>
        <w:t xml:space="preserve">, (London and New York: Longman, 1992) [Jennings &amp; Watts] at 53-54. See also </w:t>
      </w:r>
      <w:r w:rsidRPr="00793101">
        <w:rPr>
          <w:i/>
          <w:szCs w:val="16"/>
          <w:lang w:val="en-CA"/>
        </w:rPr>
        <w:t xml:space="preserve">R v </w:t>
      </w:r>
      <w:proofErr w:type="spellStart"/>
      <w:r w:rsidRPr="00793101">
        <w:rPr>
          <w:i/>
          <w:szCs w:val="16"/>
          <w:lang w:val="en-CA"/>
        </w:rPr>
        <w:t>Hape</w:t>
      </w:r>
      <w:proofErr w:type="spellEnd"/>
      <w:r w:rsidRPr="00793101">
        <w:rPr>
          <w:i/>
          <w:szCs w:val="16"/>
          <w:lang w:val="en-CA"/>
        </w:rPr>
        <w:t xml:space="preserve">, </w:t>
      </w:r>
      <w:r w:rsidRPr="00793101">
        <w:rPr>
          <w:szCs w:val="16"/>
          <w:lang w:val="en-US"/>
        </w:rPr>
        <w:t>[2007] SCJ No 26,</w:t>
      </w:r>
      <w:r w:rsidRPr="00793101">
        <w:rPr>
          <w:i/>
          <w:szCs w:val="16"/>
          <w:lang w:val="en-CA"/>
        </w:rPr>
        <w:t xml:space="preserve"> </w:t>
      </w:r>
      <w:r w:rsidRPr="00793101">
        <w:rPr>
          <w:szCs w:val="16"/>
          <w:lang w:val="en-US"/>
        </w:rPr>
        <w:t>[</w:t>
      </w:r>
      <w:r w:rsidRPr="00793101">
        <w:rPr>
          <w:szCs w:val="16"/>
          <w:lang w:val="en-CA"/>
        </w:rPr>
        <w:t>2007] 2 SCR 292 [</w:t>
      </w:r>
      <w:proofErr w:type="spellStart"/>
      <w:r w:rsidRPr="00793101">
        <w:rPr>
          <w:i/>
          <w:szCs w:val="16"/>
          <w:lang w:val="en-CA"/>
        </w:rPr>
        <w:t>Hape</w:t>
      </w:r>
      <w:proofErr w:type="spellEnd"/>
      <w:r w:rsidRPr="00793101">
        <w:rPr>
          <w:szCs w:val="16"/>
          <w:lang w:val="en-CA"/>
        </w:rPr>
        <w:t xml:space="preserve">]. </w:t>
      </w:r>
    </w:p>
  </w:footnote>
  <w:footnote w:id="10">
    <w:p w14:paraId="585B6B17" w14:textId="77777777" w:rsidR="00356280" w:rsidRPr="00793101" w:rsidRDefault="00356280" w:rsidP="0040644D">
      <w:pPr>
        <w:pStyle w:val="FootnoteText"/>
        <w:spacing w:after="0" w:line="240" w:lineRule="auto"/>
        <w:contextualSpacing/>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Criminal Code</w:t>
      </w:r>
      <w:r w:rsidRPr="00793101">
        <w:rPr>
          <w:color w:val="auto"/>
          <w:szCs w:val="16"/>
          <w:lang w:val="en-CA"/>
        </w:rPr>
        <w:t>, RCS 1985, c C-46, s 6 and 9 [</w:t>
      </w:r>
      <w:r w:rsidRPr="00793101">
        <w:rPr>
          <w:i/>
          <w:color w:val="auto"/>
          <w:szCs w:val="16"/>
          <w:lang w:val="en-CA"/>
        </w:rPr>
        <w:t>Criminal Code</w:t>
      </w:r>
      <w:r w:rsidRPr="00793101">
        <w:rPr>
          <w:color w:val="auto"/>
          <w:szCs w:val="16"/>
          <w:lang w:val="en-CA"/>
        </w:rPr>
        <w:t>].</w:t>
      </w:r>
    </w:p>
  </w:footnote>
  <w:footnote w:id="11">
    <w:p w14:paraId="46284711" w14:textId="77777777" w:rsidR="00356280" w:rsidRPr="00793101" w:rsidRDefault="00356280" w:rsidP="0040644D">
      <w:pPr>
        <w:pStyle w:val="FootnoteText"/>
        <w:spacing w:after="0" w:line="240" w:lineRule="auto"/>
        <w:contextualSpacing/>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Canadian Charter of Rights and Freedoms</w:t>
      </w:r>
      <w:r w:rsidRPr="00793101">
        <w:rPr>
          <w:color w:val="auto"/>
          <w:szCs w:val="16"/>
          <w:lang w:val="en-CA"/>
        </w:rPr>
        <w:t xml:space="preserve">, Part I of the </w:t>
      </w:r>
      <w:r w:rsidRPr="00793101">
        <w:rPr>
          <w:i/>
          <w:color w:val="auto"/>
          <w:szCs w:val="16"/>
          <w:lang w:val="en-CA"/>
        </w:rPr>
        <w:t>Constitution Act, 1982</w:t>
      </w:r>
      <w:r w:rsidRPr="00793101">
        <w:rPr>
          <w:color w:val="auto"/>
          <w:szCs w:val="16"/>
          <w:lang w:val="en-CA"/>
        </w:rPr>
        <w:t xml:space="preserve">, Schedule B to the </w:t>
      </w:r>
      <w:r w:rsidRPr="00793101">
        <w:rPr>
          <w:i/>
          <w:color w:val="auto"/>
          <w:szCs w:val="16"/>
          <w:lang w:val="en-CA"/>
        </w:rPr>
        <w:t>Canada Act 1982</w:t>
      </w:r>
      <w:r w:rsidRPr="00793101">
        <w:rPr>
          <w:color w:val="auto"/>
          <w:szCs w:val="16"/>
          <w:lang w:val="en-CA"/>
        </w:rPr>
        <w:t xml:space="preserve"> (UK), 1982, c 11 [</w:t>
      </w:r>
      <w:r w:rsidRPr="00793101">
        <w:rPr>
          <w:i/>
          <w:color w:val="auto"/>
          <w:szCs w:val="16"/>
          <w:lang w:val="en-CA"/>
        </w:rPr>
        <w:t>Canadian Charter of Rights and Freedoms</w:t>
      </w:r>
      <w:r w:rsidRPr="00793101">
        <w:rPr>
          <w:color w:val="auto"/>
          <w:szCs w:val="16"/>
          <w:lang w:val="en-CA"/>
        </w:rPr>
        <w:t xml:space="preserve">] s 11(g). </w:t>
      </w:r>
    </w:p>
  </w:footnote>
  <w:footnote w:id="12">
    <w:p w14:paraId="123B3EB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Crimes Against Humanity and War Crimes Act</w:t>
      </w:r>
      <w:r w:rsidRPr="00793101">
        <w:rPr>
          <w:szCs w:val="16"/>
        </w:rPr>
        <w:t xml:space="preserve">, </w:t>
      </w:r>
      <w:r w:rsidRPr="00793101">
        <w:rPr>
          <w:bCs/>
          <w:szCs w:val="16"/>
          <w:lang w:val="en-US"/>
        </w:rPr>
        <w:t>SC 2000, c 24 [</w:t>
      </w:r>
      <w:r w:rsidRPr="00793101">
        <w:rPr>
          <w:bCs/>
          <w:i/>
          <w:szCs w:val="16"/>
          <w:lang w:val="en-US"/>
        </w:rPr>
        <w:t>Crimes Against Humanity and War Crimes Act</w:t>
      </w:r>
      <w:r w:rsidRPr="00793101">
        <w:rPr>
          <w:bCs/>
          <w:szCs w:val="16"/>
          <w:lang w:val="en-US"/>
        </w:rPr>
        <w:t>].</w:t>
      </w:r>
    </w:p>
  </w:footnote>
  <w:footnote w:id="13">
    <w:p w14:paraId="05E24076"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bCs/>
          <w:i/>
          <w:szCs w:val="16"/>
          <w:lang w:val="en-CA"/>
        </w:rPr>
        <w:t>Vienna Convention on the Law of Treaties</w:t>
      </w:r>
      <w:r w:rsidRPr="00793101">
        <w:rPr>
          <w:bCs/>
          <w:szCs w:val="16"/>
          <w:lang w:val="en-CA"/>
        </w:rPr>
        <w:t>, 23 May 1969, 1155 UNTS 331 (entered into force 27 January 1980) art 27 [</w:t>
      </w:r>
      <w:r w:rsidRPr="00793101">
        <w:rPr>
          <w:bCs/>
          <w:i/>
          <w:szCs w:val="16"/>
          <w:lang w:val="en-CA"/>
        </w:rPr>
        <w:t>Vienna Convention on the Law of Treaties</w:t>
      </w:r>
      <w:r w:rsidRPr="00793101">
        <w:rPr>
          <w:bCs/>
          <w:szCs w:val="16"/>
          <w:lang w:val="en-CA"/>
        </w:rPr>
        <w:t>]</w:t>
      </w:r>
      <w:r w:rsidRPr="00793101">
        <w:rPr>
          <w:szCs w:val="16"/>
          <w:lang w:val="en-CA"/>
        </w:rPr>
        <w:t xml:space="preserve">. </w:t>
      </w:r>
    </w:p>
  </w:footnote>
  <w:footnote w:id="14">
    <w:p w14:paraId="53CFAF01"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fr-CA"/>
        </w:rPr>
        <w:t xml:space="preserve"> </w:t>
      </w:r>
      <w:proofErr w:type="spellStart"/>
      <w:r w:rsidRPr="000C692A">
        <w:rPr>
          <w:szCs w:val="16"/>
          <w:lang w:val="fr-CA"/>
        </w:rPr>
        <w:t>Annemie</w:t>
      </w:r>
      <w:proofErr w:type="spellEnd"/>
      <w:r w:rsidRPr="000C692A">
        <w:rPr>
          <w:szCs w:val="16"/>
          <w:lang w:val="fr-CA"/>
        </w:rPr>
        <w:t xml:space="preserve"> </w:t>
      </w:r>
      <w:proofErr w:type="spellStart"/>
      <w:r w:rsidRPr="000C692A">
        <w:rPr>
          <w:szCs w:val="16"/>
          <w:lang w:val="fr-CA"/>
        </w:rPr>
        <w:t>Schaus</w:t>
      </w:r>
      <w:proofErr w:type="spellEnd"/>
      <w:r w:rsidRPr="000C692A">
        <w:rPr>
          <w:szCs w:val="16"/>
          <w:lang w:val="fr-CA"/>
        </w:rPr>
        <w:t xml:space="preserve">, “Article 27” in Olivier </w:t>
      </w:r>
      <w:proofErr w:type="spellStart"/>
      <w:r w:rsidRPr="000C692A">
        <w:rPr>
          <w:szCs w:val="16"/>
          <w:lang w:val="fr-CA"/>
        </w:rPr>
        <w:t>Corten</w:t>
      </w:r>
      <w:proofErr w:type="spellEnd"/>
      <w:r w:rsidRPr="000C692A">
        <w:rPr>
          <w:szCs w:val="16"/>
          <w:lang w:val="fr-CA"/>
        </w:rPr>
        <w:t xml:space="preserve"> &amp; Pierre Klein, </w:t>
      </w:r>
      <w:proofErr w:type="spellStart"/>
      <w:r w:rsidRPr="000C692A">
        <w:rPr>
          <w:szCs w:val="16"/>
          <w:lang w:val="fr-CA"/>
        </w:rPr>
        <w:t>eds</w:t>
      </w:r>
      <w:proofErr w:type="spellEnd"/>
      <w:r w:rsidRPr="000C692A">
        <w:rPr>
          <w:szCs w:val="16"/>
          <w:lang w:val="fr-CA"/>
        </w:rPr>
        <w:t xml:space="preserve">, </w:t>
      </w:r>
      <w:r w:rsidRPr="000C692A">
        <w:rPr>
          <w:i/>
          <w:szCs w:val="16"/>
          <w:lang w:val="fr-CA"/>
        </w:rPr>
        <w:t>Les Conventions de Vienne sur le droit des traités. Commentaire article par article</w:t>
      </w:r>
      <w:r w:rsidRPr="000C692A">
        <w:rPr>
          <w:szCs w:val="16"/>
          <w:lang w:val="fr-CA"/>
        </w:rPr>
        <w:t xml:space="preserve"> (Bruxelles : Bruylant-Centre de droit international-Université Libre de Bruxelles, 2006) at 1136:  “</w:t>
      </w:r>
      <w:r w:rsidRPr="000C692A">
        <w:rPr>
          <w:i/>
          <w:szCs w:val="16"/>
          <w:lang w:val="fr-CA"/>
        </w:rPr>
        <w:t>L’article 27 de la Convention de Vienne, quant à lui, prescrit certainement, dans l’ordre juridique international, la primauté du droit international sur le droit interne.</w:t>
      </w:r>
      <w:r w:rsidRPr="000C692A">
        <w:rPr>
          <w:szCs w:val="16"/>
          <w:lang w:val="fr-CA"/>
        </w:rPr>
        <w:t xml:space="preserve">” </w:t>
      </w:r>
      <w:r w:rsidRPr="00793101">
        <w:rPr>
          <w:szCs w:val="16"/>
          <w:lang w:val="en-CA"/>
        </w:rPr>
        <w:t xml:space="preserve">Mark E </w:t>
      </w:r>
      <w:proofErr w:type="spellStart"/>
      <w:r w:rsidRPr="00793101">
        <w:rPr>
          <w:szCs w:val="16"/>
          <w:lang w:val="en-CA"/>
        </w:rPr>
        <w:t>Villiger</w:t>
      </w:r>
      <w:proofErr w:type="spellEnd"/>
      <w:r w:rsidRPr="00793101">
        <w:rPr>
          <w:szCs w:val="16"/>
          <w:lang w:val="en-CA"/>
        </w:rPr>
        <w:t xml:space="preserve">, </w:t>
      </w:r>
      <w:r w:rsidRPr="00793101">
        <w:rPr>
          <w:i/>
          <w:szCs w:val="16"/>
          <w:lang w:val="en-CA"/>
        </w:rPr>
        <w:t>Commentary on the 1969 Vienna Convention on the Law of Treaties</w:t>
      </w:r>
      <w:r w:rsidRPr="00793101">
        <w:rPr>
          <w:szCs w:val="16"/>
          <w:lang w:val="en-CA"/>
        </w:rPr>
        <w:t xml:space="preserve">, (Leiden: </w:t>
      </w:r>
      <w:proofErr w:type="spellStart"/>
      <w:r w:rsidRPr="00793101">
        <w:rPr>
          <w:szCs w:val="16"/>
          <w:lang w:val="en-CA"/>
        </w:rPr>
        <w:t>Martinus</w:t>
      </w:r>
      <w:proofErr w:type="spellEnd"/>
      <w:r w:rsidRPr="00793101">
        <w:rPr>
          <w:szCs w:val="16"/>
          <w:lang w:val="en-CA"/>
        </w:rPr>
        <w:t xml:space="preserve"> </w:t>
      </w:r>
      <w:proofErr w:type="spellStart"/>
      <w:r w:rsidRPr="00793101">
        <w:rPr>
          <w:szCs w:val="16"/>
          <w:lang w:val="en-CA"/>
        </w:rPr>
        <w:t>Nijhoff</w:t>
      </w:r>
      <w:proofErr w:type="spellEnd"/>
      <w:r w:rsidRPr="00793101">
        <w:rPr>
          <w:szCs w:val="16"/>
          <w:lang w:val="en-CA"/>
        </w:rPr>
        <w:t>, 2009), at 375: “Article 27 expressed the principle that on international level international law is supreme”.</w:t>
      </w:r>
    </w:p>
  </w:footnote>
  <w:footnote w:id="15">
    <w:p w14:paraId="6179A5C8" w14:textId="4141B33E"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lang w:val="en-CA"/>
        </w:rPr>
        <w:t>Vienna Convention on the Law of Treaties,</w:t>
      </w:r>
      <w:r w:rsidRPr="00793101">
        <w:rPr>
          <w:szCs w:val="16"/>
          <w:lang w:val="en-CA"/>
        </w:rPr>
        <w:t xml:space="preserve"> </w:t>
      </w:r>
      <w:r w:rsidRPr="00793101">
        <w:rPr>
          <w:i/>
          <w:szCs w:val="16"/>
          <w:lang w:val="en-CA"/>
        </w:rPr>
        <w:t>supra</w:t>
      </w:r>
      <w:r w:rsidRPr="00793101">
        <w:rPr>
          <w:szCs w:val="16"/>
          <w:lang w:val="en-CA"/>
        </w:rPr>
        <w:t xml:space="preserve"> note </w:t>
      </w:r>
      <w:r>
        <w:fldChar w:fldCharType="begin"/>
      </w:r>
      <w:r>
        <w:instrText xml:space="preserve"> NOTEREF _Ref265762095 \h  \* MERGEFORMAT </w:instrText>
      </w:r>
      <w:r>
        <w:fldChar w:fldCharType="separate"/>
      </w:r>
      <w:r w:rsidRPr="00E045AC">
        <w:rPr>
          <w:szCs w:val="16"/>
          <w:lang w:val="en-CA"/>
        </w:rPr>
        <w:t>13</w:t>
      </w:r>
      <w:r>
        <w:fldChar w:fldCharType="end"/>
      </w:r>
      <w:r w:rsidRPr="00793101">
        <w:rPr>
          <w:szCs w:val="16"/>
          <w:lang w:val="en-CA"/>
        </w:rPr>
        <w:t>, art 2(1)(a).</w:t>
      </w:r>
    </w:p>
  </w:footnote>
  <w:footnote w:id="16">
    <w:p w14:paraId="12D9E37E"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Ibid,</w:t>
      </w:r>
      <w:r w:rsidRPr="00793101">
        <w:rPr>
          <w:szCs w:val="16"/>
          <w:lang w:val="en-CA"/>
        </w:rPr>
        <w:t xml:space="preserve"> art 26.</w:t>
      </w:r>
    </w:p>
  </w:footnote>
  <w:footnote w:id="17">
    <w:p w14:paraId="4BF91996"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iCs/>
          <w:szCs w:val="16"/>
          <w:lang w:val="en-CA"/>
        </w:rPr>
        <w:t>Ibid,</w:t>
      </w:r>
      <w:r w:rsidRPr="00793101">
        <w:rPr>
          <w:szCs w:val="16"/>
          <w:lang w:val="en-CA"/>
        </w:rPr>
        <w:t xml:space="preserve"> art 27.</w:t>
      </w:r>
    </w:p>
  </w:footnote>
  <w:footnote w:id="18">
    <w:p w14:paraId="2E576DE7" w14:textId="04577630"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For more than a century, international court decisions, arbitral awards and public international law experts have not limited the obligation under international law to ensure that national legislation and jurisprudence not be inconsistent with international law to conventional international law. See, for example: </w:t>
      </w:r>
      <w:r w:rsidRPr="00793101">
        <w:rPr>
          <w:i/>
          <w:szCs w:val="16"/>
          <w:lang w:val="en-CA"/>
        </w:rPr>
        <w:t>Applicability of the Obligation to Arbitrate under Section 21 of the United Nations Headquarters Agreement of 26 June 1947</w:t>
      </w:r>
      <w:r w:rsidRPr="00793101">
        <w:rPr>
          <w:szCs w:val="16"/>
          <w:lang w:val="en-CA"/>
        </w:rPr>
        <w:t xml:space="preserve">, Advisory Opinion [1988] ICJ at para 57 noting: “the fundamental principle of international law that international law prevails over domestic law” citing </w:t>
      </w:r>
      <w:r w:rsidRPr="00793101">
        <w:rPr>
          <w:i/>
          <w:szCs w:val="16"/>
          <w:lang w:val="en-CA"/>
        </w:rPr>
        <w:t>Alabama Claims Arbitration Award</w:t>
      </w:r>
      <w:r w:rsidRPr="00793101">
        <w:rPr>
          <w:szCs w:val="16"/>
          <w:lang w:val="en-CA"/>
        </w:rPr>
        <w:t xml:space="preserve"> [1872], reprinted in JB Moore, “International Arbitrations” (1898) New Cork, vol. I 495 at 653; Jennings &amp; Watts, </w:t>
      </w:r>
      <w:r w:rsidRPr="00793101">
        <w:rPr>
          <w:i/>
          <w:szCs w:val="16"/>
          <w:lang w:val="en-CA"/>
        </w:rPr>
        <w:t>supra</w:t>
      </w:r>
      <w:r w:rsidRPr="00793101">
        <w:rPr>
          <w:szCs w:val="16"/>
          <w:lang w:val="en-CA"/>
        </w:rPr>
        <w:t xml:space="preserve"> note </w:t>
      </w:r>
      <w:r>
        <w:fldChar w:fldCharType="begin"/>
      </w:r>
      <w:r>
        <w:instrText xml:space="preserve"> NOTEREF _Ref266965260 \h  \* MERGEFORMAT </w:instrText>
      </w:r>
      <w:r>
        <w:fldChar w:fldCharType="separate"/>
      </w:r>
      <w:r>
        <w:t>9</w:t>
      </w:r>
      <w:r>
        <w:fldChar w:fldCharType="end"/>
      </w:r>
      <w:r w:rsidRPr="00793101">
        <w:rPr>
          <w:szCs w:val="16"/>
          <w:lang w:val="en-CA"/>
        </w:rPr>
        <w:t xml:space="preserve"> at 82–86; Malcolm N Shaw, </w:t>
      </w:r>
      <w:r w:rsidRPr="00793101">
        <w:rPr>
          <w:i/>
          <w:szCs w:val="16"/>
          <w:lang w:val="en-CA"/>
        </w:rPr>
        <w:t>International Law</w:t>
      </w:r>
      <w:r w:rsidRPr="00793101">
        <w:rPr>
          <w:szCs w:val="16"/>
          <w:lang w:val="en-CA"/>
        </w:rPr>
        <w:t>, 4</w:t>
      </w:r>
      <w:r w:rsidRPr="00793101">
        <w:rPr>
          <w:szCs w:val="16"/>
          <w:vertAlign w:val="superscript"/>
          <w:lang w:val="en-CA"/>
        </w:rPr>
        <w:t>th</w:t>
      </w:r>
      <w:r w:rsidRPr="00793101">
        <w:rPr>
          <w:szCs w:val="16"/>
          <w:lang w:val="en-CA"/>
        </w:rPr>
        <w:t xml:space="preserve"> ed (Cambridge: Cambridge University Press, 1997) at 102-103; </w:t>
      </w:r>
      <w:r w:rsidRPr="00793101">
        <w:rPr>
          <w:rStyle w:val="sectionhighlight"/>
          <w:szCs w:val="16"/>
          <w:lang w:val="en-CA"/>
        </w:rPr>
        <w:t xml:space="preserve">Gerald Fitzmaurice, “The Law and Procedure of the International Court of Justice 1954-9 General Principles and Sources of International Law” (1959) 35 Brit YB Int’l L at 183; Edwin </w:t>
      </w:r>
      <w:proofErr w:type="spellStart"/>
      <w:r w:rsidRPr="00793101">
        <w:rPr>
          <w:rStyle w:val="sectionhighlight"/>
          <w:szCs w:val="16"/>
          <w:lang w:val="en-CA"/>
        </w:rPr>
        <w:t>Borchard</w:t>
      </w:r>
      <w:proofErr w:type="spellEnd"/>
      <w:r w:rsidRPr="00793101">
        <w:rPr>
          <w:rStyle w:val="sectionhighlight"/>
          <w:szCs w:val="16"/>
          <w:lang w:val="en-CA"/>
        </w:rPr>
        <w:t xml:space="preserve">, “The relation between international law and municipal law” (1940) 27 </w:t>
      </w:r>
      <w:proofErr w:type="spellStart"/>
      <w:r w:rsidRPr="00793101">
        <w:rPr>
          <w:rStyle w:val="sectionhighlight"/>
          <w:szCs w:val="16"/>
          <w:lang w:val="en-CA"/>
        </w:rPr>
        <w:t>Va</w:t>
      </w:r>
      <w:proofErr w:type="spellEnd"/>
      <w:r w:rsidRPr="00793101">
        <w:rPr>
          <w:rStyle w:val="sectionhighlight"/>
          <w:szCs w:val="16"/>
          <w:lang w:val="en-CA"/>
        </w:rPr>
        <w:t xml:space="preserve"> L Rev 137.</w:t>
      </w:r>
    </w:p>
  </w:footnote>
  <w:footnote w:id="19">
    <w:p w14:paraId="6B200BA9" w14:textId="77777777" w:rsidR="00356280" w:rsidRPr="00793101" w:rsidRDefault="00356280" w:rsidP="0040644D">
      <w:pPr>
        <w:pStyle w:val="FootnoteText"/>
        <w:spacing w:after="0" w:line="240" w:lineRule="auto"/>
        <w:contextualSpacing/>
        <w:jc w:val="both"/>
        <w:rPr>
          <w:b/>
          <w:color w:val="auto"/>
          <w:szCs w:val="16"/>
          <w:lang w:val="en-CA"/>
        </w:rPr>
      </w:pPr>
      <w:r w:rsidRPr="00793101">
        <w:rPr>
          <w:rStyle w:val="FootnoteReference"/>
          <w:b/>
          <w:color w:val="auto"/>
          <w:szCs w:val="16"/>
          <w:lang w:val="en-CA"/>
        </w:rPr>
        <w:footnoteRef/>
      </w:r>
      <w:r w:rsidRPr="00793101">
        <w:rPr>
          <w:b/>
          <w:color w:val="auto"/>
          <w:szCs w:val="16"/>
          <w:lang w:val="en-CA"/>
        </w:rPr>
        <w:t xml:space="preserve"> </w:t>
      </w:r>
      <w:r w:rsidRPr="00793101">
        <w:rPr>
          <w:i/>
          <w:color w:val="auto"/>
          <w:szCs w:val="16"/>
          <w:lang w:val="en-CA"/>
        </w:rPr>
        <w:t xml:space="preserve">Constitution Act 1982 </w:t>
      </w:r>
      <w:r w:rsidRPr="00793101">
        <w:rPr>
          <w:color w:val="auto"/>
          <w:szCs w:val="16"/>
          <w:lang w:val="en-CA"/>
        </w:rPr>
        <w:t>(UK), 1982, c11,</w:t>
      </w:r>
      <w:r w:rsidRPr="00793101">
        <w:rPr>
          <w:i/>
          <w:color w:val="auto"/>
          <w:szCs w:val="16"/>
          <w:lang w:val="en-CA"/>
        </w:rPr>
        <w:t xml:space="preserve"> </w:t>
      </w:r>
      <w:r w:rsidRPr="00793101">
        <w:rPr>
          <w:color w:val="auto"/>
          <w:szCs w:val="16"/>
          <w:lang w:val="en-CA"/>
        </w:rPr>
        <w:t>s 92(14) [</w:t>
      </w:r>
      <w:r w:rsidRPr="00793101">
        <w:rPr>
          <w:i/>
          <w:color w:val="auto"/>
          <w:szCs w:val="16"/>
          <w:lang w:val="en-CA"/>
        </w:rPr>
        <w:t>Constitution Act 1982</w:t>
      </w:r>
      <w:r w:rsidRPr="00793101">
        <w:rPr>
          <w:color w:val="auto"/>
          <w:szCs w:val="16"/>
          <w:lang w:val="en-CA"/>
        </w:rPr>
        <w:t xml:space="preserve">]. </w:t>
      </w:r>
    </w:p>
  </w:footnote>
  <w:footnote w:id="20">
    <w:p w14:paraId="476C3CF1" w14:textId="77777777" w:rsidR="00356280" w:rsidRPr="00793101" w:rsidRDefault="00356280" w:rsidP="0040644D">
      <w:pPr>
        <w:pStyle w:val="FootnoteText"/>
        <w:spacing w:after="0" w:line="240" w:lineRule="auto"/>
        <w:contextualSpacing/>
        <w:jc w:val="both"/>
        <w:rPr>
          <w:b/>
          <w:color w:val="auto"/>
          <w:szCs w:val="16"/>
          <w:lang w:val="en-CA"/>
        </w:rPr>
      </w:pPr>
      <w:r w:rsidRPr="00793101">
        <w:rPr>
          <w:rStyle w:val="FootnoteReference"/>
          <w:b/>
          <w:color w:val="auto"/>
          <w:szCs w:val="16"/>
          <w:lang w:val="en-CA"/>
        </w:rPr>
        <w:footnoteRef/>
      </w:r>
      <w:r w:rsidRPr="00793101">
        <w:rPr>
          <w:b/>
          <w:color w:val="auto"/>
          <w:szCs w:val="16"/>
          <w:lang w:val="en-CA"/>
        </w:rPr>
        <w:t xml:space="preserve"> </w:t>
      </w:r>
      <w:r w:rsidRPr="00793101">
        <w:rPr>
          <w:i/>
          <w:color w:val="auto"/>
          <w:szCs w:val="16"/>
          <w:lang w:val="en-CA"/>
        </w:rPr>
        <w:t>Ibid</w:t>
      </w:r>
      <w:r w:rsidRPr="00793101">
        <w:rPr>
          <w:color w:val="auto"/>
          <w:szCs w:val="16"/>
          <w:lang w:val="en-CA"/>
        </w:rPr>
        <w:t xml:space="preserve">, s 101. </w:t>
      </w:r>
    </w:p>
  </w:footnote>
  <w:footnote w:id="21">
    <w:p w14:paraId="1E6ACEC8"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Federal Courts Act, </w:t>
      </w:r>
      <w:r w:rsidRPr="00793101">
        <w:rPr>
          <w:szCs w:val="16"/>
          <w:lang w:val="en-US"/>
        </w:rPr>
        <w:t>RSC 1985, c F-7 [</w:t>
      </w:r>
      <w:r w:rsidRPr="00793101">
        <w:rPr>
          <w:i/>
          <w:szCs w:val="16"/>
          <w:lang w:val="en-US"/>
        </w:rPr>
        <w:t>Federal Courts Act</w:t>
      </w:r>
      <w:r w:rsidRPr="00793101">
        <w:rPr>
          <w:szCs w:val="16"/>
          <w:lang w:val="en-US"/>
        </w:rPr>
        <w:t>].</w:t>
      </w:r>
    </w:p>
  </w:footnote>
  <w:footnote w:id="22">
    <w:p w14:paraId="028B9159" w14:textId="6A3F1A59" w:rsidR="00356280" w:rsidRPr="00356280" w:rsidRDefault="00356280" w:rsidP="0040644D">
      <w:pPr>
        <w:pStyle w:val="FootnoteText"/>
        <w:spacing w:after="0" w:line="240" w:lineRule="auto"/>
        <w:rPr>
          <w:szCs w:val="16"/>
          <w:lang w:val="en-US"/>
        </w:rPr>
      </w:pPr>
      <w:r w:rsidRPr="00793101">
        <w:rPr>
          <w:rStyle w:val="FootnoteReference"/>
          <w:szCs w:val="16"/>
        </w:rPr>
        <w:footnoteRef/>
      </w:r>
      <w:r w:rsidRPr="00356280">
        <w:rPr>
          <w:szCs w:val="16"/>
          <w:lang w:val="en-US"/>
        </w:rPr>
        <w:t xml:space="preserve"> </w:t>
      </w:r>
      <w:r w:rsidRPr="00356280">
        <w:rPr>
          <w:i/>
          <w:szCs w:val="16"/>
          <w:lang w:val="en-US"/>
        </w:rPr>
        <w:t>Criminal Code</w:t>
      </w:r>
      <w:r w:rsidRPr="00356280">
        <w:rPr>
          <w:szCs w:val="16"/>
          <w:lang w:val="en-US"/>
        </w:rPr>
        <w:t xml:space="preserve">, </w:t>
      </w:r>
      <w:r w:rsidRPr="00356280">
        <w:rPr>
          <w:i/>
          <w:szCs w:val="16"/>
          <w:lang w:val="en-US"/>
        </w:rPr>
        <w:t xml:space="preserve">supra </w:t>
      </w:r>
      <w:r w:rsidRPr="00356280">
        <w:rPr>
          <w:szCs w:val="16"/>
          <w:lang w:val="en-US"/>
        </w:rPr>
        <w:t xml:space="preserve">note </w:t>
      </w:r>
      <w:r>
        <w:fldChar w:fldCharType="begin"/>
      </w:r>
      <w:r w:rsidRPr="00356280">
        <w:rPr>
          <w:lang w:val="en-US"/>
        </w:rPr>
        <w:instrText xml:space="preserve"> NOTEREF _Ref266965463 \h  \* MERGEFORMAT </w:instrText>
      </w:r>
      <w:r>
        <w:fldChar w:fldCharType="separate"/>
      </w:r>
      <w:r w:rsidRPr="00356280">
        <w:rPr>
          <w:lang w:val="en-US"/>
        </w:rPr>
        <w:t>10</w:t>
      </w:r>
      <w:r>
        <w:fldChar w:fldCharType="end"/>
      </w:r>
      <w:r w:rsidRPr="00356280">
        <w:rPr>
          <w:szCs w:val="16"/>
          <w:lang w:val="en-US"/>
        </w:rPr>
        <w:t>, ss 83.13(1)(1.1)(5)(7)(10), 83.14(1)(2)(4)(10).</w:t>
      </w:r>
    </w:p>
  </w:footnote>
  <w:footnote w:id="23">
    <w:p w14:paraId="3F53A9C5"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The Federal Court of Appeal performs judicial review and hears appeals from the following federal tribunals and federal decision makers: Board of Arbitration or Review Tribunal established under the </w:t>
      </w:r>
      <w:r w:rsidRPr="00793101">
        <w:rPr>
          <w:i/>
          <w:szCs w:val="16"/>
        </w:rPr>
        <w:t>Canada Agricultural Products Act</w:t>
      </w:r>
      <w:r w:rsidRPr="00793101">
        <w:rPr>
          <w:szCs w:val="16"/>
        </w:rPr>
        <w:t xml:space="preserve">; Conflict of Interest and Ethics Commissioner, Canadian Radio-Television and Telecommunications Commission, Pension Appeals Board, Canadian International Trade Tribunal, National Energy Board, Governor in Council acting under subsection 54(1) of the </w:t>
      </w:r>
      <w:r w:rsidRPr="00793101">
        <w:rPr>
          <w:i/>
          <w:szCs w:val="16"/>
        </w:rPr>
        <w:t>National Energy Board Act</w:t>
      </w:r>
      <w:r w:rsidRPr="00793101">
        <w:rPr>
          <w:szCs w:val="16"/>
        </w:rPr>
        <w:t xml:space="preserve">, Social Security Tribunal (Appeal Division), Canada Industrial Relations Board, Public Service Labour Relations Board, Copyright Board, Canadian Transportation Agency, Umpire acting under the </w:t>
      </w:r>
      <w:r w:rsidRPr="00793101">
        <w:rPr>
          <w:i/>
          <w:szCs w:val="16"/>
        </w:rPr>
        <w:t>Employment Insurance Act</w:t>
      </w:r>
      <w:r w:rsidRPr="00793101">
        <w:rPr>
          <w:szCs w:val="16"/>
        </w:rPr>
        <w:t xml:space="preserve">, Competition Tribunal, Assessor appointed under the </w:t>
      </w:r>
      <w:r w:rsidRPr="00793101">
        <w:rPr>
          <w:i/>
          <w:szCs w:val="16"/>
        </w:rPr>
        <w:t>Canada Deposit Insurance Corporation Act</w:t>
      </w:r>
      <w:r w:rsidRPr="00793101">
        <w:rPr>
          <w:szCs w:val="16"/>
        </w:rPr>
        <w:t xml:space="preserve">, Public Servants Disclosure Protection Tribunal, Specific Claims Tribunal, Minister of Revenue refusing to register or revoking certain registrations under the </w:t>
      </w:r>
      <w:r w:rsidRPr="00793101">
        <w:rPr>
          <w:i/>
          <w:szCs w:val="16"/>
        </w:rPr>
        <w:t>Income Tax Act</w:t>
      </w:r>
      <w:r w:rsidRPr="00793101">
        <w:rPr>
          <w:szCs w:val="16"/>
        </w:rPr>
        <w:t xml:space="preserve">, Attorney General of Canada issuing a certificate under section 38.13 of the </w:t>
      </w:r>
      <w:r w:rsidRPr="00793101">
        <w:rPr>
          <w:i/>
          <w:szCs w:val="16"/>
        </w:rPr>
        <w:t>Canada Evidence Act</w:t>
      </w:r>
      <w:r w:rsidRPr="00793101">
        <w:rPr>
          <w:szCs w:val="16"/>
        </w:rPr>
        <w:t>, and Order to a Crown official requiring disclosure of confidential taxpayer information.</w:t>
      </w:r>
    </w:p>
  </w:footnote>
  <w:footnote w:id="24">
    <w:p w14:paraId="07A4CB61"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For example, in Ontario, the Superior Court of Justice will hear cases with the most serious offences, while the Ontario Court of Justice will hear all other criminal </w:t>
      </w:r>
      <w:proofErr w:type="spellStart"/>
      <w:r w:rsidRPr="00793101">
        <w:rPr>
          <w:szCs w:val="16"/>
          <w:lang w:val="en-US"/>
        </w:rPr>
        <w:t>maters</w:t>
      </w:r>
      <w:proofErr w:type="spellEnd"/>
      <w:r w:rsidRPr="00793101">
        <w:rPr>
          <w:szCs w:val="16"/>
          <w:lang w:val="en-US"/>
        </w:rPr>
        <w:t>, including cases with young offenders.</w:t>
      </w:r>
    </w:p>
  </w:footnote>
  <w:footnote w:id="25">
    <w:p w14:paraId="581B066D" w14:textId="77777777" w:rsidR="00356280" w:rsidRPr="00793101" w:rsidRDefault="00356280" w:rsidP="0040644D">
      <w:pPr>
        <w:pStyle w:val="FootnoteText"/>
        <w:spacing w:after="0" w:line="240" w:lineRule="auto"/>
        <w:contextualSpacing/>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National Defence Act</w:t>
      </w:r>
      <w:r w:rsidRPr="00793101">
        <w:rPr>
          <w:color w:val="auto"/>
          <w:szCs w:val="16"/>
          <w:lang w:val="en-CA"/>
        </w:rPr>
        <w:t>, RS 1985 c N-5 [</w:t>
      </w:r>
      <w:r w:rsidRPr="00793101">
        <w:rPr>
          <w:i/>
          <w:color w:val="auto"/>
          <w:szCs w:val="16"/>
          <w:lang w:val="en-CA"/>
        </w:rPr>
        <w:t>National Defence Act</w:t>
      </w:r>
      <w:r w:rsidRPr="00793101">
        <w:rPr>
          <w:color w:val="auto"/>
          <w:szCs w:val="16"/>
          <w:lang w:val="en-CA"/>
        </w:rPr>
        <w:t xml:space="preserve">]. Jurisdiction, </w:t>
      </w:r>
      <w:proofErr w:type="gramStart"/>
      <w:r w:rsidRPr="00793101">
        <w:rPr>
          <w:color w:val="auto"/>
          <w:szCs w:val="16"/>
          <w:lang w:val="en-CA"/>
        </w:rPr>
        <w:t>organization</w:t>
      </w:r>
      <w:proofErr w:type="gramEnd"/>
      <w:r w:rsidRPr="00793101">
        <w:rPr>
          <w:color w:val="auto"/>
          <w:szCs w:val="16"/>
          <w:lang w:val="en-CA"/>
        </w:rPr>
        <w:t xml:space="preserve"> and procedures of the Canadian military justice system are covered under Volume II of the Queen’s Regulation and Orders.</w:t>
      </w:r>
    </w:p>
  </w:footnote>
  <w:footnote w:id="26">
    <w:p w14:paraId="1FD27AA9" w14:textId="77777777" w:rsidR="00356280" w:rsidRPr="00511803" w:rsidRDefault="00356280" w:rsidP="00C7376E">
      <w:pPr>
        <w:pStyle w:val="FootnoteText"/>
        <w:spacing w:after="0" w:line="240" w:lineRule="auto"/>
        <w:rPr>
          <w:lang w:val="en-US"/>
        </w:rPr>
      </w:pPr>
      <w:r>
        <w:rPr>
          <w:rStyle w:val="FootnoteReference"/>
        </w:rPr>
        <w:footnoteRef/>
      </w:r>
      <w:r>
        <w:t xml:space="preserve"> See International Law Commission, the obligation to extradite or prosecute (</w:t>
      </w:r>
      <w:proofErr w:type="spellStart"/>
      <w:r w:rsidRPr="00C46311">
        <w:rPr>
          <w:i/>
        </w:rPr>
        <w:t>aut</w:t>
      </w:r>
      <w:proofErr w:type="spellEnd"/>
      <w:r w:rsidRPr="00C46311">
        <w:rPr>
          <w:i/>
        </w:rPr>
        <w:t xml:space="preserve"> </w:t>
      </w:r>
      <w:proofErr w:type="spellStart"/>
      <w:r w:rsidRPr="00C46311">
        <w:rPr>
          <w:i/>
        </w:rPr>
        <w:t>dedere</w:t>
      </w:r>
      <w:proofErr w:type="spellEnd"/>
      <w:r w:rsidRPr="00C46311">
        <w:rPr>
          <w:i/>
        </w:rPr>
        <w:t xml:space="preserve"> </w:t>
      </w:r>
      <w:proofErr w:type="spellStart"/>
      <w:r w:rsidRPr="00C46311">
        <w:rPr>
          <w:i/>
        </w:rPr>
        <w:t>aut</w:t>
      </w:r>
      <w:proofErr w:type="spellEnd"/>
      <w:r w:rsidRPr="00C46311">
        <w:rPr>
          <w:i/>
        </w:rPr>
        <w:t xml:space="preserve"> judicare</w:t>
      </w:r>
      <w:r>
        <w:t>), Comments and information received from Governments, A/CN.4/612, para.52 ("Canada also asserts specific extraterritorial jurisdiction in other limited circumstances, including offences committed by Canadian military personnel and other persons subject to the Code of Service Discipline (sections 67, 130 and 132 of the National Defence Act).</w:t>
      </w:r>
    </w:p>
  </w:footnote>
  <w:footnote w:id="27">
    <w:p w14:paraId="68B870EC" w14:textId="77777777" w:rsidR="00356280" w:rsidRPr="00793101" w:rsidRDefault="00356280" w:rsidP="00A968FF">
      <w:pPr>
        <w:pStyle w:val="FootnoteText"/>
        <w:spacing w:after="0" w:line="240" w:lineRule="auto"/>
        <w:contextualSpacing/>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s 60(a)-(d).</w:t>
      </w:r>
    </w:p>
  </w:footnote>
  <w:footnote w:id="28">
    <w:p w14:paraId="06D0EB2C" w14:textId="77777777" w:rsidR="00356280" w:rsidRPr="00793101" w:rsidRDefault="00356280" w:rsidP="001D4016">
      <w:pPr>
        <w:pStyle w:val="FootnoteText"/>
        <w:spacing w:after="0" w:line="240" w:lineRule="auto"/>
        <w:contextualSpacing/>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ss 60(f), 61.</w:t>
      </w:r>
    </w:p>
  </w:footnote>
  <w:footnote w:id="29">
    <w:p w14:paraId="17DABDDF" w14:textId="77777777" w:rsidR="00356280" w:rsidRPr="00793101" w:rsidRDefault="00356280" w:rsidP="0040644D">
      <w:pPr>
        <w:pStyle w:val="FootnoteText"/>
        <w:spacing w:after="0" w:line="240" w:lineRule="auto"/>
        <w:contextualSpacing/>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s 130(1)(b).</w:t>
      </w:r>
    </w:p>
  </w:footnote>
  <w:footnote w:id="30">
    <w:p w14:paraId="3DB2C10B" w14:textId="77777777" w:rsidR="00356280" w:rsidRPr="00793101" w:rsidRDefault="00356280" w:rsidP="00447539">
      <w:pPr>
        <w:pStyle w:val="FootnoteText"/>
        <w:spacing w:after="0" w:line="240" w:lineRule="auto"/>
        <w:contextualSpacing/>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Code of Service Discipline</w:t>
      </w:r>
      <w:r w:rsidRPr="00793101">
        <w:rPr>
          <w:color w:val="auto"/>
          <w:szCs w:val="16"/>
          <w:lang w:val="en-CA"/>
        </w:rPr>
        <w:t>, RS, 1985, c N-5, s 230.</w:t>
      </w:r>
    </w:p>
  </w:footnote>
  <w:footnote w:id="31">
    <w:p w14:paraId="0DA4A335"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i/>
          <w:szCs w:val="16"/>
        </w:rPr>
        <w:t xml:space="preserve">Appeals </w:t>
      </w:r>
      <w:proofErr w:type="gramStart"/>
      <w:r w:rsidRPr="00793101">
        <w:rPr>
          <w:i/>
          <w:szCs w:val="16"/>
        </w:rPr>
        <w:t>From</w:t>
      </w:r>
      <w:proofErr w:type="gramEnd"/>
      <w:r w:rsidRPr="00793101">
        <w:rPr>
          <w:i/>
          <w:szCs w:val="16"/>
        </w:rPr>
        <w:t xml:space="preserve"> Courts Martial</w:t>
      </w:r>
      <w:r w:rsidRPr="00793101">
        <w:rPr>
          <w:szCs w:val="16"/>
        </w:rPr>
        <w:t>, online: Court Martial Appeal Court of Canada &lt;http://www.cmac-cacm.ca/business/military_law4_e.shtml&gt;.</w:t>
      </w:r>
    </w:p>
  </w:footnote>
  <w:footnote w:id="32">
    <w:p w14:paraId="0015E46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R v Henry, </w:t>
      </w:r>
      <w:r w:rsidRPr="00793101">
        <w:rPr>
          <w:szCs w:val="16"/>
          <w:lang w:val="en-US"/>
        </w:rPr>
        <w:t>[2005] 3 SCR 609 at para 44.</w:t>
      </w:r>
    </w:p>
  </w:footnote>
  <w:footnote w:id="33">
    <w:p w14:paraId="62E8D79A"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Ibid</w:t>
      </w:r>
      <w:r w:rsidRPr="00793101">
        <w:rPr>
          <w:szCs w:val="16"/>
          <w:lang w:val="en-US"/>
        </w:rPr>
        <w:t xml:space="preserve"> at paras 45-46.</w:t>
      </w:r>
    </w:p>
  </w:footnote>
  <w:footnote w:id="34">
    <w:p w14:paraId="19A41D05"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(Ontario) Attorney General v Fraser, </w:t>
      </w:r>
      <w:r w:rsidRPr="00793101">
        <w:rPr>
          <w:szCs w:val="16"/>
          <w:lang w:val="en-US"/>
        </w:rPr>
        <w:t>[2011] 2 SCR 3 at para 130.</w:t>
      </w:r>
    </w:p>
  </w:footnote>
  <w:footnote w:id="35">
    <w:p w14:paraId="47FA0369" w14:textId="77777777" w:rsidR="00356280" w:rsidRPr="00793101" w:rsidRDefault="00356280" w:rsidP="000D6C42">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Ibid</w:t>
      </w:r>
      <w:r w:rsidRPr="00793101">
        <w:rPr>
          <w:szCs w:val="16"/>
          <w:lang w:val="en-US"/>
        </w:rPr>
        <w:t xml:space="preserve"> at para 133.</w:t>
      </w:r>
    </w:p>
  </w:footnote>
  <w:footnote w:id="36">
    <w:p w14:paraId="5D61AEA1" w14:textId="77777777" w:rsidR="00356280" w:rsidRPr="00793101" w:rsidRDefault="00356280" w:rsidP="000D6C42">
      <w:pPr>
        <w:pStyle w:val="FootnoteText"/>
        <w:spacing w:after="0" w:line="240" w:lineRule="auto"/>
        <w:contextualSpacing/>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Beyond the Red Serge</w:t>
      </w:r>
      <w:r w:rsidRPr="00793101">
        <w:rPr>
          <w:color w:val="auto"/>
          <w:szCs w:val="16"/>
          <w:lang w:val="en-CA"/>
        </w:rPr>
        <w:t xml:space="preserve"> (Fact Sheet), online: Royal Canadian Mounted Police &lt;</w:t>
      </w:r>
      <w:r w:rsidRPr="00793101">
        <w:rPr>
          <w:szCs w:val="16"/>
        </w:rPr>
        <w:t>http://www.rcmp-grc.gc.ca/about-ausujet/mod-eng.htm</w:t>
      </w:r>
      <w:r w:rsidRPr="00793101">
        <w:rPr>
          <w:color w:val="auto"/>
          <w:szCs w:val="16"/>
          <w:lang w:val="en-CA"/>
        </w:rPr>
        <w:t xml:space="preserve">&gt;. </w:t>
      </w:r>
    </w:p>
  </w:footnote>
  <w:footnote w:id="37">
    <w:p w14:paraId="07754E61" w14:textId="44847DD2" w:rsidR="00356280" w:rsidRPr="00793101" w:rsidRDefault="00356280" w:rsidP="000D6C42">
      <w:pPr>
        <w:pStyle w:val="FootnoteText"/>
        <w:spacing w:after="0" w:line="240" w:lineRule="auto"/>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Crimes Against Humanity and War Crimes Act</w:t>
      </w:r>
      <w:r w:rsidRPr="00793101">
        <w:rPr>
          <w:color w:val="auto"/>
          <w:szCs w:val="16"/>
          <w:lang w:val="en-CA"/>
        </w:rPr>
        <w:t xml:space="preserve">, </w:t>
      </w:r>
      <w:r w:rsidRPr="00793101">
        <w:rPr>
          <w:i/>
          <w:color w:val="auto"/>
          <w:szCs w:val="16"/>
          <w:lang w:val="en-CA"/>
        </w:rPr>
        <w:t xml:space="preserve">supra </w:t>
      </w:r>
      <w:r w:rsidRPr="00793101">
        <w:rPr>
          <w:color w:val="auto"/>
          <w:szCs w:val="16"/>
          <w:lang w:val="en-CA"/>
        </w:rPr>
        <w:t xml:space="preserve">note </w:t>
      </w:r>
      <w:r>
        <w:fldChar w:fldCharType="begin"/>
      </w:r>
      <w:r>
        <w:instrText xml:space="preserve"> NOTEREF _Ref266965596 \h  \* MERGEFORMAT </w:instrText>
      </w:r>
      <w:r>
        <w:fldChar w:fldCharType="separate"/>
      </w:r>
      <w:r>
        <w:t>12</w:t>
      </w:r>
      <w:r>
        <w:fldChar w:fldCharType="end"/>
      </w:r>
      <w:r w:rsidRPr="00793101">
        <w:rPr>
          <w:color w:val="auto"/>
          <w:szCs w:val="16"/>
          <w:lang w:val="en-CA"/>
        </w:rPr>
        <w:t>, s 9(3).</w:t>
      </w:r>
    </w:p>
  </w:footnote>
  <w:footnote w:id="38">
    <w:p w14:paraId="3A4C8454" w14:textId="3AA31321" w:rsidR="00356280" w:rsidRPr="00793101" w:rsidRDefault="00356280" w:rsidP="000D6C42">
      <w:pPr>
        <w:pStyle w:val="FootnoteText"/>
        <w:spacing w:after="0" w:line="240" w:lineRule="auto"/>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The Federal Prosecution</w:t>
      </w:r>
      <w:r>
        <w:rPr>
          <w:i/>
          <w:color w:val="auto"/>
          <w:szCs w:val="16"/>
          <w:lang w:val="en-CA"/>
        </w:rPr>
        <w:t xml:space="preserve"> </w:t>
      </w:r>
      <w:r w:rsidRPr="00793101">
        <w:rPr>
          <w:i/>
          <w:color w:val="auto"/>
          <w:szCs w:val="16"/>
          <w:lang w:val="en-CA"/>
        </w:rPr>
        <w:t xml:space="preserve">Service </w:t>
      </w:r>
      <w:proofErr w:type="spellStart"/>
      <w:r w:rsidRPr="00793101">
        <w:rPr>
          <w:i/>
          <w:color w:val="auto"/>
          <w:szCs w:val="16"/>
          <w:lang w:val="en-CA"/>
        </w:rPr>
        <w:t>Deskbook</w:t>
      </w:r>
      <w:proofErr w:type="spellEnd"/>
      <w:r w:rsidRPr="00793101">
        <w:rPr>
          <w:color w:val="auto"/>
          <w:szCs w:val="16"/>
          <w:lang w:val="en-CA"/>
        </w:rPr>
        <w:t>, online: Public Prosecution Service of Canada &lt;</w:t>
      </w:r>
      <w:r w:rsidRPr="00793101">
        <w:rPr>
          <w:color w:val="auto"/>
          <w:szCs w:val="16"/>
        </w:rPr>
        <w:t>http://www.ppsc-sppc.gc.ca/eng/pub/fpsd-sfpg/fps-sfp/fpd/index.html</w:t>
      </w:r>
      <w:r w:rsidRPr="00793101">
        <w:rPr>
          <w:color w:val="auto"/>
          <w:szCs w:val="16"/>
          <w:lang w:val="en-CA"/>
        </w:rPr>
        <w:t>&gt; [</w:t>
      </w:r>
      <w:r w:rsidRPr="00793101">
        <w:rPr>
          <w:i/>
          <w:color w:val="auto"/>
          <w:szCs w:val="16"/>
          <w:lang w:val="en-CA"/>
        </w:rPr>
        <w:t xml:space="preserve">Federal Prosecution Service </w:t>
      </w:r>
      <w:proofErr w:type="spellStart"/>
      <w:r w:rsidRPr="00793101">
        <w:rPr>
          <w:i/>
          <w:color w:val="auto"/>
          <w:szCs w:val="16"/>
          <w:lang w:val="en-CA"/>
        </w:rPr>
        <w:t>Deskbook</w:t>
      </w:r>
      <w:proofErr w:type="spellEnd"/>
      <w:r w:rsidRPr="00793101">
        <w:rPr>
          <w:color w:val="auto"/>
          <w:szCs w:val="16"/>
          <w:lang w:val="en-CA"/>
        </w:rPr>
        <w:t xml:space="preserve">]. </w:t>
      </w:r>
    </w:p>
  </w:footnote>
  <w:footnote w:id="39">
    <w:p w14:paraId="247D60FC" w14:textId="77777777" w:rsidR="00356280" w:rsidRPr="00793101" w:rsidRDefault="00356280" w:rsidP="000D6C42">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See: </w:t>
      </w:r>
      <w:r w:rsidRPr="00793101">
        <w:rPr>
          <w:i/>
          <w:szCs w:val="16"/>
          <w:lang w:val="en-US"/>
        </w:rPr>
        <w:t xml:space="preserve">Krieger v Law Society of Alberta, </w:t>
      </w:r>
      <w:r w:rsidRPr="00793101">
        <w:rPr>
          <w:szCs w:val="16"/>
          <w:lang w:val="en-US"/>
        </w:rPr>
        <w:t>[2002] 3 SCR 372 [</w:t>
      </w:r>
      <w:r w:rsidRPr="00793101">
        <w:rPr>
          <w:i/>
          <w:szCs w:val="16"/>
          <w:lang w:val="en-US"/>
        </w:rPr>
        <w:t>Krieger</w:t>
      </w:r>
      <w:r w:rsidRPr="00793101">
        <w:rPr>
          <w:szCs w:val="16"/>
          <w:lang w:val="en-US"/>
        </w:rPr>
        <w:t xml:space="preserve">]; </w:t>
      </w:r>
      <w:r w:rsidRPr="00793101">
        <w:rPr>
          <w:i/>
          <w:szCs w:val="16"/>
          <w:lang w:val="en-US"/>
        </w:rPr>
        <w:t>Campbell v Attorney-General of Ontario</w:t>
      </w:r>
      <w:r w:rsidRPr="00793101">
        <w:rPr>
          <w:szCs w:val="16"/>
          <w:lang w:val="en-US"/>
        </w:rPr>
        <w:t xml:space="preserve"> (1987), 60 OR (2d) 617; 42 DLR (4</w:t>
      </w:r>
      <w:r w:rsidRPr="00793101">
        <w:rPr>
          <w:szCs w:val="16"/>
          <w:vertAlign w:val="superscript"/>
          <w:lang w:val="en-US"/>
        </w:rPr>
        <w:t>th</w:t>
      </w:r>
      <w:r w:rsidRPr="00793101">
        <w:rPr>
          <w:szCs w:val="16"/>
          <w:lang w:val="en-US"/>
        </w:rPr>
        <w:t xml:space="preserve">) 383 (ONCA); </w:t>
      </w:r>
      <w:r w:rsidRPr="00793101">
        <w:rPr>
          <w:i/>
          <w:szCs w:val="16"/>
          <w:lang w:val="en-US"/>
        </w:rPr>
        <w:t>R v Power,</w:t>
      </w:r>
      <w:r w:rsidRPr="00793101">
        <w:rPr>
          <w:szCs w:val="16"/>
          <w:lang w:val="en-US"/>
        </w:rPr>
        <w:t xml:space="preserve"> [1994] 1 SCR 601 [</w:t>
      </w:r>
      <w:r w:rsidRPr="00793101">
        <w:rPr>
          <w:i/>
          <w:szCs w:val="16"/>
          <w:lang w:val="en-US"/>
        </w:rPr>
        <w:t>Power</w:t>
      </w:r>
      <w:r w:rsidRPr="00793101">
        <w:rPr>
          <w:szCs w:val="16"/>
          <w:lang w:val="en-US"/>
        </w:rPr>
        <w:t>].</w:t>
      </w:r>
    </w:p>
  </w:footnote>
  <w:footnote w:id="40">
    <w:p w14:paraId="78FE6E8C" w14:textId="6D89F3F3" w:rsidR="00356280" w:rsidRPr="00793101" w:rsidRDefault="00356280" w:rsidP="000D6C42">
      <w:pPr>
        <w:spacing w:after="0" w:line="240" w:lineRule="auto"/>
        <w:rPr>
          <w:sz w:val="16"/>
          <w:szCs w:val="16"/>
        </w:rPr>
      </w:pPr>
      <w:r w:rsidRPr="00793101">
        <w:rPr>
          <w:rStyle w:val="FootnoteReference"/>
          <w:sz w:val="16"/>
          <w:szCs w:val="16"/>
        </w:rPr>
        <w:footnoteRef/>
      </w:r>
      <w:r w:rsidRPr="00793101">
        <w:rPr>
          <w:sz w:val="16"/>
          <w:szCs w:val="16"/>
        </w:rPr>
        <w:t xml:space="preserve"> </w:t>
      </w:r>
      <w:r w:rsidRPr="00793101">
        <w:rPr>
          <w:i/>
          <w:sz w:val="16"/>
          <w:szCs w:val="16"/>
        </w:rPr>
        <w:t xml:space="preserve">Federal Prosecution Service </w:t>
      </w:r>
      <w:proofErr w:type="spellStart"/>
      <w:r w:rsidRPr="00793101">
        <w:rPr>
          <w:i/>
          <w:sz w:val="16"/>
          <w:szCs w:val="16"/>
        </w:rPr>
        <w:t>Deskbook</w:t>
      </w:r>
      <w:proofErr w:type="spellEnd"/>
      <w:r w:rsidRPr="00793101">
        <w:rPr>
          <w:i/>
          <w:sz w:val="16"/>
          <w:szCs w:val="16"/>
        </w:rPr>
        <w:t xml:space="preserve">, supra </w:t>
      </w:r>
      <w:r w:rsidRPr="00793101">
        <w:rPr>
          <w:sz w:val="16"/>
          <w:szCs w:val="16"/>
        </w:rPr>
        <w:t xml:space="preserve">note </w:t>
      </w:r>
      <w:r>
        <w:fldChar w:fldCharType="begin"/>
      </w:r>
      <w:r>
        <w:instrText xml:space="preserve"> NOTEREF _Ref266965664 \h  \* MERGEFORMAT </w:instrText>
      </w:r>
      <w:r>
        <w:fldChar w:fldCharType="separate"/>
      </w:r>
      <w:r w:rsidRPr="00E045AC">
        <w:rPr>
          <w:sz w:val="16"/>
          <w:szCs w:val="16"/>
        </w:rPr>
        <w:t>38</w:t>
      </w:r>
      <w:r>
        <w:fldChar w:fldCharType="end"/>
      </w:r>
      <w:r w:rsidRPr="00793101">
        <w:rPr>
          <w:sz w:val="16"/>
          <w:szCs w:val="16"/>
        </w:rPr>
        <w:t xml:space="preserve"> at c 26. (Several </w:t>
      </w:r>
      <w:r w:rsidRPr="00793101">
        <w:rPr>
          <w:i/>
          <w:sz w:val="16"/>
          <w:szCs w:val="16"/>
        </w:rPr>
        <w:t xml:space="preserve">Criminal Code </w:t>
      </w:r>
      <w:r w:rsidRPr="00793101">
        <w:rPr>
          <w:sz w:val="16"/>
          <w:szCs w:val="16"/>
        </w:rPr>
        <w:t>provisions impliedly recognize private prosecution. For example, section 504 permits anyone to lay an information, except where the Attorney-General’s consent is required. Also, the definitions of “prosecutor” in sections 2 and 785 suggest that someone other than the Attorney-General may institute proceedings.)</w:t>
      </w:r>
    </w:p>
  </w:footnote>
  <w:footnote w:id="41">
    <w:p w14:paraId="53E3EA3E" w14:textId="77777777" w:rsidR="00356280" w:rsidRPr="00793101" w:rsidRDefault="00356280" w:rsidP="000D6C42">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p>
  </w:footnote>
  <w:footnote w:id="42">
    <w:p w14:paraId="699E3040" w14:textId="77777777" w:rsidR="00356280" w:rsidRPr="00793101" w:rsidRDefault="00356280" w:rsidP="000D6C42">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Davidson v British Columbia (Attorney General)</w:t>
      </w:r>
      <w:r w:rsidRPr="00793101">
        <w:rPr>
          <w:szCs w:val="16"/>
          <w:lang w:val="en-US"/>
        </w:rPr>
        <w:t xml:space="preserve">, 2006 BCCA 447 (available on </w:t>
      </w:r>
      <w:proofErr w:type="spellStart"/>
      <w:r w:rsidRPr="00793101">
        <w:rPr>
          <w:szCs w:val="16"/>
          <w:lang w:val="en-US"/>
        </w:rPr>
        <w:t>CanLII</w:t>
      </w:r>
      <w:proofErr w:type="spellEnd"/>
      <w:r w:rsidRPr="00793101">
        <w:rPr>
          <w:szCs w:val="16"/>
          <w:lang w:val="en-US"/>
        </w:rPr>
        <w:t>), [2006] 12 WWR 591.</w:t>
      </w:r>
    </w:p>
  </w:footnote>
  <w:footnote w:id="43">
    <w:p w14:paraId="74ADFE62"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Zhang v Canada (Attorney General)</w:t>
      </w:r>
      <w:r w:rsidRPr="00793101">
        <w:rPr>
          <w:szCs w:val="16"/>
          <w:lang w:val="en-US"/>
        </w:rPr>
        <w:t xml:space="preserve">, 2006 FC 276 (available on </w:t>
      </w:r>
      <w:proofErr w:type="spellStart"/>
      <w:r w:rsidRPr="00793101">
        <w:rPr>
          <w:szCs w:val="16"/>
          <w:lang w:val="en-US"/>
        </w:rPr>
        <w:t>CanLII</w:t>
      </w:r>
      <w:proofErr w:type="spellEnd"/>
      <w:r w:rsidRPr="00793101">
        <w:rPr>
          <w:szCs w:val="16"/>
          <w:lang w:val="en-US"/>
        </w:rPr>
        <w:t>), 139 CRR (2d) 137.</w:t>
      </w:r>
    </w:p>
  </w:footnote>
  <w:footnote w:id="44">
    <w:p w14:paraId="5204EE7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Zhang v Canada (Attorney General)</w:t>
      </w:r>
      <w:r w:rsidRPr="00793101">
        <w:rPr>
          <w:szCs w:val="16"/>
          <w:lang w:val="en-US"/>
        </w:rPr>
        <w:t xml:space="preserve">, 2007 FCA 201 (available on </w:t>
      </w:r>
      <w:proofErr w:type="spellStart"/>
      <w:r w:rsidRPr="00793101">
        <w:rPr>
          <w:szCs w:val="16"/>
          <w:lang w:val="en-US"/>
        </w:rPr>
        <w:t>CanLII</w:t>
      </w:r>
      <w:proofErr w:type="spellEnd"/>
      <w:r w:rsidRPr="00793101">
        <w:rPr>
          <w:szCs w:val="16"/>
          <w:lang w:val="en-US"/>
        </w:rPr>
        <w:t>), 365 NR 277.</w:t>
      </w:r>
    </w:p>
  </w:footnote>
  <w:footnote w:id="45">
    <w:p w14:paraId="223CFE42" w14:textId="78E1894A"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Criminal Code, supra </w:t>
      </w:r>
      <w:r w:rsidRPr="00793101">
        <w:rPr>
          <w:szCs w:val="16"/>
          <w:lang w:val="en-US"/>
        </w:rPr>
        <w:t xml:space="preserve">note </w:t>
      </w:r>
      <w:r>
        <w:fldChar w:fldCharType="begin"/>
      </w:r>
      <w:r>
        <w:instrText xml:space="preserve"> NOTEREF _Ref266965463 \h  \* MERGEFORMAT </w:instrText>
      </w:r>
      <w:r>
        <w:fldChar w:fldCharType="separate"/>
      </w:r>
      <w:r>
        <w:t>10</w:t>
      </w:r>
      <w:r>
        <w:fldChar w:fldCharType="end"/>
      </w:r>
      <w:r w:rsidRPr="00793101">
        <w:rPr>
          <w:szCs w:val="16"/>
          <w:lang w:val="en-US"/>
        </w:rPr>
        <w:t>,</w:t>
      </w:r>
      <w:r w:rsidRPr="00793101">
        <w:rPr>
          <w:i/>
          <w:szCs w:val="16"/>
          <w:lang w:val="en-US"/>
        </w:rPr>
        <w:t xml:space="preserve"> </w:t>
      </w:r>
      <w:r w:rsidRPr="00793101">
        <w:rPr>
          <w:szCs w:val="16"/>
          <w:lang w:val="en-US"/>
        </w:rPr>
        <w:t>s 504.</w:t>
      </w:r>
    </w:p>
  </w:footnote>
  <w:footnote w:id="46">
    <w:p w14:paraId="3CE15A10" w14:textId="7D322EA5" w:rsidR="00356280" w:rsidRPr="00AA6144" w:rsidRDefault="00356280" w:rsidP="00AA6144">
      <w:pPr>
        <w:widowControl/>
        <w:suppressAutoHyphens w:val="0"/>
        <w:spacing w:after="0" w:line="240" w:lineRule="auto"/>
        <w:rPr>
          <w:rFonts w:ascii="Times New Roman" w:hAnsi="Times New Roman"/>
          <w:color w:val="auto"/>
          <w:szCs w:val="16"/>
          <w:lang w:val="en-CA" w:eastAsia="en-US"/>
        </w:rPr>
      </w:pPr>
      <w:r w:rsidRPr="00AA6144">
        <w:rPr>
          <w:rStyle w:val="FootnoteReference"/>
          <w:sz w:val="16"/>
          <w:szCs w:val="16"/>
        </w:rPr>
        <w:footnoteRef/>
      </w:r>
      <w:r w:rsidRPr="00AA6144">
        <w:rPr>
          <w:sz w:val="16"/>
          <w:szCs w:val="16"/>
        </w:rPr>
        <w:t xml:space="preserve"> </w:t>
      </w:r>
      <w:r w:rsidRPr="00AA6144">
        <w:rPr>
          <w:i/>
          <w:sz w:val="16"/>
          <w:szCs w:val="16"/>
        </w:rPr>
        <w:t xml:space="preserve">Canadian Victims Bill of Rights </w:t>
      </w:r>
      <w:r w:rsidRPr="00AA6144">
        <w:rPr>
          <w:sz w:val="16"/>
          <w:szCs w:val="16"/>
        </w:rPr>
        <w:t>SC 2015, c 13, s 2.</w:t>
      </w:r>
    </w:p>
  </w:footnote>
  <w:footnote w:id="47">
    <w:p w14:paraId="18F2F834"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Victims’ Bill of Rights</w:t>
      </w:r>
      <w:r w:rsidRPr="00793101">
        <w:rPr>
          <w:szCs w:val="16"/>
        </w:rPr>
        <w:t>, SO 1996, c 6 [</w:t>
      </w:r>
      <w:r w:rsidRPr="00793101">
        <w:rPr>
          <w:i/>
          <w:szCs w:val="16"/>
        </w:rPr>
        <w:t>Victims’ Bill of Rights</w:t>
      </w:r>
      <w:r w:rsidRPr="00793101">
        <w:rPr>
          <w:szCs w:val="16"/>
        </w:rPr>
        <w:t>].</w:t>
      </w:r>
    </w:p>
  </w:footnote>
  <w:footnote w:id="48">
    <w:p w14:paraId="3C28AEA5"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An Act respecting assistance for victims of crime</w:t>
      </w:r>
      <w:r w:rsidRPr="00793101">
        <w:rPr>
          <w:szCs w:val="16"/>
          <w:lang w:val="en-US"/>
        </w:rPr>
        <w:t>, RSQ 1988, c A-13.2 [</w:t>
      </w:r>
      <w:r w:rsidRPr="00793101">
        <w:rPr>
          <w:i/>
          <w:szCs w:val="16"/>
          <w:lang w:val="en-US"/>
        </w:rPr>
        <w:t>An Act respecting assistance for victims of crime</w:t>
      </w:r>
      <w:r w:rsidRPr="00793101">
        <w:rPr>
          <w:szCs w:val="16"/>
          <w:lang w:val="en-US"/>
        </w:rPr>
        <w:t>].</w:t>
      </w:r>
    </w:p>
  </w:footnote>
  <w:footnote w:id="49">
    <w:p w14:paraId="7FC0BBEA"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Victims’ rights in Canada</w:t>
      </w:r>
      <w:r w:rsidRPr="00793101">
        <w:rPr>
          <w:szCs w:val="16"/>
        </w:rPr>
        <w:t>, online: Federal Ombudsman for Victims of Crime &lt;http://www.victimsfirst.gc.ca/serv/wvr-qdv.html&gt; [</w:t>
      </w:r>
      <w:r w:rsidRPr="00793101">
        <w:rPr>
          <w:i/>
          <w:szCs w:val="16"/>
        </w:rPr>
        <w:t>Victims’ rights in Canada]</w:t>
      </w:r>
      <w:r w:rsidRPr="00793101">
        <w:rPr>
          <w:szCs w:val="16"/>
        </w:rPr>
        <w:t>.</w:t>
      </w:r>
    </w:p>
  </w:footnote>
  <w:footnote w:id="50">
    <w:p w14:paraId="1FF60741"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Department of Justice Canada, </w:t>
      </w:r>
      <w:r w:rsidRPr="00793101">
        <w:rPr>
          <w:i/>
          <w:szCs w:val="16"/>
        </w:rPr>
        <w:t>Canadian Statement of Basic Principles of Justice for Victims of Crime</w:t>
      </w:r>
      <w:r w:rsidRPr="00793101">
        <w:rPr>
          <w:szCs w:val="16"/>
        </w:rPr>
        <w:t xml:space="preserve"> (2003), online: Department of Justice Canada &lt;http://www.justice.gc.ca/eng/pi/pcvi-cpcv/pub/03/princ.html&gt;.</w:t>
      </w:r>
    </w:p>
  </w:footnote>
  <w:footnote w:id="51">
    <w:p w14:paraId="2F5CA8BB" w14:textId="22ED1E33" w:rsidR="00356280" w:rsidRPr="00540306" w:rsidRDefault="00356280" w:rsidP="008D7C56">
      <w:pPr>
        <w:pStyle w:val="FootnoteText"/>
        <w:spacing w:after="0" w:line="240" w:lineRule="auto"/>
        <w:rPr>
          <w:lang w:val="en-CA"/>
        </w:rPr>
      </w:pPr>
      <w:r>
        <w:rPr>
          <w:rStyle w:val="FootnoteReference"/>
        </w:rPr>
        <w:footnoteRef/>
      </w:r>
      <w:r w:rsidRPr="00540306">
        <w:rPr>
          <w:lang w:val="en-CA"/>
        </w:rPr>
        <w:t xml:space="preserve"> </w:t>
      </w:r>
      <w:proofErr w:type="gramStart"/>
      <w:r w:rsidRPr="00AA6144">
        <w:rPr>
          <w:i/>
          <w:lang w:val="en-CA"/>
        </w:rPr>
        <w:t>Canadian Victims Bill of Rights</w:t>
      </w:r>
      <w:r>
        <w:rPr>
          <w:lang w:val="en-CA"/>
        </w:rPr>
        <w:t>,</w:t>
      </w:r>
      <w:proofErr w:type="gramEnd"/>
      <w:r>
        <w:rPr>
          <w:lang w:val="en-CA"/>
        </w:rPr>
        <w:t xml:space="preserve"> </w:t>
      </w:r>
      <w:r w:rsidRPr="00AA6144">
        <w:rPr>
          <w:i/>
          <w:lang w:val="en-CA"/>
        </w:rPr>
        <w:t xml:space="preserve">supra </w:t>
      </w:r>
      <w:r w:rsidRPr="00540306">
        <w:rPr>
          <w:lang w:val="en-CA"/>
        </w:rPr>
        <w:t>note 44 at para</w:t>
      </w:r>
      <w:r w:rsidRPr="004E484F">
        <w:rPr>
          <w:lang w:val="en-CA"/>
        </w:rPr>
        <w:t xml:space="preserve"> 2.</w:t>
      </w:r>
    </w:p>
  </w:footnote>
  <w:footnote w:id="52">
    <w:p w14:paraId="3C811D35" w14:textId="0CA6AED2" w:rsidR="00356280" w:rsidRPr="00793101" w:rsidRDefault="00356280" w:rsidP="00FD7BFA">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gramStart"/>
      <w:r w:rsidRPr="00793101">
        <w:rPr>
          <w:i/>
          <w:szCs w:val="16"/>
        </w:rPr>
        <w:t>Victims’ Bill of Rights</w:t>
      </w:r>
      <w:r w:rsidRPr="00793101">
        <w:rPr>
          <w:szCs w:val="16"/>
        </w:rPr>
        <w:t>,</w:t>
      </w:r>
      <w:proofErr w:type="gramEnd"/>
      <w:r w:rsidRPr="00793101">
        <w:rPr>
          <w:szCs w:val="16"/>
        </w:rPr>
        <w:t xml:space="preserve"> </w:t>
      </w:r>
      <w:r w:rsidRPr="00793101">
        <w:rPr>
          <w:i/>
          <w:szCs w:val="16"/>
        </w:rPr>
        <w:t>supra</w:t>
      </w:r>
      <w:r w:rsidRPr="00793101">
        <w:rPr>
          <w:szCs w:val="16"/>
        </w:rPr>
        <w:t xml:space="preserve"> note </w:t>
      </w:r>
      <w:r>
        <w:t>45</w:t>
      </w:r>
      <w:r w:rsidRPr="00793101">
        <w:rPr>
          <w:szCs w:val="16"/>
        </w:rPr>
        <w:t xml:space="preserve"> at s 2(1)1.</w:t>
      </w:r>
    </w:p>
  </w:footnote>
  <w:footnote w:id="53">
    <w:p w14:paraId="404A56DE" w14:textId="26EA3B89" w:rsidR="00356280" w:rsidRPr="00793101" w:rsidRDefault="00356280" w:rsidP="00881DFE">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An Act respecting assistance for victims of crime</w:t>
      </w:r>
      <w:r w:rsidRPr="00793101">
        <w:rPr>
          <w:szCs w:val="16"/>
          <w:lang w:val="en-US"/>
        </w:rPr>
        <w:t xml:space="preserve">, supra note </w:t>
      </w:r>
      <w:r>
        <w:fldChar w:fldCharType="begin"/>
      </w:r>
      <w:r>
        <w:instrText xml:space="preserve"> NOTEREF _Ref266965759 \h  \* MERGEFORMAT </w:instrText>
      </w:r>
      <w:r>
        <w:fldChar w:fldCharType="separate"/>
      </w:r>
      <w:r w:rsidRPr="00E045AC">
        <w:rPr>
          <w:szCs w:val="16"/>
          <w:lang w:val="en-US"/>
        </w:rPr>
        <w:t>48</w:t>
      </w:r>
      <w:r>
        <w:fldChar w:fldCharType="end"/>
      </w:r>
      <w:r w:rsidRPr="00793101">
        <w:rPr>
          <w:szCs w:val="16"/>
          <w:lang w:val="en-US"/>
        </w:rPr>
        <w:t xml:space="preserve"> at art 2.</w:t>
      </w:r>
    </w:p>
  </w:footnote>
  <w:footnote w:id="54">
    <w:p w14:paraId="7EF3499A" w14:textId="77777777" w:rsidR="00356280" w:rsidRPr="00793101" w:rsidRDefault="00356280" w:rsidP="00FD7BFA">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Ibid, </w:t>
      </w:r>
      <w:r w:rsidRPr="00793101">
        <w:rPr>
          <w:szCs w:val="16"/>
          <w:lang w:val="en-US"/>
        </w:rPr>
        <w:t>art 6.</w:t>
      </w:r>
    </w:p>
  </w:footnote>
  <w:footnote w:id="55">
    <w:p w14:paraId="565B99AC" w14:textId="56EF7941"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Victims’ Bill of Rights</w:t>
      </w:r>
      <w:r w:rsidRPr="00793101">
        <w:rPr>
          <w:szCs w:val="16"/>
        </w:rPr>
        <w:t xml:space="preserve">, </w:t>
      </w:r>
      <w:r w:rsidRPr="00793101">
        <w:rPr>
          <w:i/>
          <w:szCs w:val="16"/>
        </w:rPr>
        <w:t xml:space="preserve">supra </w:t>
      </w:r>
      <w:r w:rsidRPr="00793101">
        <w:rPr>
          <w:szCs w:val="16"/>
        </w:rPr>
        <w:t>note</w:t>
      </w:r>
      <w:r>
        <w:rPr>
          <w:szCs w:val="16"/>
        </w:rPr>
        <w:t xml:space="preserve"> 45</w:t>
      </w:r>
      <w:r w:rsidRPr="00793101">
        <w:rPr>
          <w:szCs w:val="16"/>
        </w:rPr>
        <w:t>, s 5.</w:t>
      </w:r>
    </w:p>
  </w:footnote>
  <w:footnote w:id="56">
    <w:p w14:paraId="132337B9" w14:textId="3C0B9D89"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An Act respecting assistance for victims of crime</w:t>
      </w:r>
      <w:r w:rsidRPr="00793101">
        <w:rPr>
          <w:szCs w:val="16"/>
          <w:lang w:val="en-US"/>
        </w:rPr>
        <w:t xml:space="preserve">, </w:t>
      </w:r>
      <w:r w:rsidRPr="00793101">
        <w:rPr>
          <w:i/>
          <w:szCs w:val="16"/>
          <w:lang w:val="en-US"/>
        </w:rPr>
        <w:t>supra</w:t>
      </w:r>
      <w:r w:rsidRPr="00793101">
        <w:rPr>
          <w:szCs w:val="16"/>
          <w:lang w:val="en-US"/>
        </w:rPr>
        <w:t xml:space="preserve"> note </w:t>
      </w:r>
      <w:r>
        <w:t>46</w:t>
      </w:r>
      <w:r w:rsidRPr="00793101">
        <w:rPr>
          <w:szCs w:val="16"/>
          <w:lang w:val="en-US"/>
        </w:rPr>
        <w:t>, art 11.</w:t>
      </w:r>
    </w:p>
  </w:footnote>
  <w:footnote w:id="57">
    <w:p w14:paraId="491D7EAF"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Corrections and Conditional Release Act</w:t>
      </w:r>
      <w:r w:rsidRPr="00793101">
        <w:rPr>
          <w:szCs w:val="16"/>
        </w:rPr>
        <w:t>, SC 1992, c 20, ss 26(1)(a), 142(1)(a).</w:t>
      </w:r>
    </w:p>
  </w:footnote>
  <w:footnote w:id="58">
    <w:p w14:paraId="0B91EE8C"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Additionally, paragraphs 26(1)(b) and 142(1)(b) list information that the Correctional Service and Parole Board are permitted to release to victims on a case-by-case basis, if it is determined that the release of said information is justified on the grounds that the interest of the victim in disclosure outweighs any invasion of the offender’s privacy that may result from disclosure.</w:t>
      </w:r>
    </w:p>
  </w:footnote>
  <w:footnote w:id="59">
    <w:p w14:paraId="787924B5" w14:textId="46D9C706"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Victims’ Bill of Rights</w:t>
      </w:r>
      <w:r w:rsidRPr="00793101">
        <w:rPr>
          <w:szCs w:val="16"/>
        </w:rPr>
        <w:t xml:space="preserve">, </w:t>
      </w:r>
      <w:r w:rsidRPr="00793101">
        <w:rPr>
          <w:i/>
          <w:szCs w:val="16"/>
        </w:rPr>
        <w:t>supra</w:t>
      </w:r>
      <w:r w:rsidRPr="00793101">
        <w:rPr>
          <w:szCs w:val="16"/>
        </w:rPr>
        <w:t xml:space="preserve"> note</w:t>
      </w:r>
      <w:r>
        <w:rPr>
          <w:szCs w:val="16"/>
        </w:rPr>
        <w:t xml:space="preserve"> 45</w:t>
      </w:r>
      <w:r w:rsidRPr="00793101">
        <w:rPr>
          <w:szCs w:val="16"/>
        </w:rPr>
        <w:t>, ss 2(1)2, 2(1)3.</w:t>
      </w:r>
    </w:p>
  </w:footnote>
  <w:footnote w:id="60">
    <w:p w14:paraId="5A822844" w14:textId="2BB50819" w:rsidR="00356280" w:rsidRPr="00793101" w:rsidRDefault="00356280" w:rsidP="00FD7BFA">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An Act respecting assistance for victims of crime</w:t>
      </w:r>
      <w:r w:rsidRPr="00793101">
        <w:rPr>
          <w:szCs w:val="16"/>
          <w:lang w:val="en-US"/>
        </w:rPr>
        <w:t xml:space="preserve">, </w:t>
      </w:r>
      <w:r w:rsidRPr="00793101">
        <w:rPr>
          <w:i/>
          <w:szCs w:val="16"/>
          <w:lang w:val="en-US"/>
        </w:rPr>
        <w:t xml:space="preserve">supra </w:t>
      </w:r>
      <w:r w:rsidRPr="00793101">
        <w:rPr>
          <w:szCs w:val="16"/>
          <w:lang w:val="en-US"/>
        </w:rPr>
        <w:t xml:space="preserve">note </w:t>
      </w:r>
      <w:r>
        <w:t>46</w:t>
      </w:r>
      <w:r w:rsidRPr="00793101">
        <w:rPr>
          <w:szCs w:val="16"/>
          <w:lang w:val="en-US"/>
        </w:rPr>
        <w:t>, art 5.</w:t>
      </w:r>
    </w:p>
  </w:footnote>
  <w:footnote w:id="61">
    <w:p w14:paraId="5D6A2D32" w14:textId="592B206F" w:rsidR="00356280" w:rsidRPr="00AA6144" w:rsidRDefault="00356280" w:rsidP="00BA247A">
      <w:pPr>
        <w:pStyle w:val="FootnoteText"/>
        <w:spacing w:after="0" w:line="240" w:lineRule="auto"/>
        <w:rPr>
          <w:lang w:val="en-CA"/>
        </w:rPr>
      </w:pPr>
      <w:r>
        <w:rPr>
          <w:rStyle w:val="FootnoteReference"/>
        </w:rPr>
        <w:footnoteRef/>
      </w:r>
      <w:r w:rsidRPr="00AA6144">
        <w:rPr>
          <w:lang w:val="en-CA"/>
        </w:rPr>
        <w:t xml:space="preserve"> </w:t>
      </w:r>
      <w:r w:rsidRPr="00AA6144">
        <w:rPr>
          <w:i/>
          <w:lang w:val="en-CA"/>
        </w:rPr>
        <w:t>Canadian Victims Bill of Rights</w:t>
      </w:r>
      <w:r>
        <w:rPr>
          <w:i/>
          <w:lang w:val="en-CA"/>
        </w:rPr>
        <w:t>,</w:t>
      </w:r>
      <w:r w:rsidRPr="00AA6144">
        <w:rPr>
          <w:lang w:val="en-CA"/>
        </w:rPr>
        <w:t xml:space="preserve"> </w:t>
      </w:r>
      <w:r w:rsidRPr="00AA6144">
        <w:rPr>
          <w:i/>
          <w:lang w:val="en-CA"/>
        </w:rPr>
        <w:t xml:space="preserve">supra </w:t>
      </w:r>
      <w:r w:rsidRPr="00AA6144">
        <w:rPr>
          <w:lang w:val="en-CA"/>
        </w:rPr>
        <w:t>note 44, art</w:t>
      </w:r>
      <w:r>
        <w:rPr>
          <w:lang w:val="en-CA"/>
        </w:rPr>
        <w:t>.</w:t>
      </w:r>
      <w:r w:rsidRPr="00AA6144">
        <w:rPr>
          <w:lang w:val="en-CA"/>
        </w:rPr>
        <w:t xml:space="preserve"> 6. </w:t>
      </w:r>
    </w:p>
  </w:footnote>
  <w:footnote w:id="62">
    <w:p w14:paraId="43D405DD" w14:textId="3B8D3785" w:rsidR="00356280" w:rsidRPr="00AA6144" w:rsidRDefault="00356280" w:rsidP="00BA247A">
      <w:pPr>
        <w:pStyle w:val="FootnoteText"/>
        <w:spacing w:after="0" w:line="240" w:lineRule="auto"/>
        <w:rPr>
          <w:lang w:val="en-CA"/>
        </w:rPr>
      </w:pPr>
      <w:r>
        <w:rPr>
          <w:rStyle w:val="FootnoteReference"/>
        </w:rPr>
        <w:footnoteRef/>
      </w:r>
      <w:r w:rsidRPr="00AA6144">
        <w:rPr>
          <w:lang w:val="en-CA"/>
        </w:rPr>
        <w:t xml:space="preserve"> </w:t>
      </w:r>
      <w:r>
        <w:rPr>
          <w:i/>
          <w:lang w:val="en-CA"/>
        </w:rPr>
        <w:t>Ibid</w:t>
      </w:r>
      <w:r w:rsidRPr="00AA6144">
        <w:rPr>
          <w:lang w:val="en-CA"/>
        </w:rPr>
        <w:t>, art 7.</w:t>
      </w:r>
    </w:p>
  </w:footnote>
  <w:footnote w:id="63">
    <w:p w14:paraId="060B4315" w14:textId="47587F35" w:rsidR="00356280" w:rsidRPr="00AA6144" w:rsidRDefault="00356280" w:rsidP="00AA6144">
      <w:pPr>
        <w:pStyle w:val="FootnoteText"/>
        <w:spacing w:after="0" w:line="240" w:lineRule="auto"/>
        <w:rPr>
          <w:lang w:val="en-CA"/>
        </w:rPr>
      </w:pPr>
      <w:r>
        <w:rPr>
          <w:rStyle w:val="FootnoteReference"/>
        </w:rPr>
        <w:footnoteRef/>
      </w:r>
      <w:r w:rsidRPr="00AA6144">
        <w:rPr>
          <w:lang w:val="en-CA"/>
        </w:rPr>
        <w:t xml:space="preserve"> </w:t>
      </w:r>
      <w:r>
        <w:rPr>
          <w:i/>
          <w:lang w:val="en-CA"/>
        </w:rPr>
        <w:t>Ibid</w:t>
      </w:r>
      <w:r w:rsidRPr="00AA6144">
        <w:rPr>
          <w:lang w:val="en-CA"/>
        </w:rPr>
        <w:t xml:space="preserve">, art </w:t>
      </w:r>
      <w:r>
        <w:rPr>
          <w:lang w:val="en-CA"/>
        </w:rPr>
        <w:t>8</w:t>
      </w:r>
      <w:r w:rsidRPr="00AA6144">
        <w:rPr>
          <w:lang w:val="en-CA"/>
        </w:rPr>
        <w:t>.</w:t>
      </w:r>
    </w:p>
  </w:footnote>
  <w:footnote w:id="64">
    <w:p w14:paraId="4E4FA3ED" w14:textId="65C97FE7" w:rsidR="00356280" w:rsidRPr="00AA6144" w:rsidRDefault="00356280" w:rsidP="00FD7BFA">
      <w:pPr>
        <w:pStyle w:val="FootnoteText"/>
        <w:spacing w:after="0" w:line="240" w:lineRule="auto"/>
        <w:rPr>
          <w:szCs w:val="16"/>
          <w:lang w:val="en-CA"/>
        </w:rPr>
      </w:pPr>
      <w:r w:rsidRPr="00793101">
        <w:rPr>
          <w:rStyle w:val="FootnoteReference"/>
          <w:szCs w:val="16"/>
        </w:rPr>
        <w:footnoteRef/>
      </w:r>
      <w:r w:rsidRPr="00AA6144">
        <w:rPr>
          <w:szCs w:val="16"/>
          <w:lang w:val="en-CA"/>
        </w:rPr>
        <w:t xml:space="preserve"> </w:t>
      </w:r>
      <w:r w:rsidRPr="00AA6144">
        <w:rPr>
          <w:i/>
          <w:szCs w:val="16"/>
          <w:lang w:val="en-CA"/>
        </w:rPr>
        <w:t>Criminal Code</w:t>
      </w:r>
      <w:r w:rsidRPr="00AA6144">
        <w:rPr>
          <w:szCs w:val="16"/>
          <w:lang w:val="en-CA"/>
        </w:rPr>
        <w:t xml:space="preserve">, </w:t>
      </w:r>
      <w:r w:rsidRPr="00AA6144">
        <w:rPr>
          <w:i/>
          <w:szCs w:val="16"/>
          <w:lang w:val="en-CA"/>
        </w:rPr>
        <w:t>supra</w:t>
      </w:r>
      <w:r w:rsidRPr="00AA6144">
        <w:rPr>
          <w:szCs w:val="16"/>
          <w:lang w:val="en-CA"/>
        </w:rPr>
        <w:t xml:space="preserve"> note </w:t>
      </w:r>
      <w:r>
        <w:fldChar w:fldCharType="begin"/>
      </w:r>
      <w:r w:rsidRPr="00AA6144">
        <w:rPr>
          <w:lang w:val="en-CA"/>
        </w:rPr>
        <w:instrText xml:space="preserve"> NOTEREF _Ref266965463 \h  \* MERGEFORMAT </w:instrText>
      </w:r>
      <w:r>
        <w:fldChar w:fldCharType="separate"/>
      </w:r>
      <w:r>
        <w:rPr>
          <w:lang w:val="en-CA"/>
        </w:rPr>
        <w:t>10</w:t>
      </w:r>
      <w:r>
        <w:fldChar w:fldCharType="end"/>
      </w:r>
      <w:r w:rsidRPr="00AA6144">
        <w:rPr>
          <w:szCs w:val="16"/>
          <w:lang w:val="en-CA"/>
        </w:rPr>
        <w:t>, s 722.</w:t>
      </w:r>
    </w:p>
  </w:footnote>
  <w:footnote w:id="65">
    <w:p w14:paraId="6050922A" w14:textId="551DC310" w:rsidR="00356280" w:rsidRPr="00793101" w:rsidRDefault="00356280" w:rsidP="00881DFE">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Victims’ rights in Canada</w:t>
      </w:r>
      <w:r w:rsidRPr="00793101">
        <w:rPr>
          <w:szCs w:val="16"/>
        </w:rPr>
        <w:t xml:space="preserve">, </w:t>
      </w:r>
      <w:r w:rsidRPr="00793101">
        <w:rPr>
          <w:i/>
          <w:szCs w:val="16"/>
        </w:rPr>
        <w:t>supra</w:t>
      </w:r>
      <w:r w:rsidRPr="00793101">
        <w:rPr>
          <w:szCs w:val="16"/>
        </w:rPr>
        <w:t xml:space="preserve"> note</w:t>
      </w:r>
      <w:r>
        <w:rPr>
          <w:szCs w:val="16"/>
        </w:rPr>
        <w:t xml:space="preserve"> 47</w:t>
      </w:r>
      <w:r w:rsidRPr="00793101">
        <w:rPr>
          <w:szCs w:val="16"/>
        </w:rPr>
        <w:t>.</w:t>
      </w:r>
    </w:p>
  </w:footnote>
  <w:footnote w:id="66">
    <w:p w14:paraId="0E0431A6" w14:textId="7F308163" w:rsidR="00356280" w:rsidRPr="00793101" w:rsidRDefault="00356280" w:rsidP="00FD7BFA">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An Act respecting assistance for victims of crime</w:t>
      </w:r>
      <w:r w:rsidRPr="00793101">
        <w:rPr>
          <w:szCs w:val="16"/>
          <w:lang w:val="en-US"/>
        </w:rPr>
        <w:t xml:space="preserve">, </w:t>
      </w:r>
      <w:r w:rsidRPr="00793101">
        <w:rPr>
          <w:i/>
          <w:szCs w:val="16"/>
          <w:lang w:val="en-US"/>
        </w:rPr>
        <w:t>supra</w:t>
      </w:r>
      <w:r w:rsidRPr="00793101">
        <w:rPr>
          <w:szCs w:val="16"/>
          <w:lang w:val="en-US"/>
        </w:rPr>
        <w:t xml:space="preserve"> note</w:t>
      </w:r>
      <w:r>
        <w:rPr>
          <w:szCs w:val="16"/>
          <w:lang w:val="en-US"/>
        </w:rPr>
        <w:t xml:space="preserve"> 46</w:t>
      </w:r>
      <w:r w:rsidRPr="00793101">
        <w:rPr>
          <w:szCs w:val="16"/>
          <w:lang w:val="en-US"/>
        </w:rPr>
        <w:t>, art 3(4).</w:t>
      </w:r>
    </w:p>
  </w:footnote>
  <w:footnote w:id="67">
    <w:p w14:paraId="3AEF1963" w14:textId="6ED76ADA" w:rsidR="00356280" w:rsidRPr="00AA6144" w:rsidRDefault="00356280" w:rsidP="00BA247A">
      <w:pPr>
        <w:pStyle w:val="FootnoteText"/>
        <w:spacing w:after="0" w:line="240" w:lineRule="auto"/>
        <w:rPr>
          <w:lang w:val="en-CA"/>
        </w:rPr>
      </w:pPr>
      <w:r>
        <w:rPr>
          <w:rStyle w:val="FootnoteReference"/>
        </w:rPr>
        <w:footnoteRef/>
      </w:r>
      <w:r w:rsidRPr="00AA6144">
        <w:rPr>
          <w:lang w:val="en-CA"/>
        </w:rPr>
        <w:t xml:space="preserve"> </w:t>
      </w:r>
      <w:r w:rsidRPr="00004FA6">
        <w:rPr>
          <w:i/>
          <w:lang w:val="en-CA"/>
        </w:rPr>
        <w:t>Canadian Victims Bill of Rights</w:t>
      </w:r>
      <w:r>
        <w:rPr>
          <w:lang w:val="en-CA"/>
        </w:rPr>
        <w:t xml:space="preserve">, </w:t>
      </w:r>
      <w:r w:rsidRPr="00AA6144">
        <w:rPr>
          <w:i/>
          <w:lang w:val="en-CA"/>
        </w:rPr>
        <w:t xml:space="preserve">supra </w:t>
      </w:r>
      <w:r w:rsidRPr="00004FA6">
        <w:rPr>
          <w:lang w:val="en-CA"/>
        </w:rPr>
        <w:t>note 44, art</w:t>
      </w:r>
      <w:r>
        <w:rPr>
          <w:lang w:val="en-CA"/>
        </w:rPr>
        <w:t>.</w:t>
      </w:r>
      <w:r w:rsidRPr="00004FA6">
        <w:rPr>
          <w:lang w:val="en-CA"/>
        </w:rPr>
        <w:t xml:space="preserve"> </w:t>
      </w:r>
      <w:r>
        <w:rPr>
          <w:lang w:val="en-CA"/>
        </w:rPr>
        <w:t>14</w:t>
      </w:r>
      <w:r w:rsidRPr="00004FA6">
        <w:rPr>
          <w:lang w:val="en-CA"/>
        </w:rPr>
        <w:t>.</w:t>
      </w:r>
    </w:p>
  </w:footnote>
  <w:footnote w:id="68">
    <w:p w14:paraId="01D8A2FB" w14:textId="0558BE8E" w:rsidR="00356280" w:rsidRPr="00AA6144" w:rsidRDefault="00356280" w:rsidP="00167C90">
      <w:pPr>
        <w:pStyle w:val="FootnoteText"/>
        <w:spacing w:after="0" w:line="240" w:lineRule="auto"/>
        <w:rPr>
          <w:lang w:val="en-CA"/>
        </w:rPr>
      </w:pPr>
      <w:r>
        <w:rPr>
          <w:rStyle w:val="FootnoteReference"/>
        </w:rPr>
        <w:footnoteRef/>
      </w:r>
      <w:r w:rsidRPr="00AA6144">
        <w:rPr>
          <w:lang w:val="en-CA"/>
        </w:rPr>
        <w:t xml:space="preserve"> </w:t>
      </w:r>
      <w:r>
        <w:rPr>
          <w:i/>
          <w:lang w:val="en-CA"/>
        </w:rPr>
        <w:t>Ibid</w:t>
      </w:r>
      <w:r w:rsidRPr="00004FA6">
        <w:rPr>
          <w:lang w:val="en-CA"/>
        </w:rPr>
        <w:t xml:space="preserve">, art </w:t>
      </w:r>
      <w:r>
        <w:rPr>
          <w:lang w:val="en-CA"/>
        </w:rPr>
        <w:t>15</w:t>
      </w:r>
      <w:r w:rsidRPr="00004FA6">
        <w:rPr>
          <w:lang w:val="en-CA"/>
        </w:rPr>
        <w:t>.</w:t>
      </w:r>
    </w:p>
  </w:footnote>
  <w:footnote w:id="69">
    <w:p w14:paraId="3E0151D2" w14:textId="5E80D35D" w:rsidR="00356280" w:rsidRPr="00AA6144" w:rsidRDefault="00356280" w:rsidP="00AA6144">
      <w:pPr>
        <w:pStyle w:val="FootnoteText"/>
        <w:spacing w:after="0" w:line="240" w:lineRule="auto"/>
        <w:rPr>
          <w:lang w:val="en-CA"/>
        </w:rPr>
      </w:pPr>
      <w:r>
        <w:rPr>
          <w:rStyle w:val="FootnoteReference"/>
        </w:rPr>
        <w:footnoteRef/>
      </w:r>
      <w:r w:rsidRPr="00AA6144">
        <w:rPr>
          <w:lang w:val="en-CA"/>
        </w:rPr>
        <w:t xml:space="preserve"> </w:t>
      </w:r>
      <w:r>
        <w:rPr>
          <w:i/>
          <w:lang w:val="en-CA"/>
        </w:rPr>
        <w:t>Ibid</w:t>
      </w:r>
      <w:r w:rsidRPr="00004FA6">
        <w:rPr>
          <w:lang w:val="en-CA"/>
        </w:rPr>
        <w:t xml:space="preserve">, art </w:t>
      </w:r>
      <w:r>
        <w:rPr>
          <w:lang w:val="en-CA"/>
        </w:rPr>
        <w:t>16</w:t>
      </w:r>
      <w:r w:rsidRPr="00004FA6">
        <w:rPr>
          <w:lang w:val="en-CA"/>
        </w:rPr>
        <w:t>.</w:t>
      </w:r>
    </w:p>
  </w:footnote>
  <w:footnote w:id="70">
    <w:p w14:paraId="5719433A" w14:textId="1DB595F9" w:rsidR="00356280" w:rsidRPr="00004FA6" w:rsidRDefault="00356280" w:rsidP="00BA247A">
      <w:pPr>
        <w:pStyle w:val="FootnoteText"/>
        <w:spacing w:after="0" w:line="240" w:lineRule="auto"/>
        <w:rPr>
          <w:lang w:val="en-CA"/>
        </w:rPr>
      </w:pPr>
      <w:r>
        <w:rPr>
          <w:rStyle w:val="FootnoteReference"/>
        </w:rPr>
        <w:footnoteRef/>
      </w:r>
      <w:r w:rsidRPr="00004FA6">
        <w:rPr>
          <w:lang w:val="en-CA"/>
        </w:rPr>
        <w:t xml:space="preserve"> </w:t>
      </w:r>
      <w:r>
        <w:rPr>
          <w:i/>
          <w:lang w:val="en-CA"/>
        </w:rPr>
        <w:t>Ibid</w:t>
      </w:r>
      <w:r w:rsidRPr="00004FA6">
        <w:rPr>
          <w:lang w:val="en-CA"/>
        </w:rPr>
        <w:t xml:space="preserve">, art </w:t>
      </w:r>
      <w:r>
        <w:rPr>
          <w:lang w:val="en-CA"/>
        </w:rPr>
        <w:t>17</w:t>
      </w:r>
      <w:r w:rsidRPr="00004FA6">
        <w:rPr>
          <w:lang w:val="en-CA"/>
        </w:rPr>
        <w:t>.</w:t>
      </w:r>
    </w:p>
  </w:footnote>
  <w:footnote w:id="71">
    <w:p w14:paraId="51F15F5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lang w:val="en-US"/>
        </w:rPr>
        <w:t>Libman</w:t>
      </w:r>
      <w:proofErr w:type="spellEnd"/>
      <w:r w:rsidRPr="00793101">
        <w:rPr>
          <w:i/>
          <w:szCs w:val="16"/>
          <w:lang w:val="en-US"/>
        </w:rPr>
        <w:t xml:space="preserve"> v The Queen, </w:t>
      </w:r>
      <w:r w:rsidRPr="00793101">
        <w:rPr>
          <w:szCs w:val="16"/>
          <w:lang w:val="en-US"/>
        </w:rPr>
        <w:t>[1985] 2 SCR 178.</w:t>
      </w:r>
    </w:p>
  </w:footnote>
  <w:footnote w:id="72">
    <w:p w14:paraId="33E40CC9" w14:textId="2E5027B0" w:rsidR="00356280" w:rsidRPr="00793101" w:rsidRDefault="00356280" w:rsidP="00FD7BFA">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Robert J Currie, </w:t>
      </w:r>
      <w:r w:rsidRPr="00793101">
        <w:rPr>
          <w:i/>
          <w:szCs w:val="16"/>
          <w:lang w:val="en-US"/>
        </w:rPr>
        <w:t>International and Transnational Criminal Law</w:t>
      </w:r>
      <w:r>
        <w:rPr>
          <w:szCs w:val="16"/>
          <w:lang w:val="en-US"/>
        </w:rPr>
        <w:t>, 2</w:t>
      </w:r>
      <w:r w:rsidRPr="00AA6144">
        <w:rPr>
          <w:szCs w:val="16"/>
          <w:vertAlign w:val="superscript"/>
          <w:lang w:val="en-US"/>
        </w:rPr>
        <w:t>nd</w:t>
      </w:r>
      <w:r>
        <w:rPr>
          <w:szCs w:val="16"/>
          <w:lang w:val="en-US"/>
        </w:rPr>
        <w:t xml:space="preserve"> ed. </w:t>
      </w:r>
      <w:r w:rsidRPr="00793101">
        <w:rPr>
          <w:szCs w:val="16"/>
          <w:lang w:val="en-US"/>
        </w:rPr>
        <w:t>(</w:t>
      </w:r>
      <w:r w:rsidRPr="00793101">
        <w:rPr>
          <w:color w:val="auto"/>
          <w:szCs w:val="16"/>
          <w:lang w:val="en-CA"/>
        </w:rPr>
        <w:t>Toronto: Essentials of Canadian law, 201</w:t>
      </w:r>
      <w:r>
        <w:rPr>
          <w:color w:val="auto"/>
          <w:szCs w:val="16"/>
          <w:lang w:val="en-CA"/>
        </w:rPr>
        <w:t>3</w:t>
      </w:r>
      <w:r w:rsidRPr="00793101">
        <w:rPr>
          <w:color w:val="auto"/>
          <w:szCs w:val="16"/>
          <w:lang w:val="en-CA"/>
        </w:rPr>
        <w:t>) [Currie] at</w:t>
      </w:r>
      <w:r w:rsidRPr="00793101">
        <w:rPr>
          <w:szCs w:val="16"/>
          <w:lang w:val="en-US"/>
        </w:rPr>
        <w:t xml:space="preserve"> </w:t>
      </w:r>
      <w:r>
        <w:rPr>
          <w:szCs w:val="16"/>
          <w:lang w:val="en-US"/>
        </w:rPr>
        <w:t>62-63</w:t>
      </w:r>
      <w:r w:rsidRPr="00793101">
        <w:rPr>
          <w:szCs w:val="16"/>
          <w:lang w:val="en-US"/>
        </w:rPr>
        <w:t>.</w:t>
      </w:r>
    </w:p>
  </w:footnote>
  <w:footnote w:id="73">
    <w:p w14:paraId="4ECB55FB" w14:textId="76BC2521" w:rsidR="00356280" w:rsidRPr="00793101" w:rsidRDefault="00356280" w:rsidP="00FD7BFA">
      <w:pPr>
        <w:spacing w:after="0" w:line="240" w:lineRule="auto"/>
        <w:jc w:val="both"/>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 xml:space="preserve">Criminal Code, supra </w:t>
      </w:r>
      <w:r w:rsidRPr="00793101">
        <w:rPr>
          <w:sz w:val="16"/>
          <w:szCs w:val="16"/>
          <w:lang w:val="en-CA"/>
        </w:rPr>
        <w:t xml:space="preserve">note </w:t>
      </w:r>
      <w:r w:rsidRPr="00AA6144">
        <w:rPr>
          <w:sz w:val="16"/>
          <w:szCs w:val="16"/>
        </w:rPr>
        <w:fldChar w:fldCharType="begin"/>
      </w:r>
      <w:r w:rsidRPr="00AA6144">
        <w:rPr>
          <w:sz w:val="16"/>
          <w:szCs w:val="16"/>
        </w:rPr>
        <w:instrText xml:space="preserve"> NOTEREF _Ref266965463 \h  \* MERGEFORMAT </w:instrText>
      </w:r>
      <w:r w:rsidRPr="00AA6144">
        <w:rPr>
          <w:sz w:val="16"/>
          <w:szCs w:val="16"/>
        </w:rPr>
      </w:r>
      <w:r w:rsidRPr="00AA6144">
        <w:rPr>
          <w:sz w:val="16"/>
          <w:szCs w:val="16"/>
        </w:rPr>
        <w:fldChar w:fldCharType="separate"/>
      </w:r>
      <w:r>
        <w:rPr>
          <w:sz w:val="16"/>
          <w:szCs w:val="16"/>
        </w:rPr>
        <w:t>10</w:t>
      </w:r>
      <w:r w:rsidRPr="00AA6144">
        <w:rPr>
          <w:sz w:val="16"/>
          <w:szCs w:val="16"/>
        </w:rPr>
        <w:fldChar w:fldCharType="end"/>
      </w:r>
      <w:r w:rsidRPr="0030782D">
        <w:rPr>
          <w:sz w:val="16"/>
          <w:szCs w:val="16"/>
          <w:lang w:val="en-CA"/>
        </w:rPr>
        <w:t>,</w:t>
      </w:r>
      <w:r w:rsidRPr="00793101">
        <w:rPr>
          <w:sz w:val="16"/>
          <w:szCs w:val="16"/>
          <w:lang w:val="en-CA"/>
        </w:rPr>
        <w:t xml:space="preserve"> s 46(3): ‘‘Notwithstanding subsection (1) or (2), a Canadian citizen or a person who owes allegiance to Her Majesty in right of Canada, (</w:t>
      </w:r>
      <w:r w:rsidRPr="00793101">
        <w:rPr>
          <w:rStyle w:val="Emphasis"/>
          <w:sz w:val="16"/>
          <w:szCs w:val="16"/>
          <w:lang w:val="en-CA"/>
        </w:rPr>
        <w:t>a</w:t>
      </w:r>
      <w:r w:rsidRPr="00793101">
        <w:rPr>
          <w:sz w:val="16"/>
          <w:szCs w:val="16"/>
          <w:lang w:val="en-CA"/>
        </w:rPr>
        <w:t>) commits high treason if, while in or out of Canada, he does anything mentioned in subsection (1); or (</w:t>
      </w:r>
      <w:r w:rsidRPr="00793101">
        <w:rPr>
          <w:rStyle w:val="Emphasis"/>
          <w:sz w:val="16"/>
          <w:szCs w:val="16"/>
          <w:lang w:val="en-CA"/>
        </w:rPr>
        <w:t>b</w:t>
      </w:r>
      <w:r w:rsidRPr="00793101">
        <w:rPr>
          <w:sz w:val="16"/>
          <w:szCs w:val="16"/>
          <w:lang w:val="en-CA"/>
        </w:rPr>
        <w:t>) commits treason if, while in or out of Canada, he does anything mentioned in subsection (2).’’</w:t>
      </w:r>
    </w:p>
  </w:footnote>
  <w:footnote w:id="74">
    <w:p w14:paraId="69AE6BA7" w14:textId="77777777" w:rsidR="00356280" w:rsidRPr="00793101" w:rsidRDefault="00356280" w:rsidP="0040644D">
      <w:pPr>
        <w:spacing w:after="0" w:line="240" w:lineRule="auto"/>
        <w:jc w:val="both"/>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Ibid</w:t>
      </w:r>
      <w:r w:rsidRPr="00793101">
        <w:rPr>
          <w:sz w:val="16"/>
          <w:szCs w:val="16"/>
          <w:lang w:val="en-CA"/>
        </w:rPr>
        <w:t>, s 7(3.75): ‘‘Notwithstanding anything in this Act or any other Act, every one who commits an act or omission outside Canada that, if committed in Canada, would be an indictable offence and would also constitute a terrorist activity referred to in paragraph (</w:t>
      </w:r>
      <w:r w:rsidRPr="00793101">
        <w:rPr>
          <w:rStyle w:val="Emphasis"/>
          <w:sz w:val="16"/>
          <w:szCs w:val="16"/>
          <w:lang w:val="en-CA"/>
        </w:rPr>
        <w:t>b</w:t>
      </w:r>
      <w:r w:rsidRPr="00793101">
        <w:rPr>
          <w:sz w:val="16"/>
          <w:szCs w:val="16"/>
          <w:lang w:val="en-CA"/>
        </w:rPr>
        <w:t xml:space="preserve">) of the definition </w:t>
      </w:r>
      <w:r w:rsidRPr="00793101">
        <w:rPr>
          <w:rStyle w:val="HTMLDefinition"/>
          <w:sz w:val="16"/>
          <w:szCs w:val="16"/>
          <w:lang w:val="en-CA"/>
        </w:rPr>
        <w:t>“terrorist activity”</w:t>
      </w:r>
      <w:r w:rsidRPr="00793101">
        <w:rPr>
          <w:sz w:val="16"/>
          <w:szCs w:val="16"/>
          <w:lang w:val="en-CA"/>
        </w:rPr>
        <w:t xml:space="preserve"> in subsection 83.01(1) is deemed to commit that act or omission in Canada [...]’’.</w:t>
      </w:r>
    </w:p>
  </w:footnote>
  <w:footnote w:id="75">
    <w:p w14:paraId="6364CDF7"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szCs w:val="16"/>
          <w:lang w:val="en-CA"/>
        </w:rPr>
        <w:t>Ibid</w:t>
      </w:r>
      <w:r w:rsidRPr="00793101">
        <w:rPr>
          <w:szCs w:val="16"/>
          <w:lang w:val="en-CA"/>
        </w:rPr>
        <w:t>, s</w:t>
      </w:r>
      <w:r w:rsidRPr="00793101">
        <w:rPr>
          <w:color w:val="auto"/>
          <w:szCs w:val="16"/>
          <w:lang w:val="en-CA"/>
        </w:rPr>
        <w:t xml:space="preserve"> 7(3.7): ‘‘Notwithstanding anything in this Act or any other Act, every one who, outside Canada, commits an act or omission that, if committed in Canada, would constitute an offence against, a conspiracy or an attempt to commit an offence against, being an accessory after the fact in relation to an offence against, or any counselling in relation to an offence [of torture] shall be deemed to commit that act or omission in Canada [...]’’.</w:t>
      </w:r>
    </w:p>
  </w:footnote>
  <w:footnote w:id="76">
    <w:p w14:paraId="2D3E76F1" w14:textId="77777777" w:rsidR="00356280" w:rsidRPr="00793101" w:rsidRDefault="00356280" w:rsidP="0040644D">
      <w:pPr>
        <w:spacing w:after="0" w:line="240" w:lineRule="auto"/>
        <w:jc w:val="both"/>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Ibid</w:t>
      </w:r>
      <w:r w:rsidRPr="00793101">
        <w:rPr>
          <w:sz w:val="16"/>
          <w:szCs w:val="16"/>
          <w:lang w:val="en-CA"/>
        </w:rPr>
        <w:t xml:space="preserve">, s 7(3.71): ‘‘Notwithstanding anything in this Act or any other Act, every one who, outside Canada, commits an act or omission against a member of United Nations personnel or associated personnel or against property referred to in section 431.1 that, if committed in Canada, would constitute an offence against, a conspiracy or an attempt to commit an offence against, or being an accessory after the fact or counselling in relation to an offence against, section 235, 236, 266, 267, 268, 269, 269.1, 271, 272, 273, 279, 279.1, 424.1 or 431.1 is deemed to commit that act or omission in Canada [...]’’. </w:t>
      </w:r>
    </w:p>
  </w:footnote>
  <w:footnote w:id="77">
    <w:p w14:paraId="5065B8D7" w14:textId="77777777" w:rsidR="00356280" w:rsidRPr="00793101" w:rsidRDefault="00356280" w:rsidP="0040644D">
      <w:pPr>
        <w:spacing w:after="0" w:line="240" w:lineRule="auto"/>
        <w:jc w:val="both"/>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Ibid</w:t>
      </w:r>
      <w:r w:rsidRPr="00793101">
        <w:rPr>
          <w:sz w:val="16"/>
          <w:szCs w:val="16"/>
          <w:lang w:val="en-CA"/>
        </w:rPr>
        <w:t>, s (4.1): “Notwithstanding anything in this Act or any other Act, every one who, outside Canada, commits an act or omission that if committed in Canada would be an offence against section 151, 152, 153, 155 or 159, subsection 160(2) or (3), section 163.1, 170, 171 or 173 or subsection 212(4) shall be deemed to commit that act or omission in Canada if the person who commits the act or omission is a Canadian citizen or a permanent resident [...]”.</w:t>
      </w:r>
    </w:p>
  </w:footnote>
  <w:footnote w:id="78">
    <w:p w14:paraId="69710045" w14:textId="77777777" w:rsidR="00356280" w:rsidRPr="007B53D3" w:rsidRDefault="00356280" w:rsidP="0040644D">
      <w:pPr>
        <w:pStyle w:val="FootnoteText"/>
        <w:spacing w:after="0" w:line="240" w:lineRule="auto"/>
        <w:rPr>
          <w:szCs w:val="16"/>
          <w:lang w:val="es-AR"/>
        </w:rPr>
      </w:pPr>
      <w:r w:rsidRPr="00793101">
        <w:rPr>
          <w:rStyle w:val="FootnoteReference"/>
          <w:szCs w:val="16"/>
        </w:rPr>
        <w:footnoteRef/>
      </w:r>
      <w:r w:rsidRPr="007B53D3">
        <w:rPr>
          <w:szCs w:val="16"/>
          <w:lang w:val="es-AR"/>
        </w:rPr>
        <w:t xml:space="preserve"> </w:t>
      </w:r>
      <w:proofErr w:type="spellStart"/>
      <w:r w:rsidRPr="007B53D3">
        <w:rPr>
          <w:i/>
          <w:szCs w:val="16"/>
          <w:lang w:val="es-AR"/>
        </w:rPr>
        <w:t>Ibid</w:t>
      </w:r>
      <w:proofErr w:type="spellEnd"/>
      <w:r w:rsidRPr="007B53D3">
        <w:rPr>
          <w:szCs w:val="16"/>
          <w:lang w:val="es-AR"/>
        </w:rPr>
        <w:t xml:space="preserve">, </w:t>
      </w:r>
      <w:proofErr w:type="spellStart"/>
      <w:r w:rsidRPr="007B53D3">
        <w:rPr>
          <w:szCs w:val="16"/>
          <w:lang w:val="es-AR"/>
        </w:rPr>
        <w:t>ss</w:t>
      </w:r>
      <w:proofErr w:type="spellEnd"/>
      <w:r w:rsidRPr="007B53D3">
        <w:rPr>
          <w:szCs w:val="16"/>
          <w:lang w:val="es-AR"/>
        </w:rPr>
        <w:t xml:space="preserve"> 7(2.1)(f), 7(2.31)(a), 7(3)(d)(i), 7(3)(d)(</w:t>
      </w:r>
      <w:proofErr w:type="spellStart"/>
      <w:r w:rsidRPr="007B53D3">
        <w:rPr>
          <w:szCs w:val="16"/>
          <w:lang w:val="es-AR"/>
        </w:rPr>
        <w:t>ii</w:t>
      </w:r>
      <w:proofErr w:type="spellEnd"/>
      <w:r w:rsidRPr="007B53D3">
        <w:rPr>
          <w:szCs w:val="16"/>
          <w:lang w:val="es-AR"/>
        </w:rPr>
        <w:t>), 7(3.1)(e), 7(3.7)(d), 7(3.71)(e), 7(3.72)(e), 7(3.73)(g), 7(3.75)(a)</w:t>
      </w:r>
    </w:p>
  </w:footnote>
  <w:footnote w:id="79">
    <w:p w14:paraId="2F24540C"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szCs w:val="16"/>
          <w:lang w:val="en-CA"/>
        </w:rPr>
        <w:t>Ibid</w:t>
      </w:r>
      <w:r w:rsidRPr="00793101">
        <w:rPr>
          <w:szCs w:val="16"/>
          <w:lang w:val="en-CA"/>
        </w:rPr>
        <w:t>, ss</w:t>
      </w:r>
      <w:r w:rsidRPr="00793101">
        <w:rPr>
          <w:color w:val="auto"/>
          <w:szCs w:val="16"/>
          <w:lang w:val="en-CA"/>
        </w:rPr>
        <w:t xml:space="preserve"> 7(3)(d)(</w:t>
      </w:r>
      <w:proofErr w:type="spellStart"/>
      <w:r w:rsidRPr="00793101">
        <w:rPr>
          <w:color w:val="auto"/>
          <w:szCs w:val="16"/>
          <w:lang w:val="en-CA"/>
        </w:rPr>
        <w:t>i</w:t>
      </w:r>
      <w:proofErr w:type="spellEnd"/>
      <w:r w:rsidRPr="00793101">
        <w:rPr>
          <w:color w:val="auto"/>
          <w:szCs w:val="16"/>
          <w:lang w:val="en-CA"/>
        </w:rPr>
        <w:t>) and (ii): ‘‘Notwithstanding anything in this Act or any other Act, every one who, outside Canada, commits an act or omission against the person of an internationally protected person or against any property referred to in section 431 used by that person that, if committed in Canada, would be an offence against any of sections 235, 236, 266, 267, 268, 269, 269.1, 271, 272, 273, 279, 279.1, 280 to 283, 424 and 431 is deemed to commit that act or omission in Canada if [...]the act or omission is against [...]a person who enjoys the status of an internationally protected person by virtue of the functions that person performs on behalf of Canada, or [...] a member of the family of a person [...]’’.</w:t>
      </w:r>
    </w:p>
  </w:footnote>
  <w:footnote w:id="80">
    <w:p w14:paraId="1FB9294D" w14:textId="77777777" w:rsidR="00356280" w:rsidRPr="00793101" w:rsidRDefault="00356280" w:rsidP="0040644D">
      <w:pPr>
        <w:pStyle w:val="subsection"/>
        <w:spacing w:before="0" w:beforeAutospacing="0" w:after="0" w:afterAutospacing="0"/>
        <w:jc w:val="both"/>
        <w:rPr>
          <w:rFonts w:ascii="Amnesty Trade Gothic" w:hAnsi="Amnesty Trade Gothic"/>
          <w:sz w:val="16"/>
          <w:szCs w:val="16"/>
          <w:lang w:val="en-CA"/>
        </w:rPr>
      </w:pPr>
      <w:r w:rsidRPr="00793101">
        <w:rPr>
          <w:rStyle w:val="FootnoteReference"/>
          <w:rFonts w:ascii="Amnesty Trade Gothic" w:hAnsi="Amnesty Trade Gothic"/>
          <w:sz w:val="16"/>
          <w:szCs w:val="16"/>
          <w:lang w:val="en-CA"/>
        </w:rPr>
        <w:footnoteRef/>
      </w:r>
      <w:r w:rsidRPr="00793101">
        <w:rPr>
          <w:rFonts w:ascii="Amnesty Trade Gothic" w:hAnsi="Amnesty Trade Gothic"/>
          <w:sz w:val="16"/>
          <w:szCs w:val="16"/>
          <w:lang w:val="en-CA"/>
        </w:rPr>
        <w:t xml:space="preserve"> </w:t>
      </w:r>
      <w:r w:rsidRPr="00793101">
        <w:rPr>
          <w:rFonts w:ascii="Amnesty Trade Gothic" w:hAnsi="Amnesty Trade Gothic"/>
          <w:i/>
          <w:sz w:val="16"/>
          <w:szCs w:val="16"/>
          <w:lang w:val="en-CA"/>
        </w:rPr>
        <w:t>Ibid</w:t>
      </w:r>
      <w:r w:rsidRPr="00793101">
        <w:rPr>
          <w:rFonts w:ascii="Amnesty Trade Gothic" w:hAnsi="Amnesty Trade Gothic"/>
          <w:sz w:val="16"/>
          <w:szCs w:val="16"/>
          <w:lang w:val="en-CA"/>
        </w:rPr>
        <w:t>, s 7(3.1)(e): ‘‘Notwithstanding anything in this Act or any other Act, every one who, outside Canada, commits an act or omission that if committed in Canada would be an offence against section 279.1 shall be deemed to commit that act or omission in Canada [...] a person taken hostage by the act or omission is a Canadian citizen; [...]’’.</w:t>
      </w:r>
    </w:p>
  </w:footnote>
  <w:footnote w:id="81">
    <w:p w14:paraId="1D7239C1"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Justice for Victims of Terrorism Act</w:t>
      </w:r>
      <w:r w:rsidRPr="00793101">
        <w:rPr>
          <w:szCs w:val="16"/>
        </w:rPr>
        <w:t xml:space="preserve">, </w:t>
      </w:r>
      <w:r w:rsidRPr="00793101">
        <w:rPr>
          <w:szCs w:val="16"/>
          <w:lang w:val="en-US"/>
        </w:rPr>
        <w:t>SC 2012, c 1, ss 2, 4(1).</w:t>
      </w:r>
    </w:p>
  </w:footnote>
  <w:footnote w:id="82">
    <w:p w14:paraId="421E5F3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Security Offences Act</w:t>
      </w:r>
      <w:r w:rsidRPr="00793101">
        <w:rPr>
          <w:szCs w:val="16"/>
          <w:lang w:val="en-US"/>
        </w:rPr>
        <w:t>, RSC 1985, c S-7, s 2(a).</w:t>
      </w:r>
    </w:p>
  </w:footnote>
  <w:footnote w:id="83">
    <w:p w14:paraId="2238242A" w14:textId="77777777" w:rsidR="00356280" w:rsidRPr="0040644D" w:rsidRDefault="00356280" w:rsidP="0040644D">
      <w:pPr>
        <w:pStyle w:val="AIBodyText"/>
        <w:spacing w:after="0" w:line="240" w:lineRule="auto"/>
        <w:rPr>
          <w:sz w:val="16"/>
          <w:szCs w:val="16"/>
          <w:lang w:val="en-US"/>
        </w:rPr>
      </w:pPr>
      <w:r w:rsidRPr="00793101">
        <w:rPr>
          <w:rStyle w:val="FootnoteReference"/>
          <w:sz w:val="16"/>
          <w:szCs w:val="16"/>
        </w:rPr>
        <w:footnoteRef/>
      </w:r>
      <w:r w:rsidRPr="00793101">
        <w:rPr>
          <w:sz w:val="16"/>
          <w:szCs w:val="16"/>
        </w:rPr>
        <w:t xml:space="preserve"> </w:t>
      </w:r>
      <w:r w:rsidRPr="00793101">
        <w:rPr>
          <w:bCs/>
          <w:i/>
          <w:sz w:val="16"/>
          <w:szCs w:val="16"/>
          <w:lang w:val="en-US"/>
        </w:rPr>
        <w:t xml:space="preserve">Canadian Security Intelligence Service Act, </w:t>
      </w:r>
      <w:r w:rsidRPr="00793101">
        <w:rPr>
          <w:bCs/>
          <w:sz w:val="16"/>
          <w:szCs w:val="16"/>
          <w:lang w:val="en-US"/>
        </w:rPr>
        <w:t>RSC 1985, c C-23, s 2</w:t>
      </w:r>
      <w:r w:rsidRPr="00793101">
        <w:rPr>
          <w:sz w:val="16"/>
          <w:szCs w:val="16"/>
          <w:lang w:val="en-US"/>
        </w:rPr>
        <w:t>: Threats to the security of Canada include: (a) espionage or sabotage that is against Canada or is detrimental to the interests of Canada or activities directed toward or in support of such espionage or sabotage; (b) foreign influenced activities within or relating to Canada that are detrimental to the interests of Canada and are clandestine or deceptive or involve a threat to any person; (c) activities within or relating to Canada directed toward or in support of the threat or use of acts of serious violence against persons or property for the purpose of achieving a political, religious or ideological objective within Canada or a foreign state; and (d) activities directed toward undermining by covert unlawful acts, or directed toward or intended ultimately to lead to the destruction or overthrow by violence of, the constitutionally established s</w:t>
      </w:r>
      <w:r>
        <w:rPr>
          <w:sz w:val="16"/>
          <w:szCs w:val="16"/>
          <w:lang w:val="en-US"/>
        </w:rPr>
        <w:t xml:space="preserve">ystem of government in Canada. </w:t>
      </w:r>
    </w:p>
  </w:footnote>
  <w:footnote w:id="84">
    <w:p w14:paraId="5ED02EE8" w14:textId="1C32E72F" w:rsidR="00356280" w:rsidRPr="00793101" w:rsidRDefault="00356280" w:rsidP="0040644D">
      <w:pPr>
        <w:pStyle w:val="FootnoteText"/>
        <w:tabs>
          <w:tab w:val="left" w:pos="4111"/>
        </w:tabs>
        <w:spacing w:after="0" w:line="240" w:lineRule="auto"/>
        <w:rPr>
          <w:szCs w:val="16"/>
          <w:lang w:val="en-US"/>
        </w:rPr>
      </w:pPr>
      <w:r w:rsidRPr="00793101">
        <w:rPr>
          <w:rStyle w:val="FootnoteReference"/>
          <w:szCs w:val="16"/>
        </w:rPr>
        <w:footnoteRef/>
      </w:r>
      <w:r w:rsidRPr="00793101">
        <w:rPr>
          <w:szCs w:val="16"/>
          <w:lang w:val="en-US"/>
        </w:rPr>
        <w:t xml:space="preserve"> Currie, </w:t>
      </w:r>
      <w:r w:rsidRPr="00793101">
        <w:rPr>
          <w:i/>
          <w:szCs w:val="16"/>
          <w:lang w:val="en-US"/>
        </w:rPr>
        <w:t>supra</w:t>
      </w:r>
      <w:r w:rsidRPr="00793101">
        <w:rPr>
          <w:szCs w:val="16"/>
          <w:lang w:val="en-US"/>
        </w:rPr>
        <w:t xml:space="preserve"> note </w:t>
      </w:r>
      <w:r>
        <w:fldChar w:fldCharType="begin"/>
      </w:r>
      <w:r>
        <w:instrText xml:space="preserve"> NOTEREF _Ref266966189 \h  \* MERGEFORMAT </w:instrText>
      </w:r>
      <w:r>
        <w:fldChar w:fldCharType="separate"/>
      </w:r>
      <w:r w:rsidRPr="00E045AC">
        <w:rPr>
          <w:szCs w:val="16"/>
          <w:lang w:val="en-US"/>
        </w:rPr>
        <w:t>72</w:t>
      </w:r>
      <w:r>
        <w:fldChar w:fldCharType="end"/>
      </w:r>
      <w:r w:rsidRPr="00793101">
        <w:rPr>
          <w:szCs w:val="16"/>
          <w:lang w:val="en-US"/>
        </w:rPr>
        <w:t xml:space="preserve"> at </w:t>
      </w:r>
      <w:r>
        <w:rPr>
          <w:szCs w:val="16"/>
          <w:lang w:val="en-US"/>
        </w:rPr>
        <w:t>464</w:t>
      </w:r>
      <w:r w:rsidRPr="00793101">
        <w:rPr>
          <w:szCs w:val="16"/>
          <w:lang w:val="en-US"/>
        </w:rPr>
        <w:t xml:space="preserve">. See also </w:t>
      </w:r>
      <w:r w:rsidRPr="00793101">
        <w:rPr>
          <w:i/>
          <w:szCs w:val="16"/>
          <w:lang w:val="en-US"/>
        </w:rPr>
        <w:t xml:space="preserve">Criminal Code, supra </w:t>
      </w:r>
      <w:r w:rsidRPr="00793101">
        <w:rPr>
          <w:szCs w:val="16"/>
          <w:lang w:val="en-US"/>
        </w:rPr>
        <w:t xml:space="preserve">note </w:t>
      </w:r>
      <w:r>
        <w:fldChar w:fldCharType="begin"/>
      </w:r>
      <w:r>
        <w:instrText xml:space="preserve"> NOTEREF _Ref266965463 \h  \* MERGEFORMAT </w:instrText>
      </w:r>
      <w:r>
        <w:fldChar w:fldCharType="separate"/>
      </w:r>
      <w:r>
        <w:t>10</w:t>
      </w:r>
      <w:r>
        <w:fldChar w:fldCharType="end"/>
      </w:r>
      <w:r w:rsidRPr="00793101">
        <w:rPr>
          <w:szCs w:val="16"/>
          <w:lang w:val="en-US"/>
        </w:rPr>
        <w:t xml:space="preserve"> at ss 46, 57(1), 57(2), 58; and </w:t>
      </w:r>
      <w:r w:rsidRPr="00793101">
        <w:rPr>
          <w:i/>
          <w:szCs w:val="16"/>
          <w:lang w:val="en-US"/>
        </w:rPr>
        <w:t>Citizenship Act,</w:t>
      </w:r>
      <w:r w:rsidRPr="00793101">
        <w:rPr>
          <w:szCs w:val="16"/>
          <w:lang w:val="en-US"/>
        </w:rPr>
        <w:t xml:space="preserve"> RSC 1985, c C-29, s 30.</w:t>
      </w:r>
    </w:p>
  </w:footnote>
  <w:footnote w:id="85">
    <w:p w14:paraId="73A45757"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Security of Information Act, </w:t>
      </w:r>
      <w:r w:rsidRPr="00793101">
        <w:rPr>
          <w:bCs/>
          <w:color w:val="auto"/>
          <w:szCs w:val="16"/>
          <w:lang w:val="en-US"/>
        </w:rPr>
        <w:t>RSC 1985, c O-5.</w:t>
      </w:r>
    </w:p>
  </w:footnote>
  <w:footnote w:id="86">
    <w:p w14:paraId="57EA4596" w14:textId="5CFEFFE8"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rFonts w:eastAsia="Times-Roman"/>
          <w:color w:val="auto"/>
          <w:szCs w:val="16"/>
          <w:lang w:val="en-CA"/>
        </w:rPr>
        <w:t>The citations to these treaties, with links, where they exist are found in Appendix I</w:t>
      </w:r>
      <w:r>
        <w:rPr>
          <w:rFonts w:eastAsia="Times-Roman"/>
          <w:color w:val="auto"/>
          <w:szCs w:val="16"/>
          <w:lang w:val="en-CA"/>
        </w:rPr>
        <w:t>I</w:t>
      </w:r>
      <w:r w:rsidRPr="00793101">
        <w:rPr>
          <w:rFonts w:eastAsia="Times-Roman"/>
          <w:color w:val="auto"/>
          <w:szCs w:val="16"/>
          <w:lang w:val="en-CA"/>
        </w:rPr>
        <w:t xml:space="preserve">. For a summary of the relevant provisions of each treaty, see Amnesty International, </w:t>
      </w:r>
      <w:r w:rsidRPr="00793101">
        <w:rPr>
          <w:rFonts w:eastAsia="Times-Roman"/>
          <w:i/>
          <w:color w:val="auto"/>
          <w:szCs w:val="16"/>
          <w:lang w:val="en-CA"/>
        </w:rPr>
        <w:t xml:space="preserve">Universal jurisdiction: </w:t>
      </w:r>
      <w:r w:rsidRPr="000C2340">
        <w:rPr>
          <w:rFonts w:eastAsia="Times-Roman"/>
          <w:i/>
          <w:color w:val="auto"/>
          <w:szCs w:val="16"/>
          <w:lang w:val="en-CA"/>
        </w:rPr>
        <w:t>The duty of states</w:t>
      </w:r>
      <w:r>
        <w:rPr>
          <w:rFonts w:eastAsia="Times-Roman"/>
          <w:i/>
          <w:color w:val="auto"/>
          <w:szCs w:val="16"/>
          <w:lang w:val="en-CA"/>
        </w:rPr>
        <w:t xml:space="preserve"> to enact and enforce legislation</w:t>
      </w:r>
      <w:r w:rsidRPr="000C2340">
        <w:rPr>
          <w:rFonts w:eastAsia="Times-Roman"/>
          <w:color w:val="auto"/>
          <w:szCs w:val="16"/>
          <w:lang w:val="en-CA"/>
        </w:rPr>
        <w:t>, AI Index: IOR 53/003/2001, 2001</w:t>
      </w:r>
      <w:r>
        <w:rPr>
          <w:rFonts w:eastAsia="Times-Roman"/>
          <w:color w:val="auto"/>
          <w:szCs w:val="16"/>
          <w:lang w:val="en-CA"/>
        </w:rPr>
        <w:t xml:space="preserve">. </w:t>
      </w:r>
    </w:p>
  </w:footnote>
  <w:footnote w:id="87">
    <w:p w14:paraId="517C70CC" w14:textId="7263081D"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rFonts w:eastAsia="Times-Roman"/>
          <w:color w:val="auto"/>
          <w:szCs w:val="16"/>
          <w:lang w:val="en-CA"/>
        </w:rPr>
        <w:t>Canada has not specifically defined counterfeiting of a foreign currency as a crime under national law but Section 449 of the Criminal Code (</w:t>
      </w:r>
      <w:r w:rsidRPr="00793101">
        <w:rPr>
          <w:rFonts w:eastAsia="Times-Roman"/>
          <w:i/>
          <w:color w:val="auto"/>
          <w:szCs w:val="16"/>
          <w:lang w:val="en-CA"/>
        </w:rPr>
        <w:t>supra</w:t>
      </w:r>
      <w:r w:rsidRPr="00793101">
        <w:rPr>
          <w:rFonts w:eastAsia="Times-Roman"/>
          <w:color w:val="auto"/>
          <w:szCs w:val="16"/>
          <w:lang w:val="en-CA"/>
        </w:rPr>
        <w:t xml:space="preserve"> note </w:t>
      </w:r>
      <w:r>
        <w:fldChar w:fldCharType="begin"/>
      </w:r>
      <w:r>
        <w:instrText xml:space="preserve"> NOTEREF _Ref266965463 \h  \* MERGEFORMAT </w:instrText>
      </w:r>
      <w:r>
        <w:fldChar w:fldCharType="separate"/>
      </w:r>
      <w:r>
        <w:t>10</w:t>
      </w:r>
      <w:r>
        <w:fldChar w:fldCharType="end"/>
      </w:r>
      <w:r w:rsidRPr="00793101">
        <w:rPr>
          <w:rFonts w:eastAsia="Times-Roman"/>
          <w:color w:val="auto"/>
          <w:szCs w:val="16"/>
          <w:lang w:val="en-CA"/>
        </w:rPr>
        <w:t xml:space="preserve">) establishes the offence of making counterfeit money generally. However, in defining “counterfeiting money”, Section 448 uses the term “current” coin or paper money which includes “lawfully </w:t>
      </w:r>
      <w:r w:rsidRPr="00793101">
        <w:rPr>
          <w:color w:val="auto"/>
          <w:szCs w:val="16"/>
          <w:lang w:val="en-CA"/>
        </w:rPr>
        <w:t>current in Canada or elsewhere by virtue of a law, proclamation or regulation in force in Canada or elsewhere as the case may be.</w:t>
      </w:r>
    </w:p>
  </w:footnote>
  <w:footnote w:id="88">
    <w:p w14:paraId="2E0022C5"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Canada signed and ratified the </w:t>
      </w:r>
      <w:r w:rsidRPr="00793101">
        <w:rPr>
          <w:i/>
          <w:color w:val="auto"/>
          <w:szCs w:val="16"/>
          <w:lang w:val="en-CA"/>
        </w:rPr>
        <w:t>Single Convention on Narcotic Drugs</w:t>
      </w:r>
      <w:r w:rsidRPr="00793101">
        <w:rPr>
          <w:color w:val="auto"/>
          <w:szCs w:val="16"/>
          <w:lang w:val="en-CA"/>
        </w:rPr>
        <w:t xml:space="preserve">, 30 March 1961, 520 UNTS 204 (entered into force 13 December 1964), but not the version amended by the </w:t>
      </w:r>
      <w:r w:rsidRPr="00793101">
        <w:rPr>
          <w:i/>
          <w:color w:val="auto"/>
          <w:szCs w:val="16"/>
          <w:lang w:val="en-CA"/>
        </w:rPr>
        <w:t>Protocol amending the Single Convention on Narcotic Drugs, 1961</w:t>
      </w:r>
      <w:r w:rsidRPr="00793101">
        <w:rPr>
          <w:color w:val="auto"/>
          <w:szCs w:val="16"/>
          <w:lang w:val="en-CA"/>
        </w:rPr>
        <w:t xml:space="preserve">, 25 March 1972, 976 UNTS 3 (entered into force 8 August 1975). </w:t>
      </w:r>
    </w:p>
  </w:footnote>
  <w:footnote w:id="89">
    <w:p w14:paraId="56429F2E"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Some of the conduct covered by the Tokyo Convention is defined as a crime by these provisions.</w:t>
      </w:r>
    </w:p>
  </w:footnote>
  <w:footnote w:id="90">
    <w:p w14:paraId="54E189B7"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In </w:t>
      </w:r>
      <w:r w:rsidRPr="00793101">
        <w:rPr>
          <w:i/>
          <w:color w:val="auto"/>
          <w:szCs w:val="16"/>
          <w:lang w:val="en-CA"/>
        </w:rPr>
        <w:t xml:space="preserve">R v </w:t>
      </w:r>
      <w:proofErr w:type="spellStart"/>
      <w:r w:rsidRPr="00793101">
        <w:rPr>
          <w:i/>
          <w:color w:val="auto"/>
          <w:szCs w:val="16"/>
          <w:lang w:val="en-CA"/>
        </w:rPr>
        <w:t>Ribic</w:t>
      </w:r>
      <w:proofErr w:type="spellEnd"/>
      <w:r w:rsidRPr="00793101">
        <w:rPr>
          <w:i/>
          <w:color w:val="auto"/>
          <w:szCs w:val="16"/>
          <w:lang w:val="en-CA"/>
        </w:rPr>
        <w:t xml:space="preserve">, </w:t>
      </w:r>
      <w:r w:rsidRPr="00793101">
        <w:rPr>
          <w:color w:val="auto"/>
          <w:szCs w:val="16"/>
          <w:lang w:val="en-CA"/>
        </w:rPr>
        <w:t>2008 ONCA 790.</w:t>
      </w:r>
      <w:r w:rsidRPr="00793101">
        <w:rPr>
          <w:i/>
          <w:color w:val="auto"/>
          <w:szCs w:val="16"/>
          <w:lang w:val="en-CA"/>
        </w:rPr>
        <w:t xml:space="preserve"> </w:t>
      </w:r>
    </w:p>
  </w:footnote>
  <w:footnote w:id="91">
    <w:p w14:paraId="6B6D21CC" w14:textId="6782EC2A"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Though Canada has not yet ratified the </w:t>
      </w:r>
      <w:r w:rsidRPr="00793101">
        <w:rPr>
          <w:i/>
          <w:szCs w:val="16"/>
          <w:lang w:val="en-US"/>
        </w:rPr>
        <w:t>Nuclear Terrorism Convention</w:t>
      </w:r>
      <w:r w:rsidRPr="00793101">
        <w:rPr>
          <w:szCs w:val="16"/>
          <w:lang w:val="en-US"/>
        </w:rPr>
        <w:t xml:space="preserve"> (</w:t>
      </w:r>
      <w:r w:rsidRPr="00793101">
        <w:rPr>
          <w:i/>
          <w:szCs w:val="16"/>
          <w:lang w:val="en-US"/>
        </w:rPr>
        <w:t>International Convention for the Suppression of Acts of Nuclear Terrorism</w:t>
      </w:r>
      <w:r w:rsidRPr="00793101">
        <w:rPr>
          <w:szCs w:val="16"/>
          <w:lang w:val="en-US"/>
        </w:rPr>
        <w:t xml:space="preserve">, 14 September 2005, 2445 UNTS 89 (entered into force 7 July 2007), the </w:t>
      </w:r>
      <w:r w:rsidRPr="00793101">
        <w:rPr>
          <w:i/>
          <w:szCs w:val="16"/>
          <w:lang w:val="en-US"/>
        </w:rPr>
        <w:t>Nuclear Terrorism Act</w:t>
      </w:r>
      <w:r w:rsidRPr="00793101">
        <w:rPr>
          <w:szCs w:val="16"/>
          <w:lang w:val="en-US"/>
        </w:rPr>
        <w:t xml:space="preserve">, SC 2013, c 13 was passed on 21 May 2013, creating 4 new </w:t>
      </w:r>
      <w:r w:rsidRPr="00793101">
        <w:rPr>
          <w:i/>
          <w:szCs w:val="16"/>
          <w:lang w:val="en-US"/>
        </w:rPr>
        <w:t xml:space="preserve">Criminal Code </w:t>
      </w:r>
      <w:r w:rsidRPr="00793101">
        <w:rPr>
          <w:szCs w:val="16"/>
          <w:lang w:val="en-US"/>
        </w:rPr>
        <w:t xml:space="preserve">offences related to nuclear terrorism. See </w:t>
      </w:r>
      <w:r w:rsidRPr="00793101">
        <w:rPr>
          <w:i/>
          <w:szCs w:val="16"/>
          <w:lang w:val="en-US"/>
        </w:rPr>
        <w:t xml:space="preserve">Criminal Code, supra </w:t>
      </w:r>
      <w:r w:rsidRPr="00793101">
        <w:rPr>
          <w:szCs w:val="16"/>
          <w:lang w:val="en-US"/>
        </w:rPr>
        <w:t xml:space="preserve">note </w:t>
      </w:r>
      <w:r>
        <w:fldChar w:fldCharType="begin"/>
      </w:r>
      <w:r>
        <w:instrText xml:space="preserve"> NOTEREF _Ref266965463 \h  \* MERGEFORMAT </w:instrText>
      </w:r>
      <w:r>
        <w:fldChar w:fldCharType="separate"/>
      </w:r>
      <w:r>
        <w:t>10</w:t>
      </w:r>
      <w:r>
        <w:fldChar w:fldCharType="end"/>
      </w:r>
      <w:r w:rsidRPr="00793101">
        <w:rPr>
          <w:szCs w:val="16"/>
          <w:lang w:val="en-US"/>
        </w:rPr>
        <w:t xml:space="preserve">, ss 82.3, 82.4, 82.5, and 82.6. </w:t>
      </w:r>
    </w:p>
  </w:footnote>
  <w:footnote w:id="92">
    <w:p w14:paraId="54B673AA"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The Geneva Conventions are: </w:t>
      </w:r>
    </w:p>
    <w:p w14:paraId="7680119A" w14:textId="77777777" w:rsidR="00356280" w:rsidRPr="00793101" w:rsidRDefault="00356280" w:rsidP="0040644D">
      <w:pPr>
        <w:pStyle w:val="FootnoteText"/>
        <w:spacing w:after="0" w:line="240" w:lineRule="auto"/>
        <w:jc w:val="both"/>
        <w:rPr>
          <w:color w:val="auto"/>
          <w:szCs w:val="16"/>
          <w:lang w:val="en-CA"/>
        </w:rPr>
      </w:pPr>
      <w:r w:rsidRPr="00793101">
        <w:rPr>
          <w:i/>
          <w:color w:val="auto"/>
          <w:szCs w:val="16"/>
          <w:lang w:val="en-CA"/>
        </w:rPr>
        <w:t>Convention for the Amelioration of the Condition of the Wounded and Sick in Armed Forces in the Field</w:t>
      </w:r>
      <w:r w:rsidRPr="00793101">
        <w:rPr>
          <w:color w:val="auto"/>
          <w:szCs w:val="16"/>
          <w:lang w:val="en-CA"/>
        </w:rPr>
        <w:t>, 12 August 1949, 75 UNTS 31 (entered into force 21 October 1951) [</w:t>
      </w:r>
      <w:r w:rsidRPr="00793101">
        <w:rPr>
          <w:i/>
          <w:color w:val="auto"/>
          <w:szCs w:val="16"/>
          <w:lang w:val="en-CA"/>
        </w:rPr>
        <w:t>First Geneva Convention</w:t>
      </w:r>
      <w:proofErr w:type="gramStart"/>
      <w:r w:rsidRPr="00793101">
        <w:rPr>
          <w:color w:val="auto"/>
          <w:szCs w:val="16"/>
          <w:lang w:val="en-CA"/>
        </w:rPr>
        <w:t>];</w:t>
      </w:r>
      <w:proofErr w:type="gramEnd"/>
    </w:p>
    <w:p w14:paraId="2A3040C6" w14:textId="77777777" w:rsidR="00356280" w:rsidRPr="00793101" w:rsidRDefault="00356280" w:rsidP="0040644D">
      <w:pPr>
        <w:pStyle w:val="FootnoteText"/>
        <w:spacing w:after="0" w:line="240" w:lineRule="auto"/>
        <w:jc w:val="both"/>
        <w:rPr>
          <w:color w:val="auto"/>
          <w:szCs w:val="16"/>
          <w:lang w:val="en-CA"/>
        </w:rPr>
      </w:pPr>
      <w:r w:rsidRPr="00793101">
        <w:rPr>
          <w:i/>
          <w:color w:val="auto"/>
          <w:szCs w:val="16"/>
          <w:lang w:val="en-CA"/>
        </w:rPr>
        <w:t>Convention for the Amelioration of the Condition of Wounded, Sick and Shipwrecked Members of Armed Forces at Sea</w:t>
      </w:r>
      <w:r w:rsidRPr="00793101">
        <w:rPr>
          <w:color w:val="auto"/>
          <w:szCs w:val="16"/>
          <w:lang w:val="en-CA"/>
        </w:rPr>
        <w:t>, 12 August 1949, 75 UNTS 85 (entered into force 21 October 1951) [</w:t>
      </w:r>
      <w:r w:rsidRPr="00793101">
        <w:rPr>
          <w:i/>
          <w:color w:val="auto"/>
          <w:szCs w:val="16"/>
          <w:lang w:val="en-CA"/>
        </w:rPr>
        <w:t>Second Geneva Convention</w:t>
      </w:r>
      <w:proofErr w:type="gramStart"/>
      <w:r w:rsidRPr="00793101">
        <w:rPr>
          <w:color w:val="auto"/>
          <w:szCs w:val="16"/>
          <w:lang w:val="en-CA"/>
        </w:rPr>
        <w:t>];</w:t>
      </w:r>
      <w:proofErr w:type="gramEnd"/>
    </w:p>
    <w:p w14:paraId="1831C147" w14:textId="77777777" w:rsidR="00356280" w:rsidRPr="00793101" w:rsidRDefault="00356280" w:rsidP="0040644D">
      <w:pPr>
        <w:pStyle w:val="FootnoteText"/>
        <w:spacing w:after="0" w:line="240" w:lineRule="auto"/>
        <w:jc w:val="both"/>
        <w:rPr>
          <w:color w:val="auto"/>
          <w:szCs w:val="16"/>
          <w:lang w:val="en-CA"/>
        </w:rPr>
      </w:pPr>
      <w:r w:rsidRPr="00793101">
        <w:rPr>
          <w:i/>
          <w:color w:val="auto"/>
          <w:szCs w:val="16"/>
          <w:lang w:val="en-CA"/>
        </w:rPr>
        <w:t>Convention Relative to the Treatment of Prisoners of War</w:t>
      </w:r>
      <w:r w:rsidRPr="00793101">
        <w:rPr>
          <w:color w:val="auto"/>
          <w:szCs w:val="16"/>
          <w:lang w:val="en-CA"/>
        </w:rPr>
        <w:t>, 12 August 1949, 75 UNTS 135 (entered into force 21 October 1951) [</w:t>
      </w:r>
      <w:r w:rsidRPr="00793101">
        <w:rPr>
          <w:i/>
          <w:color w:val="auto"/>
          <w:szCs w:val="16"/>
          <w:lang w:val="en-CA"/>
        </w:rPr>
        <w:t>Third Geneva Convention</w:t>
      </w:r>
      <w:r w:rsidRPr="00793101">
        <w:rPr>
          <w:color w:val="auto"/>
          <w:szCs w:val="16"/>
          <w:lang w:val="en-CA"/>
        </w:rPr>
        <w:t>]; and</w:t>
      </w:r>
    </w:p>
    <w:p w14:paraId="47D06FFF" w14:textId="77777777" w:rsidR="00356280" w:rsidRPr="00793101" w:rsidRDefault="00356280" w:rsidP="0040644D">
      <w:pPr>
        <w:pStyle w:val="FootnoteText"/>
        <w:spacing w:after="0" w:line="240" w:lineRule="auto"/>
        <w:jc w:val="both"/>
        <w:rPr>
          <w:color w:val="auto"/>
          <w:szCs w:val="16"/>
          <w:lang w:val="en-CA"/>
        </w:rPr>
      </w:pPr>
      <w:r w:rsidRPr="00793101">
        <w:rPr>
          <w:i/>
          <w:color w:val="auto"/>
          <w:szCs w:val="16"/>
          <w:lang w:val="en-CA"/>
        </w:rPr>
        <w:t>Convention Relative to the Protection of Civilian Persons in Time of War</w:t>
      </w:r>
      <w:r w:rsidRPr="00793101">
        <w:rPr>
          <w:color w:val="auto"/>
          <w:szCs w:val="16"/>
          <w:lang w:val="en-CA"/>
        </w:rPr>
        <w:t>, 12 August 1949, 75 UNTS 287 (entered into force 21 October 1950) [</w:t>
      </w:r>
      <w:r w:rsidRPr="00793101">
        <w:rPr>
          <w:i/>
          <w:color w:val="auto"/>
          <w:szCs w:val="16"/>
          <w:lang w:val="en-CA"/>
        </w:rPr>
        <w:t>Fourth Geneva Convention</w:t>
      </w:r>
      <w:r w:rsidRPr="00793101">
        <w:rPr>
          <w:color w:val="auto"/>
          <w:szCs w:val="16"/>
          <w:lang w:val="en-CA"/>
        </w:rPr>
        <w:t>].</w:t>
      </w:r>
    </w:p>
  </w:footnote>
  <w:footnote w:id="93">
    <w:p w14:paraId="2265741D"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Protocol Additional to the Geneva Conventions of </w:t>
      </w:r>
      <w:proofErr w:type="gramStart"/>
      <w:r w:rsidRPr="00793101">
        <w:rPr>
          <w:i/>
          <w:color w:val="auto"/>
          <w:szCs w:val="16"/>
          <w:lang w:val="en-CA"/>
        </w:rPr>
        <w:t>12 August 1949, and</w:t>
      </w:r>
      <w:proofErr w:type="gramEnd"/>
      <w:r w:rsidRPr="00793101">
        <w:rPr>
          <w:i/>
          <w:color w:val="auto"/>
          <w:szCs w:val="16"/>
          <w:lang w:val="en-CA"/>
        </w:rPr>
        <w:t xml:space="preserve"> relating to the Protection of Victims of International Armed Conflicts</w:t>
      </w:r>
      <w:r w:rsidRPr="00793101">
        <w:rPr>
          <w:color w:val="auto"/>
          <w:szCs w:val="16"/>
          <w:lang w:val="en-CA"/>
        </w:rPr>
        <w:t>, 8 June 1977, 1125 UNTS 3 (entered into force 7 December 1978) [</w:t>
      </w:r>
      <w:r w:rsidRPr="00793101">
        <w:rPr>
          <w:i/>
          <w:color w:val="auto"/>
          <w:szCs w:val="16"/>
          <w:lang w:val="en-CA"/>
        </w:rPr>
        <w:t>Protocol I</w:t>
      </w:r>
      <w:r w:rsidRPr="00793101">
        <w:rPr>
          <w:color w:val="auto"/>
          <w:szCs w:val="16"/>
          <w:lang w:val="en-CA"/>
        </w:rPr>
        <w:t>].</w:t>
      </w:r>
    </w:p>
  </w:footnote>
  <w:footnote w:id="94">
    <w:p w14:paraId="29243449"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Protocol Additional to the Geneva Conventions of </w:t>
      </w:r>
      <w:proofErr w:type="gramStart"/>
      <w:r w:rsidRPr="00793101">
        <w:rPr>
          <w:i/>
          <w:color w:val="auto"/>
          <w:szCs w:val="16"/>
          <w:lang w:val="en-CA"/>
        </w:rPr>
        <w:t>12 August 1949, and</w:t>
      </w:r>
      <w:proofErr w:type="gramEnd"/>
      <w:r w:rsidRPr="00793101">
        <w:rPr>
          <w:i/>
          <w:color w:val="auto"/>
          <w:szCs w:val="16"/>
          <w:lang w:val="en-CA"/>
        </w:rPr>
        <w:t xml:space="preserve"> relating to the Protection of Victims of Non-International Armed Conflicts</w:t>
      </w:r>
      <w:r w:rsidRPr="00793101">
        <w:rPr>
          <w:color w:val="auto"/>
          <w:szCs w:val="16"/>
          <w:lang w:val="en-CA"/>
        </w:rPr>
        <w:t>, 8 June 1977,1125 UNTS 609 (entered into force 7 December 1978) [</w:t>
      </w:r>
      <w:r w:rsidRPr="00793101">
        <w:rPr>
          <w:i/>
          <w:color w:val="auto"/>
          <w:szCs w:val="16"/>
          <w:lang w:val="en-CA"/>
        </w:rPr>
        <w:t>Protocol II</w:t>
      </w:r>
      <w:r w:rsidRPr="00793101">
        <w:rPr>
          <w:color w:val="auto"/>
          <w:szCs w:val="16"/>
          <w:lang w:val="en-CA"/>
        </w:rPr>
        <w:t>].</w:t>
      </w:r>
    </w:p>
  </w:footnote>
  <w:footnote w:id="95">
    <w:p w14:paraId="6CF68D63"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Protocol Additional to the Geneva Conventions of </w:t>
      </w:r>
      <w:proofErr w:type="gramStart"/>
      <w:r w:rsidRPr="00793101">
        <w:rPr>
          <w:i/>
          <w:color w:val="auto"/>
          <w:szCs w:val="16"/>
          <w:lang w:val="en-CA"/>
        </w:rPr>
        <w:t>12 August 1949, and</w:t>
      </w:r>
      <w:proofErr w:type="gramEnd"/>
      <w:r w:rsidRPr="00793101">
        <w:rPr>
          <w:i/>
          <w:color w:val="auto"/>
          <w:szCs w:val="16"/>
          <w:lang w:val="en-CA"/>
        </w:rPr>
        <w:t xml:space="preserve"> relating to the Adoption of an Additional Distinctive Emblem</w:t>
      </w:r>
      <w:r w:rsidRPr="00793101">
        <w:rPr>
          <w:color w:val="auto"/>
          <w:szCs w:val="16"/>
          <w:lang w:val="en-CA"/>
        </w:rPr>
        <w:t>, 8 December 2005, 2404 UNTS 261 (entered into force 14 January 2007) [</w:t>
      </w:r>
      <w:r w:rsidRPr="00793101">
        <w:rPr>
          <w:i/>
          <w:color w:val="auto"/>
          <w:szCs w:val="16"/>
          <w:lang w:val="en-CA"/>
        </w:rPr>
        <w:t>Protocol III</w:t>
      </w:r>
      <w:r w:rsidRPr="00793101">
        <w:rPr>
          <w:color w:val="auto"/>
          <w:szCs w:val="16"/>
          <w:lang w:val="en-CA"/>
        </w:rPr>
        <w:t>].</w:t>
      </w:r>
    </w:p>
  </w:footnote>
  <w:footnote w:id="96">
    <w:p w14:paraId="499B09FF" w14:textId="77777777" w:rsidR="00356280" w:rsidRPr="00793101" w:rsidRDefault="00356280" w:rsidP="0040644D">
      <w:pPr>
        <w:autoSpaceDE w:val="0"/>
        <w:autoSpaceDN w:val="0"/>
        <w:adjustRightInd w:val="0"/>
        <w:spacing w:after="0" w:line="240" w:lineRule="auto"/>
        <w:jc w:val="both"/>
        <w:rPr>
          <w:color w:val="auto"/>
          <w:sz w:val="16"/>
          <w:szCs w:val="16"/>
          <w:lang w:val="en-CA" w:eastAsia="fr-CA"/>
        </w:rPr>
      </w:pPr>
      <w:r w:rsidRPr="00793101">
        <w:rPr>
          <w:rStyle w:val="FootnoteReference"/>
          <w:color w:val="auto"/>
          <w:sz w:val="16"/>
          <w:szCs w:val="16"/>
          <w:lang w:val="en-CA"/>
        </w:rPr>
        <w:footnoteRef/>
      </w:r>
      <w:r w:rsidRPr="00793101">
        <w:rPr>
          <w:color w:val="auto"/>
          <w:sz w:val="16"/>
          <w:szCs w:val="16"/>
          <w:lang w:val="en-CA"/>
        </w:rPr>
        <w:t xml:space="preserve"> </w:t>
      </w:r>
      <w:r w:rsidRPr="00793101">
        <w:rPr>
          <w:i/>
          <w:color w:val="auto"/>
          <w:sz w:val="16"/>
          <w:szCs w:val="16"/>
          <w:lang w:val="en-CA"/>
        </w:rPr>
        <w:t>Geneva Conventions Act</w:t>
      </w:r>
      <w:r w:rsidRPr="00793101">
        <w:rPr>
          <w:color w:val="auto"/>
          <w:sz w:val="16"/>
          <w:szCs w:val="16"/>
          <w:lang w:val="en-CA"/>
        </w:rPr>
        <w:t>, RSC 1985, c G-3, s 2(2).</w:t>
      </w:r>
    </w:p>
  </w:footnote>
  <w:footnote w:id="97">
    <w:p w14:paraId="5BDB5F5D"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Rome Statute of the International Criminal Court</w:t>
      </w:r>
      <w:r w:rsidRPr="00793101">
        <w:rPr>
          <w:color w:val="auto"/>
          <w:szCs w:val="16"/>
          <w:lang w:val="en-CA"/>
        </w:rPr>
        <w:t>, 17 July 1999, 2187 UNTS 90 (entered into force 1 July 2002) [</w:t>
      </w:r>
      <w:r w:rsidRPr="00793101">
        <w:rPr>
          <w:i/>
          <w:color w:val="auto"/>
          <w:szCs w:val="16"/>
          <w:lang w:val="en-CA"/>
        </w:rPr>
        <w:t>Rome Statute</w:t>
      </w:r>
      <w:r w:rsidRPr="00793101">
        <w:rPr>
          <w:color w:val="auto"/>
          <w:szCs w:val="16"/>
          <w:lang w:val="en-CA"/>
        </w:rPr>
        <w:t xml:space="preserve">]. </w:t>
      </w:r>
    </w:p>
  </w:footnote>
  <w:footnote w:id="98">
    <w:p w14:paraId="09E669ED"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Fannie Lafontaine, </w:t>
      </w:r>
      <w:r w:rsidRPr="00793101">
        <w:rPr>
          <w:i/>
          <w:color w:val="auto"/>
          <w:szCs w:val="16"/>
          <w:lang w:val="en-CA"/>
        </w:rPr>
        <w:t>Prosecuting Genocide, Crimes Against Humanity and War Crimes in Canadian Courts</w:t>
      </w:r>
      <w:r w:rsidRPr="00793101">
        <w:rPr>
          <w:color w:val="auto"/>
          <w:szCs w:val="16"/>
          <w:lang w:val="en-CA"/>
        </w:rPr>
        <w:t xml:space="preserve"> (Toronto: Carswell, 2012) at 107.</w:t>
      </w:r>
    </w:p>
  </w:footnote>
  <w:footnote w:id="99">
    <w:p w14:paraId="677A553A"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John H </w:t>
      </w:r>
      <w:r w:rsidRPr="00793101">
        <w:rPr>
          <w:szCs w:val="16"/>
          <w:lang w:val="en-US"/>
        </w:rPr>
        <w:t xml:space="preserve">Currie, Craig Forcese &amp; Valerie Oosterveld, </w:t>
      </w:r>
      <w:r w:rsidRPr="00793101">
        <w:rPr>
          <w:i/>
          <w:szCs w:val="16"/>
          <w:lang w:val="en-US"/>
        </w:rPr>
        <w:t>International Law: Doctrine, Practice and Theory</w:t>
      </w:r>
      <w:r w:rsidRPr="00793101">
        <w:rPr>
          <w:szCs w:val="16"/>
          <w:lang w:val="en-US"/>
        </w:rPr>
        <w:t xml:space="preserve"> (Toronto: Irwin Law, 2007) at 104.</w:t>
      </w:r>
    </w:p>
  </w:footnote>
  <w:footnote w:id="100">
    <w:p w14:paraId="5B2491BF" w14:textId="77777777" w:rsidR="00356280" w:rsidRPr="00793101" w:rsidRDefault="00356280" w:rsidP="008F1D38">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Robert </w:t>
      </w:r>
      <w:proofErr w:type="spellStart"/>
      <w:r w:rsidRPr="00793101">
        <w:rPr>
          <w:szCs w:val="16"/>
          <w:lang w:val="en-US"/>
        </w:rPr>
        <w:t>Hage</w:t>
      </w:r>
      <w:proofErr w:type="spellEnd"/>
      <w:r w:rsidRPr="00793101">
        <w:rPr>
          <w:szCs w:val="16"/>
          <w:lang w:val="en-US"/>
        </w:rPr>
        <w:t>, “Implementing the Rome Statute: Canada’s Experience” in Roy S Lee, ed,</w:t>
      </w:r>
      <w:r w:rsidRPr="00793101">
        <w:rPr>
          <w:i/>
          <w:szCs w:val="16"/>
          <w:lang w:val="en-US"/>
        </w:rPr>
        <w:t xml:space="preserve"> States’ Responses to Issues Arising from the ICC Statute: Constitutional Sovereignty, Judicial Cooperation, and Criminal Law</w:t>
      </w:r>
      <w:r w:rsidRPr="00793101">
        <w:rPr>
          <w:szCs w:val="16"/>
          <w:lang w:val="en-US"/>
        </w:rPr>
        <w:t>, (Ardsley NY: Transnational Publishers, 2005) at 50</w:t>
      </w:r>
      <w:r>
        <w:rPr>
          <w:szCs w:val="16"/>
          <w:lang w:val="en-US"/>
        </w:rPr>
        <w:t>;UNGAOR, 61</w:t>
      </w:r>
      <w:r w:rsidRPr="001652CE">
        <w:rPr>
          <w:szCs w:val="16"/>
          <w:vertAlign w:val="superscript"/>
          <w:lang w:val="en-US"/>
        </w:rPr>
        <w:t>th</w:t>
      </w:r>
      <w:r>
        <w:rPr>
          <w:szCs w:val="16"/>
          <w:lang w:val="en-US"/>
        </w:rPr>
        <w:t xml:space="preserve"> </w:t>
      </w:r>
      <w:proofErr w:type="spellStart"/>
      <w:r>
        <w:rPr>
          <w:szCs w:val="16"/>
          <w:lang w:val="en-US"/>
        </w:rPr>
        <w:t>Sess</w:t>
      </w:r>
      <w:proofErr w:type="spellEnd"/>
      <w:r>
        <w:rPr>
          <w:szCs w:val="16"/>
          <w:lang w:val="en-US"/>
        </w:rPr>
        <w:t>, UN DOC A/CN.4/612 (2009)</w:t>
      </w:r>
      <w:r w:rsidRPr="00793101">
        <w:rPr>
          <w:szCs w:val="16"/>
          <w:lang w:val="en-US"/>
        </w:rPr>
        <w:t>.</w:t>
      </w:r>
    </w:p>
  </w:footnote>
  <w:footnote w:id="101">
    <w:p w14:paraId="79486E0B" w14:textId="4E13C504" w:rsidR="00356280" w:rsidRPr="00AA6144" w:rsidRDefault="00356280" w:rsidP="00AA6144">
      <w:pPr>
        <w:pStyle w:val="FootnoteText"/>
        <w:spacing w:after="0" w:line="240" w:lineRule="auto"/>
        <w:rPr>
          <w:lang w:val="en-CA"/>
        </w:rPr>
      </w:pPr>
      <w:r>
        <w:rPr>
          <w:rStyle w:val="FootnoteReference"/>
        </w:rPr>
        <w:footnoteRef/>
      </w:r>
      <w:r>
        <w:t xml:space="preserve"> </w:t>
      </w:r>
      <w:r w:rsidRPr="00793101">
        <w:rPr>
          <w:i/>
          <w:color w:val="auto"/>
          <w:szCs w:val="16"/>
          <w:lang w:val="en-CA"/>
        </w:rPr>
        <w:t>Crimes Against Humanity and War Crimes Act</w:t>
      </w:r>
      <w:r w:rsidRPr="00793101">
        <w:rPr>
          <w:color w:val="auto"/>
          <w:szCs w:val="16"/>
          <w:lang w:val="en-CA"/>
        </w:rPr>
        <w:t xml:space="preserv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_Ref266965596 \h  \* MERGEFORMAT </w:instrText>
      </w:r>
      <w:r>
        <w:fldChar w:fldCharType="separate"/>
      </w:r>
      <w:r>
        <w:t>12</w:t>
      </w:r>
      <w:r>
        <w:fldChar w:fldCharType="end"/>
      </w:r>
      <w:r>
        <w:rPr>
          <w:color w:val="auto"/>
          <w:szCs w:val="16"/>
          <w:lang w:val="en-CA"/>
        </w:rPr>
        <w:t>, s. 6(1.1) and s. 4(1.1).</w:t>
      </w:r>
    </w:p>
  </w:footnote>
  <w:footnote w:id="102">
    <w:p w14:paraId="24F83A02" w14:textId="4FE0D8F6" w:rsidR="00356280" w:rsidRPr="00793101" w:rsidRDefault="00356280" w:rsidP="008F1D38">
      <w:pPr>
        <w:pStyle w:val="FootnoteText"/>
        <w:spacing w:after="0" w:line="240" w:lineRule="auto"/>
        <w:jc w:val="both"/>
        <w:rPr>
          <w:color w:val="auto"/>
          <w:szCs w:val="16"/>
          <w:highlight w:val="yellow"/>
          <w:lang w:val="en-CA"/>
        </w:rPr>
      </w:pPr>
      <w:r w:rsidRPr="000C2340">
        <w:rPr>
          <w:rStyle w:val="FootnoteReference"/>
          <w:color w:val="auto"/>
          <w:szCs w:val="16"/>
          <w:lang w:val="en-CA"/>
        </w:rPr>
        <w:footnoteRef/>
      </w:r>
      <w:r w:rsidRPr="000C2340">
        <w:rPr>
          <w:color w:val="auto"/>
          <w:szCs w:val="16"/>
          <w:lang w:val="en-CA"/>
        </w:rPr>
        <w:t xml:space="preserve"> Lafontaine,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_Ref265358056 \h  \* MERGEFORMAT </w:instrText>
      </w:r>
      <w:r w:rsidRPr="000C2340">
        <w:fldChar w:fldCharType="separate"/>
      </w:r>
      <w:r w:rsidRPr="00E045AC">
        <w:rPr>
          <w:color w:val="auto"/>
          <w:szCs w:val="16"/>
          <w:lang w:val="en-CA"/>
        </w:rPr>
        <w:t>98</w:t>
      </w:r>
      <w:r w:rsidRPr="000C2340">
        <w:fldChar w:fldCharType="end"/>
      </w:r>
      <w:r w:rsidRPr="000C2340">
        <w:rPr>
          <w:color w:val="auto"/>
          <w:szCs w:val="16"/>
          <w:lang w:val="en-CA"/>
        </w:rPr>
        <w:t xml:space="preserve"> at 116-117.</w:t>
      </w:r>
    </w:p>
  </w:footnote>
  <w:footnote w:id="103">
    <w:p w14:paraId="61D62E99"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xml:space="preserve"> at 49.</w:t>
      </w:r>
    </w:p>
  </w:footnote>
  <w:footnote w:id="104">
    <w:p w14:paraId="70C6958C" w14:textId="3AAF08AE" w:rsidR="00356280" w:rsidRPr="00793101" w:rsidRDefault="00356280" w:rsidP="0040644D">
      <w:pPr>
        <w:pStyle w:val="FootnoteText"/>
        <w:spacing w:after="0" w:line="240" w:lineRule="auto"/>
        <w:jc w:val="both"/>
        <w:rPr>
          <w:color w:val="auto"/>
          <w:szCs w:val="16"/>
          <w:lang w:val="en-CA"/>
        </w:rPr>
      </w:pPr>
      <w:r w:rsidRPr="000C2340">
        <w:rPr>
          <w:rStyle w:val="FootnoteReference"/>
          <w:color w:val="auto"/>
          <w:szCs w:val="16"/>
          <w:lang w:val="en-CA"/>
        </w:rPr>
        <w:footnoteRef/>
      </w:r>
      <w:r w:rsidRPr="000C2340">
        <w:rPr>
          <w:color w:val="auto"/>
          <w:szCs w:val="16"/>
          <w:lang w:val="en-CA"/>
        </w:rPr>
        <w:t xml:space="preserve"> Repealed section 7(3.76) of the Canadian Criminal Code, in Lafontaine,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_Ref265358056 \h  \* MERGEFORMAT </w:instrText>
      </w:r>
      <w:r w:rsidRPr="000C2340">
        <w:fldChar w:fldCharType="separate"/>
      </w:r>
      <w:r w:rsidRPr="00E045AC">
        <w:rPr>
          <w:color w:val="auto"/>
          <w:szCs w:val="16"/>
          <w:lang w:val="en-CA"/>
        </w:rPr>
        <w:t>98</w:t>
      </w:r>
      <w:r w:rsidRPr="000C2340">
        <w:fldChar w:fldCharType="end"/>
      </w:r>
      <w:r w:rsidRPr="000C2340">
        <w:rPr>
          <w:color w:val="auto"/>
          <w:szCs w:val="16"/>
          <w:lang w:val="en-CA"/>
        </w:rPr>
        <w:t xml:space="preserve"> at 360.</w:t>
      </w:r>
    </w:p>
  </w:footnote>
  <w:footnote w:id="105">
    <w:p w14:paraId="0D640044"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R v </w:t>
      </w:r>
      <w:proofErr w:type="spellStart"/>
      <w:r w:rsidRPr="00793101">
        <w:rPr>
          <w:i/>
          <w:szCs w:val="16"/>
          <w:lang w:val="en-US"/>
        </w:rPr>
        <w:t>Finta</w:t>
      </w:r>
      <w:proofErr w:type="spellEnd"/>
      <w:r w:rsidRPr="00793101">
        <w:rPr>
          <w:i/>
          <w:szCs w:val="16"/>
          <w:lang w:val="en-US"/>
        </w:rPr>
        <w:t xml:space="preserve"> </w:t>
      </w:r>
      <w:r w:rsidRPr="00793101">
        <w:rPr>
          <w:szCs w:val="16"/>
          <w:lang w:val="en-US"/>
        </w:rPr>
        <w:t>[1994] 1 SCR 701 [</w:t>
      </w:r>
      <w:proofErr w:type="spellStart"/>
      <w:r w:rsidRPr="00793101">
        <w:rPr>
          <w:i/>
          <w:szCs w:val="16"/>
          <w:lang w:val="en-US"/>
        </w:rPr>
        <w:t>Finta</w:t>
      </w:r>
      <w:proofErr w:type="spellEnd"/>
      <w:r w:rsidRPr="00793101">
        <w:rPr>
          <w:szCs w:val="16"/>
          <w:lang w:val="en-US"/>
        </w:rPr>
        <w:t xml:space="preserve">]. Three other cases were tried under these former </w:t>
      </w:r>
      <w:r w:rsidRPr="00793101">
        <w:rPr>
          <w:i/>
          <w:szCs w:val="16"/>
          <w:lang w:val="en-US"/>
        </w:rPr>
        <w:t xml:space="preserve">Criminal Code </w:t>
      </w:r>
      <w:r w:rsidRPr="00793101">
        <w:rPr>
          <w:szCs w:val="16"/>
          <w:lang w:val="en-US"/>
        </w:rPr>
        <w:t xml:space="preserve">provisions but abandoned; see e.g.: </w:t>
      </w:r>
      <w:r w:rsidRPr="00793101">
        <w:rPr>
          <w:i/>
          <w:szCs w:val="16"/>
          <w:lang w:val="en-US"/>
        </w:rPr>
        <w:t>R v Pawlowski</w:t>
      </w:r>
      <w:r w:rsidRPr="00793101">
        <w:rPr>
          <w:szCs w:val="16"/>
          <w:lang w:val="en-US"/>
        </w:rPr>
        <w:t>, (1993) 12 OR (3d) 709; 101 DLR (4</w:t>
      </w:r>
      <w:r w:rsidRPr="00793101">
        <w:rPr>
          <w:szCs w:val="16"/>
          <w:vertAlign w:val="superscript"/>
          <w:lang w:val="en-US"/>
        </w:rPr>
        <w:t>th</w:t>
      </w:r>
      <w:r w:rsidRPr="00793101">
        <w:rPr>
          <w:szCs w:val="16"/>
          <w:lang w:val="en-US"/>
        </w:rPr>
        <w:t xml:space="preserve">) 267 (ONCA); </w:t>
      </w:r>
      <w:r w:rsidRPr="00793101">
        <w:rPr>
          <w:i/>
          <w:szCs w:val="16"/>
          <w:lang w:val="en-US"/>
        </w:rPr>
        <w:t xml:space="preserve">R v </w:t>
      </w:r>
      <w:proofErr w:type="spellStart"/>
      <w:r w:rsidRPr="00793101">
        <w:rPr>
          <w:i/>
          <w:szCs w:val="16"/>
        </w:rPr>
        <w:t>Grujicic</w:t>
      </w:r>
      <w:proofErr w:type="spellEnd"/>
      <w:r w:rsidRPr="00793101">
        <w:rPr>
          <w:i/>
          <w:szCs w:val="16"/>
        </w:rPr>
        <w:t xml:space="preserve">, </w:t>
      </w:r>
      <w:r w:rsidRPr="00793101">
        <w:rPr>
          <w:szCs w:val="16"/>
        </w:rPr>
        <w:t xml:space="preserve">(1994) OJ 2280; and </w:t>
      </w:r>
      <w:r w:rsidRPr="00793101">
        <w:rPr>
          <w:i/>
          <w:szCs w:val="16"/>
        </w:rPr>
        <w:t xml:space="preserve">R v </w:t>
      </w:r>
      <w:proofErr w:type="spellStart"/>
      <w:r w:rsidRPr="00793101">
        <w:rPr>
          <w:i/>
          <w:szCs w:val="16"/>
        </w:rPr>
        <w:t>Reistetter</w:t>
      </w:r>
      <w:proofErr w:type="spellEnd"/>
      <w:r w:rsidRPr="00793101">
        <w:rPr>
          <w:szCs w:val="16"/>
        </w:rPr>
        <w:t>, (1990) OJ 2100.</w:t>
      </w:r>
    </w:p>
  </w:footnote>
  <w:footnote w:id="106">
    <w:p w14:paraId="506AF377" w14:textId="72A0A490" w:rsidR="00356280" w:rsidRPr="000C2340" w:rsidRDefault="00356280" w:rsidP="0040644D">
      <w:pPr>
        <w:pStyle w:val="FootnoteText"/>
        <w:spacing w:after="0" w:line="240" w:lineRule="auto"/>
        <w:rPr>
          <w:szCs w:val="16"/>
          <w:lang w:val="en-CA"/>
        </w:rPr>
      </w:pPr>
      <w:r w:rsidRPr="000C2340">
        <w:rPr>
          <w:rStyle w:val="FootnoteReference"/>
          <w:szCs w:val="16"/>
          <w:lang w:val="en-CA"/>
        </w:rPr>
        <w:footnoteRef/>
      </w:r>
      <w:r w:rsidRPr="000C2340">
        <w:rPr>
          <w:szCs w:val="16"/>
          <w:lang w:val="en-CA"/>
        </w:rPr>
        <w:t xml:space="preserve"> </w:t>
      </w:r>
      <w:r w:rsidRPr="000C2340">
        <w:rPr>
          <w:i/>
          <w:szCs w:val="16"/>
          <w:lang w:val="en-CA"/>
        </w:rPr>
        <w:t>First Geneva Convention</w:t>
      </w:r>
      <w:r w:rsidRPr="000C2340">
        <w:rPr>
          <w:szCs w:val="16"/>
          <w:lang w:val="en-CA"/>
        </w:rPr>
        <w:t xml:space="preserve">, </w:t>
      </w:r>
      <w:r w:rsidRPr="000C2340">
        <w:rPr>
          <w:i/>
          <w:szCs w:val="16"/>
          <w:lang w:val="en-CA"/>
        </w:rPr>
        <w:t xml:space="preserve">supra </w:t>
      </w:r>
      <w:r w:rsidRPr="000C2340">
        <w:rPr>
          <w:szCs w:val="16"/>
          <w:lang w:val="en-CA"/>
        </w:rPr>
        <w:t xml:space="preserve">note </w:t>
      </w:r>
      <w:r w:rsidRPr="000C2340">
        <w:fldChar w:fldCharType="begin"/>
      </w:r>
      <w:r w:rsidRPr="000C2340">
        <w:instrText xml:space="preserve"> NOTEREF _Ref266967085 \h  \* MERGEFORMAT </w:instrText>
      </w:r>
      <w:r w:rsidRPr="000C2340">
        <w:fldChar w:fldCharType="separate"/>
      </w:r>
      <w:r w:rsidRPr="00E045AC">
        <w:rPr>
          <w:szCs w:val="16"/>
          <w:lang w:val="en-CA"/>
        </w:rPr>
        <w:t>92</w:t>
      </w:r>
      <w:r w:rsidRPr="000C2340">
        <w:fldChar w:fldCharType="end"/>
      </w:r>
      <w:r w:rsidRPr="000C2340">
        <w:rPr>
          <w:szCs w:val="16"/>
          <w:lang w:val="en-CA"/>
        </w:rPr>
        <w:t xml:space="preserve"> at art 50; </w:t>
      </w:r>
      <w:r w:rsidRPr="000C2340">
        <w:rPr>
          <w:i/>
          <w:szCs w:val="16"/>
          <w:lang w:val="en-CA"/>
        </w:rPr>
        <w:t>Second Geneva Convention</w:t>
      </w:r>
      <w:r w:rsidRPr="000C2340">
        <w:rPr>
          <w:szCs w:val="16"/>
          <w:lang w:val="en-CA"/>
        </w:rPr>
        <w:t xml:space="preserve">, </w:t>
      </w:r>
      <w:r w:rsidRPr="000C2340">
        <w:rPr>
          <w:i/>
          <w:szCs w:val="16"/>
          <w:lang w:val="en-CA"/>
        </w:rPr>
        <w:t>supra</w:t>
      </w:r>
      <w:r w:rsidRPr="000C2340">
        <w:rPr>
          <w:szCs w:val="16"/>
          <w:lang w:val="en-CA"/>
        </w:rPr>
        <w:t xml:space="preserve"> note </w:t>
      </w:r>
      <w:r w:rsidRPr="000C2340">
        <w:fldChar w:fldCharType="begin"/>
      </w:r>
      <w:r w:rsidRPr="000C2340">
        <w:instrText xml:space="preserve"> NOTEREF _Ref266967085 \h  \* MERGEFORMAT </w:instrText>
      </w:r>
      <w:r w:rsidRPr="000C2340">
        <w:fldChar w:fldCharType="separate"/>
      </w:r>
      <w:r w:rsidRPr="00E045AC">
        <w:rPr>
          <w:szCs w:val="16"/>
          <w:lang w:val="en-CA"/>
        </w:rPr>
        <w:t>92</w:t>
      </w:r>
      <w:r w:rsidRPr="000C2340">
        <w:fldChar w:fldCharType="end"/>
      </w:r>
      <w:r w:rsidRPr="000C2340">
        <w:rPr>
          <w:szCs w:val="16"/>
          <w:lang w:val="en-CA"/>
        </w:rPr>
        <w:t xml:space="preserve"> at art 51; </w:t>
      </w:r>
      <w:r w:rsidRPr="000C2340">
        <w:rPr>
          <w:i/>
          <w:szCs w:val="16"/>
          <w:lang w:val="en-CA"/>
        </w:rPr>
        <w:t>Third Geneva Convention</w:t>
      </w:r>
      <w:r w:rsidRPr="000C2340">
        <w:rPr>
          <w:szCs w:val="16"/>
          <w:lang w:val="en-CA"/>
        </w:rPr>
        <w:t xml:space="preserve">, </w:t>
      </w:r>
      <w:r w:rsidRPr="000C2340">
        <w:rPr>
          <w:i/>
          <w:szCs w:val="16"/>
          <w:lang w:val="en-CA"/>
        </w:rPr>
        <w:t>supra</w:t>
      </w:r>
      <w:r w:rsidRPr="000C2340">
        <w:rPr>
          <w:szCs w:val="16"/>
          <w:lang w:val="en-CA"/>
        </w:rPr>
        <w:t xml:space="preserve"> note </w:t>
      </w:r>
      <w:r w:rsidRPr="000C2340">
        <w:fldChar w:fldCharType="begin"/>
      </w:r>
      <w:r w:rsidRPr="000C2340">
        <w:instrText xml:space="preserve"> NOTEREF _Ref266967085 \h  \* MERGEFORMAT </w:instrText>
      </w:r>
      <w:r w:rsidRPr="000C2340">
        <w:fldChar w:fldCharType="separate"/>
      </w:r>
      <w:r w:rsidRPr="00E045AC">
        <w:rPr>
          <w:szCs w:val="16"/>
          <w:lang w:val="en-CA"/>
        </w:rPr>
        <w:t>92</w:t>
      </w:r>
      <w:r w:rsidRPr="000C2340">
        <w:fldChar w:fldCharType="end"/>
      </w:r>
      <w:r w:rsidRPr="000C2340">
        <w:rPr>
          <w:szCs w:val="16"/>
          <w:lang w:val="en-CA"/>
        </w:rPr>
        <w:t xml:space="preserve">, art 130; and </w:t>
      </w:r>
      <w:r w:rsidRPr="000C2340">
        <w:rPr>
          <w:i/>
          <w:szCs w:val="16"/>
          <w:lang w:val="en-CA"/>
        </w:rPr>
        <w:t>Fourth Geneva Convention</w:t>
      </w:r>
      <w:r w:rsidRPr="000C2340">
        <w:rPr>
          <w:szCs w:val="16"/>
          <w:lang w:val="en-CA"/>
        </w:rPr>
        <w:t xml:space="preserve">, </w:t>
      </w:r>
      <w:r w:rsidRPr="000C2340">
        <w:rPr>
          <w:i/>
          <w:szCs w:val="16"/>
          <w:lang w:val="en-CA"/>
        </w:rPr>
        <w:t>supra</w:t>
      </w:r>
      <w:r w:rsidRPr="000C2340">
        <w:rPr>
          <w:szCs w:val="16"/>
          <w:lang w:val="en-CA"/>
        </w:rPr>
        <w:t xml:space="preserve"> note </w:t>
      </w:r>
      <w:r w:rsidRPr="000C2340">
        <w:fldChar w:fldCharType="begin"/>
      </w:r>
      <w:r w:rsidRPr="000C2340">
        <w:instrText xml:space="preserve"> NOTEREF _Ref266967085 \h  \* MERGEFORMAT </w:instrText>
      </w:r>
      <w:r w:rsidRPr="000C2340">
        <w:fldChar w:fldCharType="separate"/>
      </w:r>
      <w:r w:rsidRPr="00E045AC">
        <w:rPr>
          <w:szCs w:val="16"/>
          <w:lang w:val="en-CA"/>
        </w:rPr>
        <w:t>92</w:t>
      </w:r>
      <w:r w:rsidRPr="000C2340">
        <w:fldChar w:fldCharType="end"/>
      </w:r>
      <w:r w:rsidRPr="000C2340">
        <w:rPr>
          <w:szCs w:val="16"/>
          <w:lang w:val="en-CA"/>
        </w:rPr>
        <w:t xml:space="preserve">, art 147. </w:t>
      </w:r>
    </w:p>
  </w:footnote>
  <w:footnote w:id="107">
    <w:p w14:paraId="320AF000" w14:textId="0E169F1E" w:rsidR="00356280" w:rsidRPr="00793101" w:rsidRDefault="00356280" w:rsidP="0040644D">
      <w:pPr>
        <w:pStyle w:val="FootnoteText"/>
        <w:spacing w:after="0" w:line="240" w:lineRule="auto"/>
        <w:rPr>
          <w:szCs w:val="16"/>
          <w:lang w:val="en-CA"/>
        </w:rPr>
      </w:pPr>
      <w:r w:rsidRPr="000C2340">
        <w:rPr>
          <w:rStyle w:val="FootnoteReference"/>
          <w:szCs w:val="16"/>
          <w:lang w:val="en-CA"/>
        </w:rPr>
        <w:footnoteRef/>
      </w:r>
      <w:r w:rsidRPr="000C2340">
        <w:rPr>
          <w:szCs w:val="16"/>
          <w:lang w:val="en-CA"/>
        </w:rPr>
        <w:t xml:space="preserve"> </w:t>
      </w:r>
      <w:r w:rsidRPr="000C2340">
        <w:rPr>
          <w:i/>
          <w:szCs w:val="16"/>
          <w:lang w:val="en-CA"/>
        </w:rPr>
        <w:t>Rome Statute</w:t>
      </w:r>
      <w:r w:rsidRPr="000C2340">
        <w:rPr>
          <w:szCs w:val="16"/>
          <w:lang w:val="en-CA"/>
        </w:rPr>
        <w:t xml:space="preserve">, </w:t>
      </w:r>
      <w:r w:rsidRPr="000C2340">
        <w:rPr>
          <w:i/>
          <w:szCs w:val="16"/>
          <w:lang w:val="en-CA"/>
        </w:rPr>
        <w:t>supra</w:t>
      </w:r>
      <w:r w:rsidRPr="000C2340">
        <w:rPr>
          <w:szCs w:val="16"/>
          <w:lang w:val="en-CA"/>
        </w:rPr>
        <w:t xml:space="preserve"> note </w:t>
      </w:r>
      <w:r w:rsidRPr="000C2340">
        <w:fldChar w:fldCharType="begin"/>
      </w:r>
      <w:r w:rsidRPr="000C2340">
        <w:instrText xml:space="preserve"> NOTEREF _Ref266968903 \h  \* MERGEFORMAT </w:instrText>
      </w:r>
      <w:r w:rsidRPr="000C2340">
        <w:fldChar w:fldCharType="separate"/>
      </w:r>
      <w:r w:rsidRPr="00E045AC">
        <w:rPr>
          <w:szCs w:val="16"/>
          <w:lang w:val="en-CA"/>
        </w:rPr>
        <w:t>97</w:t>
      </w:r>
      <w:r w:rsidRPr="000C2340">
        <w:fldChar w:fldCharType="end"/>
      </w:r>
      <w:r w:rsidRPr="000C2340">
        <w:rPr>
          <w:szCs w:val="16"/>
          <w:lang w:val="en-CA"/>
        </w:rPr>
        <w:t>, art 8(2)(a).</w:t>
      </w:r>
      <w:r w:rsidRPr="00793101">
        <w:rPr>
          <w:szCs w:val="16"/>
          <w:lang w:val="en-CA"/>
        </w:rPr>
        <w:t xml:space="preserve"> </w:t>
      </w:r>
    </w:p>
  </w:footnote>
  <w:footnote w:id="108">
    <w:p w14:paraId="68A60CAF"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Pr>
          <w:szCs w:val="16"/>
          <w:lang w:val="en-CA"/>
        </w:rPr>
        <w:t>See:</w:t>
      </w:r>
      <w:r w:rsidRPr="006B7B70">
        <w:rPr>
          <w:szCs w:val="16"/>
          <w:lang w:val="en-CA"/>
        </w:rPr>
        <w:t xml:space="preserve"> ICRC, The Geneva Conventions of 12 August 1949, Commentary, I Geneva Conve</w:t>
      </w:r>
      <w:r>
        <w:rPr>
          <w:szCs w:val="16"/>
          <w:lang w:val="en-CA"/>
        </w:rPr>
        <w:t>ntion (ICRC, Geneva 1952), 366 (</w:t>
      </w:r>
      <w:r w:rsidRPr="006B7B70">
        <w:rPr>
          <w:szCs w:val="16"/>
          <w:lang w:val="en-CA"/>
        </w:rPr>
        <w:t>"[t]here is nothing in the paragraph [Art.49, para.2] to exclude the handing over of the accused to an international penal tribunal, the competence of which is recognized by the Contracting Parties"</w:t>
      </w:r>
      <w:r>
        <w:rPr>
          <w:szCs w:val="16"/>
          <w:lang w:val="en-CA"/>
        </w:rPr>
        <w:t>).</w:t>
      </w:r>
    </w:p>
  </w:footnote>
  <w:footnote w:id="109">
    <w:p w14:paraId="454189DD" w14:textId="55861687" w:rsidR="00356280" w:rsidRPr="000C2340"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0C2340">
        <w:rPr>
          <w:i/>
          <w:szCs w:val="16"/>
          <w:lang w:val="en-CA"/>
        </w:rPr>
        <w:t>First Geneva Convention</w:t>
      </w:r>
      <w:r w:rsidRPr="000C2340">
        <w:rPr>
          <w:szCs w:val="16"/>
          <w:lang w:val="en-CA"/>
        </w:rPr>
        <w:t xml:space="preserve">, </w:t>
      </w:r>
      <w:r w:rsidRPr="000C2340">
        <w:rPr>
          <w:i/>
          <w:szCs w:val="16"/>
          <w:lang w:val="en-CA"/>
        </w:rPr>
        <w:t>supra</w:t>
      </w:r>
      <w:r w:rsidRPr="000C2340">
        <w:rPr>
          <w:szCs w:val="16"/>
          <w:lang w:val="en-CA"/>
        </w:rPr>
        <w:t xml:space="preserve"> note </w:t>
      </w:r>
      <w:r w:rsidRPr="000C2340">
        <w:fldChar w:fldCharType="begin"/>
      </w:r>
      <w:r w:rsidRPr="000C2340">
        <w:instrText xml:space="preserve"> NOTEREF _Ref266967085 \h  \* MERGEFORMAT </w:instrText>
      </w:r>
      <w:r w:rsidRPr="000C2340">
        <w:fldChar w:fldCharType="separate"/>
      </w:r>
      <w:r w:rsidRPr="00E045AC">
        <w:rPr>
          <w:szCs w:val="16"/>
          <w:lang w:val="en-CA"/>
        </w:rPr>
        <w:t>92</w:t>
      </w:r>
      <w:r w:rsidRPr="000C2340">
        <w:fldChar w:fldCharType="end"/>
      </w:r>
      <w:r w:rsidRPr="000C2340">
        <w:rPr>
          <w:szCs w:val="16"/>
          <w:lang w:val="en-CA"/>
        </w:rPr>
        <w:t xml:space="preserve"> at art 49; </w:t>
      </w:r>
      <w:r w:rsidRPr="000C2340">
        <w:rPr>
          <w:i/>
          <w:szCs w:val="16"/>
          <w:lang w:val="en-CA"/>
        </w:rPr>
        <w:t>Second Geneva Convention</w:t>
      </w:r>
      <w:r w:rsidRPr="000C2340">
        <w:rPr>
          <w:szCs w:val="16"/>
          <w:lang w:val="en-CA"/>
        </w:rPr>
        <w:t xml:space="preserve">, </w:t>
      </w:r>
      <w:r w:rsidRPr="000C2340">
        <w:rPr>
          <w:i/>
          <w:szCs w:val="16"/>
          <w:lang w:val="en-CA"/>
        </w:rPr>
        <w:t xml:space="preserve">supra </w:t>
      </w:r>
      <w:r w:rsidRPr="000C2340">
        <w:rPr>
          <w:szCs w:val="16"/>
          <w:lang w:val="en-CA"/>
        </w:rPr>
        <w:t xml:space="preserve">note </w:t>
      </w:r>
      <w:r w:rsidRPr="000C2340">
        <w:fldChar w:fldCharType="begin"/>
      </w:r>
      <w:r w:rsidRPr="000C2340">
        <w:instrText xml:space="preserve"> NOTEREF _Ref266967085 \h  \* MERGEFORMAT </w:instrText>
      </w:r>
      <w:r w:rsidRPr="000C2340">
        <w:fldChar w:fldCharType="separate"/>
      </w:r>
      <w:r w:rsidRPr="00E045AC">
        <w:rPr>
          <w:szCs w:val="16"/>
          <w:lang w:val="en-CA"/>
        </w:rPr>
        <w:t>92</w:t>
      </w:r>
      <w:r w:rsidRPr="000C2340">
        <w:fldChar w:fldCharType="end"/>
      </w:r>
      <w:r w:rsidRPr="000C2340">
        <w:rPr>
          <w:szCs w:val="16"/>
          <w:lang w:val="en-CA"/>
        </w:rPr>
        <w:t xml:space="preserve"> at art 50; </w:t>
      </w:r>
      <w:r w:rsidRPr="000C2340">
        <w:rPr>
          <w:i/>
          <w:szCs w:val="16"/>
          <w:lang w:val="en-CA"/>
        </w:rPr>
        <w:t>Third Geneva Convention</w:t>
      </w:r>
      <w:r w:rsidRPr="000C2340">
        <w:rPr>
          <w:szCs w:val="16"/>
          <w:lang w:val="en-CA"/>
        </w:rPr>
        <w:t xml:space="preserve">, </w:t>
      </w:r>
      <w:r w:rsidRPr="000C2340">
        <w:rPr>
          <w:i/>
          <w:szCs w:val="16"/>
          <w:lang w:val="en-CA"/>
        </w:rPr>
        <w:t>supra</w:t>
      </w:r>
      <w:r w:rsidRPr="000C2340">
        <w:rPr>
          <w:szCs w:val="16"/>
          <w:lang w:val="en-CA"/>
        </w:rPr>
        <w:t xml:space="preserve"> note </w:t>
      </w:r>
      <w:r w:rsidRPr="000C2340">
        <w:fldChar w:fldCharType="begin"/>
      </w:r>
      <w:r w:rsidRPr="000C2340">
        <w:instrText xml:space="preserve"> NOTEREF _Ref266967085 \h  \* MERGEFORMAT </w:instrText>
      </w:r>
      <w:r w:rsidRPr="000C2340">
        <w:fldChar w:fldCharType="separate"/>
      </w:r>
      <w:r w:rsidRPr="00E045AC">
        <w:rPr>
          <w:szCs w:val="16"/>
          <w:lang w:val="en-CA"/>
        </w:rPr>
        <w:t>92</w:t>
      </w:r>
      <w:r w:rsidRPr="000C2340">
        <w:fldChar w:fldCharType="end"/>
      </w:r>
      <w:r w:rsidRPr="000C2340">
        <w:rPr>
          <w:szCs w:val="16"/>
          <w:lang w:val="en-CA"/>
        </w:rPr>
        <w:t xml:space="preserve"> at art 129; </w:t>
      </w:r>
      <w:r w:rsidRPr="000C2340">
        <w:rPr>
          <w:i/>
          <w:szCs w:val="16"/>
          <w:lang w:val="en-CA"/>
        </w:rPr>
        <w:t>Fourth Geneva Convention</w:t>
      </w:r>
      <w:r w:rsidRPr="000C2340">
        <w:rPr>
          <w:szCs w:val="16"/>
          <w:lang w:val="en-CA"/>
        </w:rPr>
        <w:t xml:space="preserve">, </w:t>
      </w:r>
      <w:r w:rsidRPr="000C2340">
        <w:rPr>
          <w:i/>
          <w:szCs w:val="16"/>
          <w:lang w:val="en-CA"/>
        </w:rPr>
        <w:t>supra</w:t>
      </w:r>
      <w:r w:rsidRPr="000C2340">
        <w:rPr>
          <w:szCs w:val="16"/>
          <w:lang w:val="en-CA"/>
        </w:rPr>
        <w:t xml:space="preserve"> note </w:t>
      </w:r>
      <w:r w:rsidRPr="000C2340">
        <w:fldChar w:fldCharType="begin"/>
      </w:r>
      <w:r w:rsidRPr="000C2340">
        <w:instrText xml:space="preserve"> NOTEREF _Ref266967085 \h  \* MERGEFORMAT </w:instrText>
      </w:r>
      <w:r w:rsidRPr="000C2340">
        <w:fldChar w:fldCharType="separate"/>
      </w:r>
      <w:r w:rsidRPr="00E045AC">
        <w:rPr>
          <w:szCs w:val="16"/>
          <w:lang w:val="en-CA"/>
        </w:rPr>
        <w:t>92</w:t>
      </w:r>
      <w:r w:rsidRPr="000C2340">
        <w:fldChar w:fldCharType="end"/>
      </w:r>
      <w:r w:rsidRPr="000C2340">
        <w:rPr>
          <w:szCs w:val="16"/>
          <w:lang w:val="en-CA"/>
        </w:rPr>
        <w:t>, art 146.</w:t>
      </w:r>
    </w:p>
  </w:footnote>
  <w:footnote w:id="110">
    <w:p w14:paraId="7E52B986" w14:textId="6F3A080E" w:rsidR="00356280" w:rsidRPr="00793101" w:rsidRDefault="00356280" w:rsidP="0040644D">
      <w:pPr>
        <w:pStyle w:val="FootnoteText"/>
        <w:spacing w:after="0" w:line="240" w:lineRule="auto"/>
        <w:jc w:val="both"/>
        <w:rPr>
          <w:color w:val="auto"/>
          <w:szCs w:val="16"/>
          <w:lang w:val="en-CA"/>
        </w:rPr>
      </w:pPr>
      <w:r w:rsidRPr="000C2340">
        <w:rPr>
          <w:rStyle w:val="FootnoteReference"/>
          <w:color w:val="auto"/>
          <w:szCs w:val="16"/>
          <w:lang w:val="en-CA"/>
        </w:rPr>
        <w:footnoteRef/>
      </w:r>
      <w:r w:rsidRPr="000C2340">
        <w:rPr>
          <w:color w:val="auto"/>
          <w:szCs w:val="16"/>
          <w:lang w:val="en-CA"/>
        </w:rPr>
        <w:t xml:space="preserve"> </w:t>
      </w:r>
      <w:proofErr w:type="gramStart"/>
      <w:r w:rsidRPr="000C2340">
        <w:rPr>
          <w:i/>
          <w:color w:val="auto"/>
          <w:szCs w:val="16"/>
          <w:lang w:val="en-CA"/>
        </w:rPr>
        <w:t>Geneva Conventions Act</w:t>
      </w:r>
      <w:r w:rsidRPr="000C2340">
        <w:rPr>
          <w:color w:val="auto"/>
          <w:szCs w:val="16"/>
          <w:lang w:val="en-CA"/>
        </w:rPr>
        <w:t>,</w:t>
      </w:r>
      <w:proofErr w:type="gramEnd"/>
      <w:r w:rsidRPr="000C2340">
        <w:rPr>
          <w:color w:val="auto"/>
          <w:szCs w:val="16"/>
          <w:lang w:val="en-CA"/>
        </w:rPr>
        <w:t xml:space="preserve"> </w:t>
      </w:r>
      <w:r w:rsidRPr="000C2340">
        <w:rPr>
          <w:bCs/>
          <w:i/>
          <w:color w:val="auto"/>
          <w:szCs w:val="16"/>
          <w:lang w:val="en-US"/>
        </w:rPr>
        <w:t>supra</w:t>
      </w:r>
      <w:r w:rsidRPr="000C2340">
        <w:rPr>
          <w:bCs/>
          <w:color w:val="auto"/>
          <w:szCs w:val="16"/>
          <w:lang w:val="en-US"/>
        </w:rPr>
        <w:t xml:space="preserve"> note </w:t>
      </w:r>
      <w:r w:rsidRPr="000C2340">
        <w:fldChar w:fldCharType="begin"/>
      </w:r>
      <w:r w:rsidRPr="000C2340">
        <w:instrText xml:space="preserve"> NOTEREF _Ref266969518 \h  \* MERGEFORMAT </w:instrText>
      </w:r>
      <w:r w:rsidRPr="000C2340">
        <w:fldChar w:fldCharType="separate"/>
      </w:r>
      <w:r w:rsidRPr="00E045AC">
        <w:rPr>
          <w:bCs/>
          <w:color w:val="auto"/>
          <w:szCs w:val="16"/>
          <w:lang w:val="en-US"/>
        </w:rPr>
        <w:t>96</w:t>
      </w:r>
      <w:r w:rsidRPr="000C2340">
        <w:fldChar w:fldCharType="end"/>
      </w:r>
      <w:r>
        <w:rPr>
          <w:bCs/>
          <w:color w:val="auto"/>
          <w:szCs w:val="16"/>
          <w:lang w:val="en-US"/>
        </w:rPr>
        <w:t xml:space="preserve">. </w:t>
      </w:r>
    </w:p>
  </w:footnote>
  <w:footnote w:id="111">
    <w:p w14:paraId="46A44C81" w14:textId="4D9215F1"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Crimes Against Humanity and War Crimes Act</w:t>
      </w:r>
      <w:r w:rsidRPr="00793101">
        <w:rPr>
          <w:color w:val="auto"/>
          <w:szCs w:val="16"/>
          <w:lang w:val="en-CA"/>
        </w:rPr>
        <w:t xml:space="preserv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_Ref266965596 \h  \* MERGEFORMAT </w:instrText>
      </w:r>
      <w:r>
        <w:fldChar w:fldCharType="separate"/>
      </w:r>
      <w:r>
        <w:t>12</w:t>
      </w:r>
      <w:r>
        <w:fldChar w:fldCharType="end"/>
      </w:r>
      <w:r w:rsidRPr="00793101">
        <w:rPr>
          <w:color w:val="auto"/>
          <w:szCs w:val="16"/>
          <w:lang w:val="en-CA"/>
        </w:rPr>
        <w:t>.</w:t>
      </w:r>
    </w:p>
  </w:footnote>
  <w:footnote w:id="112">
    <w:p w14:paraId="2817D066" w14:textId="36A49105"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0C2340">
        <w:rPr>
          <w:i/>
          <w:color w:val="auto"/>
          <w:szCs w:val="16"/>
          <w:lang w:val="en-CA"/>
        </w:rPr>
        <w:t>Protocol I</w:t>
      </w:r>
      <w:r w:rsidRPr="000C2340">
        <w:rPr>
          <w:color w:val="auto"/>
          <w:szCs w:val="16"/>
          <w:lang w:val="en-CA"/>
        </w:rPr>
        <w:t xml:space="preserv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_Ref266969551 \h  \* MERGEFORMAT </w:instrText>
      </w:r>
      <w:r w:rsidRPr="000C2340">
        <w:fldChar w:fldCharType="separate"/>
      </w:r>
      <w:r w:rsidRPr="00E045AC">
        <w:rPr>
          <w:color w:val="auto"/>
          <w:szCs w:val="16"/>
          <w:lang w:val="en-CA"/>
        </w:rPr>
        <w:t>93</w:t>
      </w:r>
      <w:r w:rsidRPr="000C2340">
        <w:fldChar w:fldCharType="end"/>
      </w:r>
      <w:r w:rsidRPr="000C2340">
        <w:rPr>
          <w:color w:val="auto"/>
          <w:szCs w:val="16"/>
          <w:lang w:val="en-CA"/>
        </w:rPr>
        <w:t xml:space="preserve">, art 1(4). For the text of this provision, see Amnesty International, </w:t>
      </w:r>
      <w:r w:rsidRPr="000C2340">
        <w:rPr>
          <w:rFonts w:eastAsia="Times-Roman"/>
          <w:i/>
          <w:color w:val="auto"/>
          <w:szCs w:val="16"/>
          <w:lang w:val="en-CA"/>
        </w:rPr>
        <w:t>Universal jurisdiction: The duty of states to enact and enforce legislation</w:t>
      </w:r>
      <w:r w:rsidRPr="000C2340">
        <w:rPr>
          <w:rFonts w:eastAsia="Times-Roman"/>
          <w:color w:val="auto"/>
          <w:szCs w:val="16"/>
          <w:lang w:val="en-CA"/>
        </w:rPr>
        <w:t xml:space="preserve">, </w:t>
      </w:r>
      <w:r w:rsidRPr="000C2340">
        <w:rPr>
          <w:rFonts w:eastAsia="Times-Roman"/>
          <w:i/>
          <w:color w:val="auto"/>
          <w:szCs w:val="16"/>
          <w:lang w:val="en-CA"/>
        </w:rPr>
        <w:t>supra</w:t>
      </w:r>
      <w:r w:rsidRPr="000C2340">
        <w:rPr>
          <w:rFonts w:eastAsia="Times-Roman"/>
          <w:color w:val="auto"/>
          <w:szCs w:val="16"/>
          <w:lang w:val="en-CA"/>
        </w:rPr>
        <w:t xml:space="preserve"> note </w:t>
      </w:r>
      <w:r w:rsidRPr="000C2340">
        <w:fldChar w:fldCharType="begin"/>
      </w:r>
      <w:r w:rsidRPr="000C2340">
        <w:instrText xml:space="preserve"> NOTEREF _Ref266968928 \h  \* MERGEFORMAT </w:instrText>
      </w:r>
      <w:r w:rsidRPr="000C2340">
        <w:fldChar w:fldCharType="separate"/>
      </w:r>
      <w:r>
        <w:t>6</w:t>
      </w:r>
      <w:r w:rsidRPr="000C2340">
        <w:fldChar w:fldCharType="end"/>
      </w:r>
      <w:r w:rsidRPr="000C2340">
        <w:rPr>
          <w:rFonts w:eastAsia="Times-Roman"/>
          <w:color w:val="auto"/>
          <w:szCs w:val="16"/>
          <w:lang w:val="en-CA"/>
        </w:rPr>
        <w:t>, s 4.3.1</w:t>
      </w:r>
      <w:r w:rsidRPr="000C2340">
        <w:rPr>
          <w:color w:val="auto"/>
          <w:szCs w:val="16"/>
          <w:lang w:val="en-CA"/>
        </w:rPr>
        <w:t>.</w:t>
      </w:r>
      <w:r w:rsidRPr="00793101">
        <w:rPr>
          <w:color w:val="auto"/>
          <w:szCs w:val="16"/>
          <w:lang w:val="en-CA"/>
        </w:rPr>
        <w:t xml:space="preserve"> </w:t>
      </w:r>
    </w:p>
  </w:footnote>
  <w:footnote w:id="113">
    <w:p w14:paraId="34A2A33C"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Edward M. Morgan, </w:t>
      </w:r>
      <w:r w:rsidRPr="00793101">
        <w:rPr>
          <w:i/>
          <w:color w:val="auto"/>
          <w:szCs w:val="16"/>
          <w:lang w:val="en-CA"/>
        </w:rPr>
        <w:t xml:space="preserve">International </w:t>
      </w:r>
      <w:proofErr w:type="gramStart"/>
      <w:r w:rsidRPr="00793101">
        <w:rPr>
          <w:i/>
          <w:color w:val="auto"/>
          <w:szCs w:val="16"/>
          <w:lang w:val="en-CA"/>
        </w:rPr>
        <w:t>Law</w:t>
      </w:r>
      <w:proofErr w:type="gramEnd"/>
      <w:r w:rsidRPr="00793101">
        <w:rPr>
          <w:i/>
          <w:color w:val="auto"/>
          <w:szCs w:val="16"/>
          <w:lang w:val="en-CA"/>
        </w:rPr>
        <w:t xml:space="preserve"> and the Canadian Courts: sovereign immunity, criminal jurisdiction, aliens’ rights and taxation powers</w:t>
      </w:r>
      <w:r w:rsidRPr="00793101">
        <w:rPr>
          <w:color w:val="auto"/>
          <w:szCs w:val="16"/>
          <w:lang w:val="en-CA"/>
        </w:rPr>
        <w:t>, (Toronto: Carswell, 1990) at 139.</w:t>
      </w:r>
    </w:p>
  </w:footnote>
  <w:footnote w:id="114">
    <w:p w14:paraId="5E5D07E4" w14:textId="07D8FAAD"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0C2340">
        <w:rPr>
          <w:i/>
          <w:color w:val="auto"/>
          <w:szCs w:val="16"/>
          <w:lang w:val="en-CA"/>
        </w:rPr>
        <w:t>Protocol I</w:t>
      </w:r>
      <w:r w:rsidRPr="000C2340">
        <w:rPr>
          <w:color w:val="auto"/>
          <w:szCs w:val="16"/>
          <w:lang w:val="en-CA"/>
        </w:rPr>
        <w:t xml:space="preserv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_Ref266969551 \h  \* MERGEFORMAT </w:instrText>
      </w:r>
      <w:r w:rsidRPr="000C2340">
        <w:fldChar w:fldCharType="separate"/>
      </w:r>
      <w:r w:rsidRPr="00E045AC">
        <w:rPr>
          <w:color w:val="auto"/>
          <w:szCs w:val="16"/>
          <w:lang w:val="en-CA"/>
        </w:rPr>
        <w:t>93</w:t>
      </w:r>
      <w:r w:rsidRPr="000C2340">
        <w:fldChar w:fldCharType="end"/>
      </w:r>
      <w:r w:rsidRPr="00793101">
        <w:rPr>
          <w:color w:val="auto"/>
          <w:szCs w:val="16"/>
          <w:lang w:val="en-CA"/>
        </w:rPr>
        <w:t>, art 85(2) protects “persons in the power of an adverse Party protected by Articles 44, 45 and 73 of this Protocol, or against the wounded, sick and shipwrecked of the adverse Party who are protected by this Protocol, or against those medical or religious personnel, medical units or medical transports which are under the control of the adverse Party and are protected by this Protocol.”</w:t>
      </w:r>
    </w:p>
  </w:footnote>
  <w:footnote w:id="115">
    <w:p w14:paraId="3204A087" w14:textId="117406FC" w:rsidR="00356280" w:rsidRPr="00793101" w:rsidRDefault="00356280" w:rsidP="0040644D">
      <w:pPr>
        <w:pStyle w:val="FootnoteText"/>
        <w:spacing w:after="0" w:line="240" w:lineRule="auto"/>
        <w:jc w:val="both"/>
        <w:rPr>
          <w:color w:val="auto"/>
          <w:szCs w:val="16"/>
          <w:highlight w:val="yellow"/>
          <w:lang w:val="en-CA"/>
        </w:rPr>
      </w:pPr>
      <w:r w:rsidRPr="00793101">
        <w:rPr>
          <w:rStyle w:val="FootnoteReference"/>
          <w:color w:val="auto"/>
          <w:szCs w:val="16"/>
          <w:lang w:val="en-CA"/>
        </w:rPr>
        <w:footnoteRef/>
      </w:r>
      <w:r w:rsidRPr="00793101">
        <w:rPr>
          <w:color w:val="auto"/>
          <w:szCs w:val="16"/>
          <w:lang w:val="en-CA"/>
        </w:rPr>
        <w:t xml:space="preserve"> For the text of Articles 11 and 85(3) of Protocol, I see Amnesty International, </w:t>
      </w:r>
      <w:r w:rsidRPr="00793101">
        <w:rPr>
          <w:rFonts w:eastAsia="Times-Roman"/>
          <w:i/>
          <w:color w:val="auto"/>
          <w:szCs w:val="16"/>
          <w:lang w:val="en-CA"/>
        </w:rPr>
        <w:t>Universal jurisdiction: The duty of states to enact and enforce legislation</w:t>
      </w:r>
      <w:r w:rsidRPr="00793101">
        <w:rPr>
          <w:rFonts w:eastAsia="Times-Roman"/>
          <w:color w:val="auto"/>
          <w:szCs w:val="16"/>
          <w:lang w:val="en-CA"/>
        </w:rPr>
        <w:t xml:space="preserve">, </w:t>
      </w:r>
      <w:r w:rsidRPr="00793101">
        <w:rPr>
          <w:rFonts w:eastAsia="Times-Roman"/>
          <w:i/>
          <w:color w:val="auto"/>
          <w:szCs w:val="16"/>
          <w:lang w:val="en-CA"/>
        </w:rPr>
        <w:t>supra</w:t>
      </w:r>
      <w:r w:rsidRPr="00793101">
        <w:rPr>
          <w:rFonts w:eastAsia="Times-Roman"/>
          <w:color w:val="auto"/>
          <w:szCs w:val="16"/>
          <w:lang w:val="en-CA"/>
        </w:rPr>
        <w:t xml:space="preserve"> note </w:t>
      </w:r>
      <w:r>
        <w:fldChar w:fldCharType="begin"/>
      </w:r>
      <w:r>
        <w:instrText xml:space="preserve"> NOTEREF _Ref266968928 \h  \* MERGEFORMAT </w:instrText>
      </w:r>
      <w:r>
        <w:fldChar w:fldCharType="separate"/>
      </w:r>
      <w:r>
        <w:t>6</w:t>
      </w:r>
      <w:r>
        <w:fldChar w:fldCharType="end"/>
      </w:r>
      <w:r w:rsidRPr="00793101">
        <w:rPr>
          <w:rFonts w:eastAsia="Times-Roman"/>
          <w:color w:val="auto"/>
          <w:szCs w:val="16"/>
          <w:lang w:val="en-CA"/>
        </w:rPr>
        <w:t>, s 4.3.1</w:t>
      </w:r>
      <w:r w:rsidRPr="00793101">
        <w:rPr>
          <w:color w:val="auto"/>
          <w:szCs w:val="16"/>
          <w:lang w:val="en-CA"/>
        </w:rPr>
        <w:t xml:space="preserve">. </w:t>
      </w:r>
    </w:p>
  </w:footnote>
  <w:footnote w:id="116">
    <w:p w14:paraId="768F27B1" w14:textId="53B884A4"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For the text of Article 85 (1) of Protocol I, see Amnesty International, </w:t>
      </w:r>
      <w:r w:rsidRPr="00793101">
        <w:rPr>
          <w:rFonts w:eastAsia="Times-Roman"/>
          <w:i/>
          <w:color w:val="auto"/>
          <w:szCs w:val="16"/>
          <w:lang w:val="en-CA"/>
        </w:rPr>
        <w:t>Universal jurisdiction: The duty of states to enact and enforce legislation</w:t>
      </w:r>
      <w:r w:rsidRPr="00793101">
        <w:rPr>
          <w:rFonts w:eastAsia="Times-Roman"/>
          <w:color w:val="auto"/>
          <w:szCs w:val="16"/>
          <w:lang w:val="en-CA"/>
        </w:rPr>
        <w:t xml:space="preserve">, </w:t>
      </w:r>
      <w:r w:rsidRPr="00793101">
        <w:rPr>
          <w:rFonts w:eastAsia="Times-Roman"/>
          <w:i/>
          <w:color w:val="auto"/>
          <w:szCs w:val="16"/>
          <w:lang w:val="en-CA"/>
        </w:rPr>
        <w:t xml:space="preserve">supra </w:t>
      </w:r>
      <w:r w:rsidRPr="00793101">
        <w:rPr>
          <w:rFonts w:eastAsia="Times-Roman"/>
          <w:color w:val="auto"/>
          <w:szCs w:val="16"/>
          <w:lang w:val="en-CA"/>
        </w:rPr>
        <w:t xml:space="preserve">note </w:t>
      </w:r>
      <w:r>
        <w:fldChar w:fldCharType="begin"/>
      </w:r>
      <w:r>
        <w:instrText xml:space="preserve"> NOTEREF _Ref266968928 \h  \* MERGEFORMAT </w:instrText>
      </w:r>
      <w:r>
        <w:fldChar w:fldCharType="separate"/>
      </w:r>
      <w:r>
        <w:t>6</w:t>
      </w:r>
      <w:r>
        <w:fldChar w:fldCharType="end"/>
      </w:r>
      <w:r w:rsidRPr="00793101">
        <w:rPr>
          <w:rFonts w:eastAsia="Times-Roman"/>
          <w:color w:val="auto"/>
          <w:szCs w:val="16"/>
          <w:lang w:val="en-CA"/>
        </w:rPr>
        <w:t>, s 4.3.1</w:t>
      </w:r>
      <w:r w:rsidRPr="00793101">
        <w:rPr>
          <w:color w:val="auto"/>
          <w:szCs w:val="16"/>
          <w:lang w:val="en-CA"/>
        </w:rPr>
        <w:t>.</w:t>
      </w:r>
    </w:p>
  </w:footnote>
  <w:footnote w:id="117">
    <w:p w14:paraId="6CF2AA88" w14:textId="4D9E5170" w:rsidR="00356280" w:rsidRPr="000C2340"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0C2340">
        <w:rPr>
          <w:color w:val="auto"/>
          <w:szCs w:val="16"/>
          <w:lang w:val="en-CA"/>
        </w:rPr>
        <w:t xml:space="preserve">Currie,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_Ref266966189 \h  \* MERGEFORMAT </w:instrText>
      </w:r>
      <w:r w:rsidRPr="000C2340">
        <w:fldChar w:fldCharType="separate"/>
      </w:r>
      <w:r w:rsidRPr="00E045AC">
        <w:rPr>
          <w:color w:val="auto"/>
          <w:szCs w:val="16"/>
          <w:lang w:val="en-CA"/>
        </w:rPr>
        <w:t>72</w:t>
      </w:r>
      <w:r w:rsidRPr="000C2340">
        <w:fldChar w:fldCharType="end"/>
      </w:r>
      <w:r w:rsidRPr="000C2340">
        <w:rPr>
          <w:color w:val="auto"/>
          <w:szCs w:val="16"/>
          <w:lang w:val="en-CA"/>
        </w:rPr>
        <w:t xml:space="preserve"> at 264; and Lafontaine,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_Ref265358056 \h  \* MERGEFORMAT </w:instrText>
      </w:r>
      <w:r w:rsidRPr="000C2340">
        <w:fldChar w:fldCharType="separate"/>
      </w:r>
      <w:r w:rsidRPr="00E045AC">
        <w:rPr>
          <w:color w:val="auto"/>
          <w:szCs w:val="16"/>
          <w:lang w:val="en-CA"/>
        </w:rPr>
        <w:t>98</w:t>
      </w:r>
      <w:r w:rsidRPr="000C2340">
        <w:fldChar w:fldCharType="end"/>
      </w:r>
      <w:r w:rsidRPr="000C2340">
        <w:rPr>
          <w:color w:val="auto"/>
          <w:szCs w:val="16"/>
          <w:lang w:val="en-CA"/>
        </w:rPr>
        <w:t xml:space="preserve"> at 83. </w:t>
      </w:r>
    </w:p>
  </w:footnote>
  <w:footnote w:id="118">
    <w:p w14:paraId="34851FB7" w14:textId="1D421D43" w:rsidR="00356280" w:rsidRPr="00793101" w:rsidRDefault="00356280" w:rsidP="0040644D">
      <w:pPr>
        <w:pStyle w:val="FootnoteText"/>
        <w:spacing w:after="0" w:line="240" w:lineRule="auto"/>
        <w:jc w:val="both"/>
        <w:rPr>
          <w:color w:val="auto"/>
          <w:szCs w:val="16"/>
          <w:lang w:val="en-CA"/>
        </w:rPr>
      </w:pPr>
      <w:r w:rsidRPr="000C2340">
        <w:rPr>
          <w:rStyle w:val="FootnoteReference"/>
          <w:color w:val="auto"/>
          <w:szCs w:val="16"/>
          <w:lang w:val="en-CA"/>
        </w:rPr>
        <w:footnoteRef/>
      </w:r>
      <w:r w:rsidRPr="000C2340">
        <w:rPr>
          <w:color w:val="auto"/>
          <w:szCs w:val="16"/>
          <w:lang w:val="en-CA"/>
        </w:rPr>
        <w:t xml:space="preserve"> Lafontaine,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_Ref265358056 \h  \* MERGEFORMAT </w:instrText>
      </w:r>
      <w:r w:rsidRPr="000C2340">
        <w:fldChar w:fldCharType="separate"/>
      </w:r>
      <w:r w:rsidRPr="00E045AC">
        <w:rPr>
          <w:color w:val="auto"/>
          <w:szCs w:val="16"/>
          <w:lang w:val="en-CA"/>
        </w:rPr>
        <w:t>98</w:t>
      </w:r>
      <w:r w:rsidRPr="000C2340">
        <w:fldChar w:fldCharType="end"/>
      </w:r>
      <w:r w:rsidRPr="000C2340">
        <w:rPr>
          <w:color w:val="auto"/>
          <w:szCs w:val="16"/>
          <w:lang w:val="en-CA"/>
        </w:rPr>
        <w:t xml:space="preserve"> at 85.</w:t>
      </w:r>
    </w:p>
  </w:footnote>
  <w:footnote w:id="119">
    <w:p w14:paraId="721E7024" w14:textId="3D80F51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Crimes Against Humanity and War Crimes Act,</w:t>
      </w:r>
      <w:r w:rsidRPr="00793101">
        <w:rPr>
          <w:color w:val="auto"/>
          <w:szCs w:val="16"/>
          <w:lang w:val="en-CA"/>
        </w:rPr>
        <w:t xml:space="preserv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_Ref266965596 \h  \* MERGEFORMAT </w:instrText>
      </w:r>
      <w:r>
        <w:fldChar w:fldCharType="separate"/>
      </w:r>
      <w:r>
        <w:t>12</w:t>
      </w:r>
      <w:r>
        <w:fldChar w:fldCharType="end"/>
      </w:r>
      <w:r w:rsidRPr="00793101">
        <w:rPr>
          <w:color w:val="auto"/>
          <w:szCs w:val="16"/>
          <w:lang w:val="en-CA"/>
        </w:rPr>
        <w:t>, s 4(4).</w:t>
      </w:r>
    </w:p>
  </w:footnote>
  <w:footnote w:id="120">
    <w:p w14:paraId="14C10BEB" w14:textId="24C57036" w:rsidR="00356280" w:rsidRPr="000C2340"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0C2340">
        <w:rPr>
          <w:color w:val="auto"/>
          <w:szCs w:val="16"/>
          <w:lang w:val="en-CA"/>
        </w:rPr>
        <w:t xml:space="preserve">Currie,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_Ref266966189 \h  \* MERGEFORMAT </w:instrText>
      </w:r>
      <w:r w:rsidRPr="000C2340">
        <w:fldChar w:fldCharType="separate"/>
      </w:r>
      <w:r w:rsidRPr="00E045AC">
        <w:rPr>
          <w:color w:val="auto"/>
          <w:szCs w:val="16"/>
          <w:lang w:val="en-CA"/>
        </w:rPr>
        <w:t>72</w:t>
      </w:r>
      <w:r w:rsidRPr="000C2340">
        <w:fldChar w:fldCharType="end"/>
      </w:r>
      <w:r w:rsidRPr="000C2340">
        <w:rPr>
          <w:color w:val="auto"/>
          <w:szCs w:val="16"/>
          <w:lang w:val="en-CA"/>
        </w:rPr>
        <w:t xml:space="preserve"> at 264.</w:t>
      </w:r>
    </w:p>
  </w:footnote>
  <w:footnote w:id="121">
    <w:p w14:paraId="4CF2ED25" w14:textId="3B18F205" w:rsidR="00356280" w:rsidRPr="000C692A" w:rsidRDefault="00356280" w:rsidP="0040644D">
      <w:pPr>
        <w:pStyle w:val="FootnoteText"/>
        <w:spacing w:after="0" w:line="240" w:lineRule="auto"/>
        <w:rPr>
          <w:szCs w:val="16"/>
          <w:lang w:val="en-US"/>
        </w:rPr>
      </w:pPr>
      <w:r w:rsidRPr="000C2340">
        <w:rPr>
          <w:rStyle w:val="FootnoteReference"/>
          <w:szCs w:val="16"/>
        </w:rPr>
        <w:footnoteRef/>
      </w:r>
      <w:r w:rsidRPr="000C2340">
        <w:rPr>
          <w:szCs w:val="16"/>
          <w:lang w:val="en-US"/>
        </w:rPr>
        <w:t xml:space="preserve"> Lafontaine, </w:t>
      </w:r>
      <w:r w:rsidRPr="000C2340">
        <w:rPr>
          <w:i/>
          <w:szCs w:val="16"/>
          <w:lang w:val="en-US"/>
        </w:rPr>
        <w:t>supra</w:t>
      </w:r>
      <w:r w:rsidRPr="000C2340">
        <w:rPr>
          <w:szCs w:val="16"/>
          <w:lang w:val="en-US"/>
        </w:rPr>
        <w:t xml:space="preserve"> note </w:t>
      </w:r>
      <w:r w:rsidRPr="000C2340">
        <w:fldChar w:fldCharType="begin"/>
      </w:r>
      <w:r w:rsidRPr="000C2340">
        <w:instrText xml:space="preserve"> NOTEREF _Ref265358056 \h  \* MERGEFORMAT </w:instrText>
      </w:r>
      <w:r w:rsidRPr="000C2340">
        <w:fldChar w:fldCharType="separate"/>
      </w:r>
      <w:r w:rsidRPr="00E045AC">
        <w:rPr>
          <w:szCs w:val="16"/>
          <w:lang w:val="en-US"/>
        </w:rPr>
        <w:t>98</w:t>
      </w:r>
      <w:r w:rsidRPr="000C2340">
        <w:fldChar w:fldCharType="end"/>
      </w:r>
      <w:r w:rsidRPr="000C2340">
        <w:rPr>
          <w:szCs w:val="16"/>
          <w:lang w:val="en-US"/>
        </w:rPr>
        <w:t xml:space="preserve"> at 43.</w:t>
      </w:r>
    </w:p>
  </w:footnote>
  <w:footnote w:id="122">
    <w:p w14:paraId="1E8075D1"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Ibid</w:t>
      </w:r>
      <w:r w:rsidRPr="000C692A">
        <w:rPr>
          <w:szCs w:val="16"/>
          <w:lang w:val="en-US"/>
        </w:rPr>
        <w:t xml:space="preserve"> at 44.</w:t>
      </w:r>
    </w:p>
  </w:footnote>
  <w:footnote w:id="123">
    <w:p w14:paraId="41349071" w14:textId="52463EA0" w:rsidR="00356280" w:rsidRPr="000C2340"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0C2340">
        <w:rPr>
          <w:i/>
          <w:color w:val="auto"/>
          <w:szCs w:val="16"/>
          <w:lang w:val="en-CA"/>
        </w:rPr>
        <w:t>Third Geneva Convention</w:t>
      </w:r>
      <w:r w:rsidRPr="000C2340">
        <w:rPr>
          <w:color w:val="auto"/>
          <w:szCs w:val="16"/>
          <w:lang w:val="en-CA"/>
        </w:rPr>
        <w:t xml:space="preserv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_Ref266967085 \h  \* MERGEFORMAT </w:instrText>
      </w:r>
      <w:r w:rsidRPr="000C2340">
        <w:fldChar w:fldCharType="separate"/>
      </w:r>
      <w:r w:rsidRPr="00E045AC">
        <w:rPr>
          <w:color w:val="auto"/>
          <w:szCs w:val="16"/>
          <w:lang w:val="en-CA"/>
        </w:rPr>
        <w:t>92</w:t>
      </w:r>
      <w:r w:rsidRPr="000C2340">
        <w:fldChar w:fldCharType="end"/>
      </w:r>
      <w:r w:rsidRPr="000C2340">
        <w:rPr>
          <w:color w:val="auto"/>
          <w:szCs w:val="16"/>
          <w:lang w:val="en-CA"/>
        </w:rPr>
        <w:t xml:space="preserve"> at art 118, as well as customary international humanitarian law; Jean-Marie </w:t>
      </w:r>
      <w:proofErr w:type="spellStart"/>
      <w:r w:rsidRPr="000C2340">
        <w:rPr>
          <w:color w:val="auto"/>
          <w:szCs w:val="16"/>
          <w:lang w:val="en-CA"/>
        </w:rPr>
        <w:t>Henckaerts</w:t>
      </w:r>
      <w:proofErr w:type="spellEnd"/>
      <w:r w:rsidRPr="000C2340">
        <w:rPr>
          <w:color w:val="auto"/>
          <w:szCs w:val="16"/>
          <w:lang w:val="en-CA"/>
        </w:rPr>
        <w:t xml:space="preserve"> &amp; Louise </w:t>
      </w:r>
      <w:proofErr w:type="spellStart"/>
      <w:r w:rsidRPr="000C2340">
        <w:rPr>
          <w:color w:val="auto"/>
          <w:szCs w:val="16"/>
          <w:lang w:val="en-CA"/>
        </w:rPr>
        <w:t>Doswald</w:t>
      </w:r>
      <w:proofErr w:type="spellEnd"/>
      <w:r w:rsidRPr="000C2340">
        <w:rPr>
          <w:color w:val="auto"/>
          <w:szCs w:val="16"/>
          <w:lang w:val="en-CA"/>
        </w:rPr>
        <w:t xml:space="preserve">-Beck, </w:t>
      </w:r>
      <w:r w:rsidRPr="000C2340">
        <w:rPr>
          <w:i/>
          <w:color w:val="auto"/>
          <w:szCs w:val="16"/>
          <w:lang w:val="en-CA"/>
        </w:rPr>
        <w:t>Customary International Humanitarian Law</w:t>
      </w:r>
      <w:r w:rsidRPr="000C2340">
        <w:rPr>
          <w:color w:val="auto"/>
          <w:szCs w:val="16"/>
          <w:lang w:val="en-CA"/>
        </w:rPr>
        <w:t xml:space="preserve"> (Geneva: International Committee of the Red Cross &amp; Cambridge University Press, 2005) Rule 156: serious violations of international humanitarian constitute war crimes.</w:t>
      </w:r>
    </w:p>
  </w:footnote>
  <w:footnote w:id="124">
    <w:p w14:paraId="18961DC3" w14:textId="3E7D0EDD" w:rsidR="00356280" w:rsidRPr="000C2340" w:rsidRDefault="00356280" w:rsidP="0040644D">
      <w:pPr>
        <w:pStyle w:val="FootnoteText"/>
        <w:spacing w:after="0" w:line="240" w:lineRule="auto"/>
        <w:jc w:val="both"/>
        <w:rPr>
          <w:color w:val="auto"/>
          <w:szCs w:val="16"/>
          <w:lang w:val="en-CA"/>
        </w:rPr>
      </w:pPr>
      <w:r w:rsidRPr="000C2340">
        <w:rPr>
          <w:rStyle w:val="FootnoteReference"/>
          <w:color w:val="auto"/>
          <w:szCs w:val="16"/>
          <w:lang w:val="en-CA"/>
        </w:rPr>
        <w:footnoteRef/>
      </w:r>
      <w:r w:rsidRPr="000C2340">
        <w:rPr>
          <w:color w:val="auto"/>
          <w:szCs w:val="16"/>
          <w:lang w:val="en-CA"/>
        </w:rPr>
        <w:t xml:space="preserve"> </w:t>
      </w:r>
      <w:r w:rsidRPr="000C2340">
        <w:rPr>
          <w:i/>
          <w:color w:val="auto"/>
          <w:szCs w:val="16"/>
          <w:lang w:val="en-CA"/>
        </w:rPr>
        <w:t>Protocol I</w:t>
      </w:r>
      <w:r w:rsidRPr="000C2340">
        <w:rPr>
          <w:color w:val="auto"/>
          <w:szCs w:val="16"/>
          <w:lang w:val="en-CA"/>
        </w:rPr>
        <w:t xml:space="preserve">, </w:t>
      </w:r>
      <w:r w:rsidRPr="000C2340">
        <w:rPr>
          <w:i/>
          <w:color w:val="auto"/>
          <w:szCs w:val="16"/>
          <w:lang w:val="en-CA"/>
        </w:rPr>
        <w:t>supra</w:t>
      </w:r>
      <w:r w:rsidRPr="000C2340">
        <w:rPr>
          <w:color w:val="auto"/>
          <w:szCs w:val="16"/>
          <w:lang w:val="en-CA"/>
        </w:rPr>
        <w:t xml:space="preserve"> note </w:t>
      </w:r>
      <w:r w:rsidRPr="000C2340">
        <w:fldChar w:fldCharType="begin"/>
      </w:r>
      <w:r w:rsidRPr="000C2340">
        <w:instrText xml:space="preserve"> NOTEREF _Ref266969551 \h  \* MERGEFORMAT </w:instrText>
      </w:r>
      <w:r w:rsidRPr="000C2340">
        <w:fldChar w:fldCharType="separate"/>
      </w:r>
      <w:r w:rsidRPr="00E045AC">
        <w:rPr>
          <w:color w:val="auto"/>
          <w:szCs w:val="16"/>
          <w:lang w:val="en-CA"/>
        </w:rPr>
        <w:t>93</w:t>
      </w:r>
      <w:r w:rsidRPr="000C2340">
        <w:fldChar w:fldCharType="end"/>
      </w:r>
      <w:r w:rsidRPr="000C2340">
        <w:rPr>
          <w:color w:val="auto"/>
          <w:szCs w:val="16"/>
          <w:lang w:val="en-CA"/>
        </w:rPr>
        <w:t xml:space="preserve">, art 85(4)(b); as well as customary international humanitarian law: </w:t>
      </w:r>
      <w:proofErr w:type="spellStart"/>
      <w:r w:rsidRPr="000C2340">
        <w:rPr>
          <w:color w:val="auto"/>
          <w:szCs w:val="16"/>
          <w:lang w:val="en-CA"/>
        </w:rPr>
        <w:t>Henckaerts</w:t>
      </w:r>
      <w:proofErr w:type="spellEnd"/>
      <w:r w:rsidRPr="000C2340">
        <w:rPr>
          <w:color w:val="auto"/>
          <w:szCs w:val="16"/>
          <w:lang w:val="en-CA"/>
        </w:rPr>
        <w:t xml:space="preserve"> &amp; </w:t>
      </w:r>
      <w:proofErr w:type="spellStart"/>
      <w:r w:rsidRPr="000C2340">
        <w:rPr>
          <w:color w:val="auto"/>
          <w:szCs w:val="16"/>
          <w:lang w:val="en-CA"/>
        </w:rPr>
        <w:t>Doswald</w:t>
      </w:r>
      <w:proofErr w:type="spellEnd"/>
      <w:r w:rsidRPr="000C2340">
        <w:rPr>
          <w:color w:val="auto"/>
          <w:szCs w:val="16"/>
          <w:lang w:val="en-CA"/>
        </w:rPr>
        <w:t xml:space="preserve">-Beck, supra note </w:t>
      </w:r>
      <w:r w:rsidRPr="000C2340">
        <w:fldChar w:fldCharType="begin"/>
      </w:r>
      <w:r w:rsidRPr="000C2340">
        <w:instrText xml:space="preserve"> NOTEREF _Ref266970952 \h  \* MERGEFORMAT </w:instrText>
      </w:r>
      <w:r w:rsidRPr="000C2340">
        <w:fldChar w:fldCharType="separate"/>
      </w:r>
      <w:r w:rsidRPr="00E045AC">
        <w:rPr>
          <w:color w:val="auto"/>
          <w:szCs w:val="16"/>
          <w:lang w:val="en-CA"/>
        </w:rPr>
        <w:t>123</w:t>
      </w:r>
      <w:r w:rsidRPr="000C2340">
        <w:fldChar w:fldCharType="end"/>
      </w:r>
      <w:r w:rsidRPr="000C2340">
        <w:rPr>
          <w:color w:val="auto"/>
          <w:szCs w:val="16"/>
          <w:lang w:val="en-CA"/>
        </w:rPr>
        <w:t>, Rule 156: serious violations of international humanitarian constitute war crimes.</w:t>
      </w:r>
    </w:p>
  </w:footnote>
  <w:footnote w:id="125">
    <w:p w14:paraId="52008C18" w14:textId="704F83CF" w:rsidR="00356280" w:rsidRPr="00793101" w:rsidRDefault="00356280" w:rsidP="0040644D">
      <w:pPr>
        <w:pStyle w:val="FootnoteText"/>
        <w:spacing w:after="0" w:line="240" w:lineRule="auto"/>
        <w:jc w:val="both"/>
        <w:rPr>
          <w:color w:val="auto"/>
          <w:szCs w:val="16"/>
          <w:lang w:val="en-CA"/>
        </w:rPr>
      </w:pPr>
      <w:r w:rsidRPr="000C2340">
        <w:rPr>
          <w:rStyle w:val="FootnoteReference"/>
          <w:color w:val="auto"/>
          <w:szCs w:val="16"/>
          <w:lang w:val="en-CA"/>
        </w:rPr>
        <w:footnoteRef/>
      </w:r>
      <w:r w:rsidRPr="000C2340">
        <w:rPr>
          <w:color w:val="auto"/>
          <w:szCs w:val="16"/>
          <w:lang w:val="en-CA"/>
        </w:rPr>
        <w:t xml:space="preserve"> </w:t>
      </w:r>
      <w:r w:rsidRPr="000C2340">
        <w:rPr>
          <w:i/>
          <w:color w:val="auto"/>
          <w:szCs w:val="16"/>
          <w:lang w:val="en-CA"/>
        </w:rPr>
        <w:t xml:space="preserve">Protocol I, supra </w:t>
      </w:r>
      <w:r w:rsidRPr="000C2340">
        <w:rPr>
          <w:color w:val="auto"/>
          <w:szCs w:val="16"/>
          <w:lang w:val="en-CA"/>
        </w:rPr>
        <w:t xml:space="preserve">note </w:t>
      </w:r>
      <w:r w:rsidRPr="000C2340">
        <w:fldChar w:fldCharType="begin"/>
      </w:r>
      <w:r w:rsidRPr="000C2340">
        <w:instrText xml:space="preserve"> NOTEREF _Ref266969551 \h  \* MERGEFORMAT </w:instrText>
      </w:r>
      <w:r w:rsidRPr="000C2340">
        <w:fldChar w:fldCharType="separate"/>
      </w:r>
      <w:r w:rsidRPr="00E045AC">
        <w:rPr>
          <w:color w:val="auto"/>
          <w:szCs w:val="16"/>
          <w:lang w:val="en-CA"/>
        </w:rPr>
        <w:t>93</w:t>
      </w:r>
      <w:r w:rsidRPr="000C2340">
        <w:fldChar w:fldCharType="end"/>
      </w:r>
      <w:r w:rsidRPr="000C2340">
        <w:rPr>
          <w:color w:val="auto"/>
          <w:szCs w:val="16"/>
          <w:lang w:val="en-CA"/>
        </w:rPr>
        <w:t xml:space="preserve">, art 85(4)(b): as well as customary international humanitarian law: </w:t>
      </w:r>
      <w:proofErr w:type="spellStart"/>
      <w:r w:rsidRPr="000C2340">
        <w:rPr>
          <w:color w:val="auto"/>
          <w:szCs w:val="16"/>
          <w:lang w:val="en-CA"/>
        </w:rPr>
        <w:t>Henckaerts</w:t>
      </w:r>
      <w:proofErr w:type="spellEnd"/>
      <w:r w:rsidRPr="000C2340">
        <w:rPr>
          <w:color w:val="auto"/>
          <w:szCs w:val="16"/>
          <w:lang w:val="en-CA"/>
        </w:rPr>
        <w:t xml:space="preserve"> &amp; </w:t>
      </w:r>
      <w:proofErr w:type="spellStart"/>
      <w:r w:rsidRPr="000C2340">
        <w:rPr>
          <w:color w:val="auto"/>
          <w:szCs w:val="16"/>
          <w:lang w:val="en-CA"/>
        </w:rPr>
        <w:t>Doswald</w:t>
      </w:r>
      <w:proofErr w:type="spellEnd"/>
      <w:r w:rsidRPr="000C2340">
        <w:rPr>
          <w:color w:val="auto"/>
          <w:szCs w:val="16"/>
          <w:lang w:val="en-CA"/>
        </w:rPr>
        <w:t xml:space="preserve">-Beck, supra note </w:t>
      </w:r>
      <w:r w:rsidRPr="000C2340">
        <w:fldChar w:fldCharType="begin"/>
      </w:r>
      <w:r w:rsidRPr="000C2340">
        <w:instrText xml:space="preserve"> NOTEREF _Ref266970952 \h  \* MERGEFORMAT </w:instrText>
      </w:r>
      <w:r w:rsidRPr="000C2340">
        <w:fldChar w:fldCharType="separate"/>
      </w:r>
      <w:r w:rsidRPr="00E045AC">
        <w:rPr>
          <w:color w:val="auto"/>
          <w:szCs w:val="16"/>
          <w:lang w:val="en-CA"/>
        </w:rPr>
        <w:t>123</w:t>
      </w:r>
      <w:r w:rsidRPr="000C2340">
        <w:fldChar w:fldCharType="end"/>
      </w:r>
      <w:r w:rsidRPr="000C2340">
        <w:rPr>
          <w:color w:val="auto"/>
          <w:szCs w:val="16"/>
          <w:lang w:val="en-CA"/>
        </w:rPr>
        <w:t>,</w:t>
      </w:r>
      <w:r w:rsidRPr="00793101">
        <w:rPr>
          <w:color w:val="auto"/>
          <w:szCs w:val="16"/>
          <w:lang w:val="en-CA"/>
        </w:rPr>
        <w:t xml:space="preserve"> Rule 156: serious violations of international humanitarian constitute war crimes.</w:t>
      </w:r>
    </w:p>
  </w:footnote>
  <w:footnote w:id="126">
    <w:p w14:paraId="7A0B4EC8" w14:textId="15D44D75"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Protocol I, supra </w:t>
      </w:r>
      <w:r w:rsidRPr="00793101">
        <w:rPr>
          <w:color w:val="auto"/>
          <w:szCs w:val="16"/>
          <w:lang w:val="en-CA"/>
        </w:rPr>
        <w:t xml:space="preserve">note </w:t>
      </w:r>
      <w:r>
        <w:fldChar w:fldCharType="begin"/>
      </w:r>
      <w:r>
        <w:instrText xml:space="preserve"> NOTEREF _Ref266969551 \h  \* MERGEFORMAT </w:instrText>
      </w:r>
      <w:r>
        <w:fldChar w:fldCharType="separate"/>
      </w:r>
      <w:r w:rsidRPr="00E045AC">
        <w:rPr>
          <w:color w:val="auto"/>
          <w:szCs w:val="16"/>
          <w:lang w:val="en-CA"/>
        </w:rPr>
        <w:t>93</w:t>
      </w:r>
      <w:r>
        <w:fldChar w:fldCharType="end"/>
      </w:r>
      <w:r w:rsidRPr="00793101">
        <w:rPr>
          <w:color w:val="auto"/>
          <w:szCs w:val="16"/>
          <w:lang w:val="en-CA"/>
        </w:rPr>
        <w:t xml:space="preserve">, art  85(3)(c); as well as customary international humanitarian law: </w:t>
      </w:r>
      <w:proofErr w:type="spellStart"/>
      <w:r w:rsidRPr="00793101">
        <w:rPr>
          <w:color w:val="auto"/>
          <w:szCs w:val="16"/>
          <w:lang w:val="en-CA"/>
        </w:rPr>
        <w:t>Henckaerts</w:t>
      </w:r>
      <w:proofErr w:type="spellEnd"/>
      <w:r w:rsidRPr="00793101">
        <w:rPr>
          <w:color w:val="auto"/>
          <w:szCs w:val="16"/>
          <w:lang w:val="en-CA"/>
        </w:rPr>
        <w:t xml:space="preserve"> &amp; </w:t>
      </w:r>
      <w:proofErr w:type="spellStart"/>
      <w:r w:rsidRPr="00793101">
        <w:rPr>
          <w:color w:val="auto"/>
          <w:szCs w:val="16"/>
          <w:lang w:val="en-CA"/>
        </w:rPr>
        <w:t>Doswald</w:t>
      </w:r>
      <w:proofErr w:type="spellEnd"/>
      <w:r w:rsidRPr="00793101">
        <w:rPr>
          <w:color w:val="auto"/>
          <w:szCs w:val="16"/>
          <w:lang w:val="en-CA"/>
        </w:rPr>
        <w:t xml:space="preserve">-Beck, supra note </w:t>
      </w:r>
      <w:r>
        <w:fldChar w:fldCharType="begin"/>
      </w:r>
      <w:r>
        <w:instrText xml:space="preserve"> NOTEREF _Ref266970952 \h  \* MERGEFORMAT </w:instrText>
      </w:r>
      <w:r>
        <w:fldChar w:fldCharType="separate"/>
      </w:r>
      <w:r w:rsidRPr="00E045AC">
        <w:rPr>
          <w:color w:val="auto"/>
          <w:szCs w:val="16"/>
          <w:lang w:val="en-CA"/>
        </w:rPr>
        <w:t>123</w:t>
      </w:r>
      <w:r>
        <w:fldChar w:fldCharType="end"/>
      </w:r>
      <w:r w:rsidRPr="00793101">
        <w:rPr>
          <w:color w:val="auto"/>
          <w:szCs w:val="16"/>
          <w:lang w:val="en-CA"/>
        </w:rPr>
        <w:t>, Rule 156: serious violations of international humanitarian constitute war crimes.</w:t>
      </w:r>
    </w:p>
  </w:footnote>
  <w:footnote w:id="127">
    <w:p w14:paraId="1EDA353C"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 xml:space="preserve">Protocol for the prohibition of the use in war of asphyxiating, poisonous or other gases, and of bacteriological methods of warfare, </w:t>
      </w:r>
      <w:r w:rsidRPr="00793101">
        <w:rPr>
          <w:iCs/>
          <w:color w:val="auto"/>
          <w:szCs w:val="16"/>
          <w:lang w:val="en-CA"/>
        </w:rPr>
        <w:t>17 June 1925, 94 LNTS 65 (entered into force 8 February 1928) [</w:t>
      </w:r>
      <w:r w:rsidRPr="00793101">
        <w:rPr>
          <w:i/>
          <w:iCs/>
          <w:color w:val="auto"/>
          <w:szCs w:val="16"/>
          <w:lang w:val="en-CA"/>
        </w:rPr>
        <w:t>Geneva Protocol</w:t>
      </w:r>
      <w:r w:rsidRPr="00793101">
        <w:rPr>
          <w:iCs/>
          <w:color w:val="auto"/>
          <w:szCs w:val="16"/>
          <w:lang w:val="en-CA"/>
        </w:rPr>
        <w:t xml:space="preserve">]. </w:t>
      </w:r>
    </w:p>
  </w:footnote>
  <w:footnote w:id="128">
    <w:p w14:paraId="03EFE799" w14:textId="19582029" w:rsidR="00356280" w:rsidRPr="00AA6144" w:rsidRDefault="00356280" w:rsidP="00AA6144">
      <w:pPr>
        <w:widowControl/>
        <w:suppressAutoHyphens w:val="0"/>
        <w:spacing w:after="0" w:line="240" w:lineRule="auto"/>
        <w:rPr>
          <w:rFonts w:ascii="Times New Roman" w:hAnsi="Times New Roman"/>
          <w:color w:val="auto"/>
          <w:szCs w:val="16"/>
          <w:lang w:val="en-CA" w:eastAsia="en-US"/>
        </w:rPr>
      </w:pPr>
      <w:r w:rsidRPr="00AA6144">
        <w:rPr>
          <w:rStyle w:val="FootnoteReference"/>
          <w:sz w:val="16"/>
          <w:szCs w:val="16"/>
        </w:rPr>
        <w:footnoteRef/>
      </w:r>
      <w:r w:rsidRPr="00AA6144">
        <w:rPr>
          <w:sz w:val="16"/>
          <w:szCs w:val="16"/>
          <w:lang w:val="en-CA"/>
        </w:rPr>
        <w:t xml:space="preserve"> </w:t>
      </w:r>
      <w:r w:rsidRPr="00AA6144">
        <w:rPr>
          <w:i/>
          <w:sz w:val="16"/>
          <w:szCs w:val="16"/>
          <w:lang w:val="en-CA"/>
        </w:rPr>
        <w:t>Rome Statue</w:t>
      </w:r>
      <w:r w:rsidRPr="00AA6144">
        <w:rPr>
          <w:sz w:val="16"/>
          <w:szCs w:val="16"/>
          <w:lang w:val="en-CA"/>
        </w:rPr>
        <w:t xml:space="preserve">, </w:t>
      </w:r>
      <w:r w:rsidRPr="00AA6144">
        <w:rPr>
          <w:i/>
          <w:sz w:val="16"/>
          <w:szCs w:val="16"/>
          <w:lang w:val="en-CA"/>
        </w:rPr>
        <w:t>supra</w:t>
      </w:r>
      <w:r w:rsidRPr="00AA6144">
        <w:rPr>
          <w:sz w:val="16"/>
          <w:szCs w:val="16"/>
          <w:lang w:val="en-CA"/>
        </w:rPr>
        <w:t xml:space="preserve"> note </w:t>
      </w:r>
      <w:proofErr w:type="gramStart"/>
      <w:r w:rsidRPr="00AA6144">
        <w:rPr>
          <w:sz w:val="16"/>
          <w:szCs w:val="16"/>
          <w:lang w:val="en-CA"/>
        </w:rPr>
        <w:t xml:space="preserve">96,  </w:t>
      </w:r>
      <w:r w:rsidRPr="00AA6144">
        <w:rPr>
          <w:color w:val="auto"/>
          <w:sz w:val="16"/>
          <w:szCs w:val="16"/>
          <w:lang w:val="en-CA"/>
        </w:rPr>
        <w:t>article</w:t>
      </w:r>
      <w:proofErr w:type="gramEnd"/>
      <w:r w:rsidRPr="00AA6144">
        <w:rPr>
          <w:color w:val="auto"/>
          <w:sz w:val="16"/>
          <w:szCs w:val="16"/>
          <w:lang w:val="en-CA"/>
        </w:rPr>
        <w:t xml:space="preserve"> </w:t>
      </w:r>
      <w:r w:rsidRPr="00AA6144">
        <w:rPr>
          <w:sz w:val="16"/>
          <w:szCs w:val="16"/>
          <w:lang w:val="en-CA"/>
        </w:rPr>
        <w:t>8(2)(b)(xviii ); Resolution ICC-ASP/16/res.4 (14 December, 2017)</w:t>
      </w:r>
      <w:r>
        <w:rPr>
          <w:sz w:val="16"/>
          <w:szCs w:val="16"/>
          <w:lang w:val="en-CA"/>
        </w:rPr>
        <w:t xml:space="preserve"> </w:t>
      </w:r>
      <w:r w:rsidRPr="00A27436">
        <w:rPr>
          <w:sz w:val="16"/>
          <w:szCs w:val="16"/>
          <w:lang w:val="en-US"/>
        </w:rPr>
        <w:t>[</w:t>
      </w:r>
      <w:r w:rsidRPr="00A27436">
        <w:rPr>
          <w:i/>
          <w:sz w:val="16"/>
          <w:szCs w:val="16"/>
          <w:lang w:val="en-US"/>
        </w:rPr>
        <w:t>Resolution, 2017</w:t>
      </w:r>
      <w:r w:rsidRPr="00A27436">
        <w:rPr>
          <w:sz w:val="16"/>
          <w:szCs w:val="16"/>
          <w:lang w:val="en-US"/>
        </w:rPr>
        <w:t>]</w:t>
      </w:r>
      <w:r w:rsidRPr="00AA6144">
        <w:rPr>
          <w:sz w:val="16"/>
          <w:szCs w:val="16"/>
        </w:rPr>
        <w:t>.</w:t>
      </w:r>
    </w:p>
  </w:footnote>
  <w:footnote w:id="129">
    <w:p w14:paraId="34390BE6" w14:textId="6298D88A" w:rsidR="00356280" w:rsidRPr="00793101" w:rsidRDefault="00356280" w:rsidP="0040644D">
      <w:pPr>
        <w:autoSpaceDE w:val="0"/>
        <w:autoSpaceDN w:val="0"/>
        <w:adjustRightInd w:val="0"/>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w:t>
      </w:r>
      <w:proofErr w:type="spellStart"/>
      <w:r w:rsidRPr="00793101">
        <w:rPr>
          <w:color w:val="auto"/>
          <w:sz w:val="16"/>
          <w:szCs w:val="16"/>
          <w:lang w:val="en-CA"/>
        </w:rPr>
        <w:t>Henckaerts</w:t>
      </w:r>
      <w:proofErr w:type="spellEnd"/>
      <w:r w:rsidRPr="00793101">
        <w:rPr>
          <w:color w:val="auto"/>
          <w:sz w:val="16"/>
          <w:szCs w:val="16"/>
          <w:lang w:val="en-CA"/>
        </w:rPr>
        <w:t xml:space="preserve"> &amp; </w:t>
      </w:r>
      <w:proofErr w:type="spellStart"/>
      <w:r w:rsidRPr="00793101">
        <w:rPr>
          <w:color w:val="auto"/>
          <w:sz w:val="16"/>
          <w:szCs w:val="16"/>
          <w:lang w:val="en-CA"/>
        </w:rPr>
        <w:t>Doswald</w:t>
      </w:r>
      <w:proofErr w:type="spellEnd"/>
      <w:r w:rsidRPr="00793101">
        <w:rPr>
          <w:color w:val="auto"/>
          <w:sz w:val="16"/>
          <w:szCs w:val="16"/>
          <w:lang w:val="en-CA"/>
        </w:rPr>
        <w:t xml:space="preserve">-Beck, </w:t>
      </w:r>
      <w:r w:rsidRPr="00793101">
        <w:rPr>
          <w:i/>
          <w:color w:val="auto"/>
          <w:sz w:val="16"/>
          <w:szCs w:val="16"/>
          <w:lang w:val="en-CA"/>
        </w:rPr>
        <w:t>supra</w:t>
      </w:r>
      <w:r w:rsidRPr="00793101">
        <w:rPr>
          <w:color w:val="auto"/>
          <w:sz w:val="16"/>
          <w:szCs w:val="16"/>
          <w:lang w:val="en-CA"/>
        </w:rPr>
        <w:t xml:space="preserve"> note </w:t>
      </w:r>
      <w:r>
        <w:fldChar w:fldCharType="begin"/>
      </w:r>
      <w:r>
        <w:instrText xml:space="preserve"> NOTEREF _Ref266970952 \h  \* MERGEFORMAT </w:instrText>
      </w:r>
      <w:r>
        <w:fldChar w:fldCharType="separate"/>
      </w:r>
      <w:r w:rsidRPr="00E045AC">
        <w:rPr>
          <w:color w:val="auto"/>
          <w:sz w:val="16"/>
          <w:szCs w:val="16"/>
          <w:lang w:val="en-CA"/>
        </w:rPr>
        <w:t>123</w:t>
      </w:r>
      <w:r>
        <w:fldChar w:fldCharType="end"/>
      </w:r>
      <w:r w:rsidRPr="00793101">
        <w:rPr>
          <w:color w:val="auto"/>
          <w:sz w:val="16"/>
          <w:szCs w:val="16"/>
          <w:lang w:val="en-CA"/>
        </w:rPr>
        <w:t>, Rule 73: “</w:t>
      </w:r>
      <w:r w:rsidRPr="00793101">
        <w:rPr>
          <w:rStyle w:val="normal1"/>
          <w:color w:val="auto"/>
          <w:sz w:val="16"/>
          <w:szCs w:val="16"/>
          <w:lang w:val="en-CA"/>
        </w:rPr>
        <w:t xml:space="preserve">Canada’s LOAC Manual (2001) provides in its chapter entitled “Restrictions on the use of weapons”: </w:t>
      </w:r>
      <w:r w:rsidRPr="00793101">
        <w:rPr>
          <w:rStyle w:val="Quote1"/>
          <w:color w:val="auto"/>
          <w:sz w:val="16"/>
          <w:szCs w:val="16"/>
          <w:lang w:val="en-CA"/>
        </w:rPr>
        <w:t xml:space="preserve">Bacteriological/biological methods of warfare are prohibited. Nations are prohibited from manufacturing, </w:t>
      </w:r>
      <w:proofErr w:type="gramStart"/>
      <w:r w:rsidRPr="00793101">
        <w:rPr>
          <w:rStyle w:val="Quote1"/>
          <w:color w:val="auto"/>
          <w:sz w:val="16"/>
          <w:szCs w:val="16"/>
          <w:lang w:val="en-CA"/>
        </w:rPr>
        <w:t>storing</w:t>
      </w:r>
      <w:proofErr w:type="gramEnd"/>
      <w:r w:rsidRPr="00793101">
        <w:rPr>
          <w:rStyle w:val="Quote1"/>
          <w:color w:val="auto"/>
          <w:sz w:val="16"/>
          <w:szCs w:val="16"/>
          <w:lang w:val="en-CA"/>
        </w:rPr>
        <w:t xml:space="preserve"> and using biological weapons. Both bacteriological and biological weapons are prohibited because they cause unnecessary suffering and may affect the civilian population in an indiscriminate fashion. </w:t>
      </w:r>
      <w:r w:rsidRPr="00793101">
        <w:rPr>
          <w:rStyle w:val="normal1"/>
          <w:color w:val="auto"/>
          <w:sz w:val="16"/>
          <w:szCs w:val="16"/>
          <w:lang w:val="en-CA"/>
        </w:rPr>
        <w:t xml:space="preserve">In its chapter on “War crimes, individual criminal liability and command responsibility”, the manual states that “using bacteriological methods of warfare” constitutes a war crime”. Also see </w:t>
      </w:r>
      <w:r w:rsidRPr="00793101">
        <w:rPr>
          <w:rStyle w:val="normal1"/>
          <w:i/>
          <w:color w:val="auto"/>
          <w:sz w:val="16"/>
          <w:szCs w:val="16"/>
          <w:lang w:val="en-CA"/>
        </w:rPr>
        <w:t>Rome Statute</w:t>
      </w:r>
      <w:r w:rsidRPr="00793101">
        <w:rPr>
          <w:rStyle w:val="normal1"/>
          <w:color w:val="auto"/>
          <w:sz w:val="16"/>
          <w:szCs w:val="16"/>
          <w:lang w:val="en-CA"/>
        </w:rPr>
        <w:t xml:space="preserve">, </w:t>
      </w:r>
      <w:r w:rsidRPr="00793101">
        <w:rPr>
          <w:rStyle w:val="normal1"/>
          <w:i/>
          <w:color w:val="auto"/>
          <w:sz w:val="16"/>
          <w:szCs w:val="16"/>
          <w:lang w:val="en-CA"/>
        </w:rPr>
        <w:t>supra</w:t>
      </w:r>
      <w:r w:rsidRPr="00793101">
        <w:rPr>
          <w:rStyle w:val="normal1"/>
          <w:color w:val="auto"/>
          <w:sz w:val="16"/>
          <w:szCs w:val="16"/>
          <w:lang w:val="en-CA"/>
        </w:rPr>
        <w:t xml:space="preserve"> note </w:t>
      </w:r>
      <w:r>
        <w:fldChar w:fldCharType="begin"/>
      </w:r>
      <w:r>
        <w:instrText xml:space="preserve"> NOTEREF _Ref266968903 \h  \* MERGEFORMAT </w:instrText>
      </w:r>
      <w:r>
        <w:fldChar w:fldCharType="separate"/>
      </w:r>
      <w:r w:rsidRPr="00E045AC">
        <w:rPr>
          <w:rStyle w:val="normal1"/>
          <w:color w:val="auto"/>
          <w:sz w:val="16"/>
          <w:szCs w:val="16"/>
          <w:lang w:val="en-CA"/>
        </w:rPr>
        <w:t>97</w:t>
      </w:r>
      <w:r>
        <w:fldChar w:fldCharType="end"/>
      </w:r>
      <w:r w:rsidRPr="00793101">
        <w:rPr>
          <w:rStyle w:val="normal1"/>
          <w:color w:val="auto"/>
          <w:sz w:val="16"/>
          <w:szCs w:val="16"/>
          <w:lang w:val="en-CA"/>
        </w:rPr>
        <w:t xml:space="preserve">, s 8(2)b), for the prohibition of </w:t>
      </w:r>
      <w:r w:rsidRPr="00793101">
        <w:rPr>
          <w:color w:val="auto"/>
          <w:sz w:val="16"/>
          <w:szCs w:val="16"/>
          <w:lang w:val="en-CA"/>
        </w:rPr>
        <w:t>employing asphyxiating, poisonous or other gases, and all analogous liquids, materials or devices</w:t>
      </w:r>
      <w:r w:rsidRPr="00793101">
        <w:rPr>
          <w:rStyle w:val="normal1"/>
          <w:color w:val="auto"/>
          <w:sz w:val="16"/>
          <w:szCs w:val="16"/>
          <w:lang w:val="en-CA"/>
        </w:rPr>
        <w:t>.</w:t>
      </w:r>
    </w:p>
  </w:footnote>
  <w:footnote w:id="130">
    <w:p w14:paraId="0B8A4CE0"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Convention for the Protection of Cultural Property in the Event of Armed Conflict</w:t>
      </w:r>
      <w:r w:rsidRPr="00793101">
        <w:rPr>
          <w:color w:val="auto"/>
          <w:szCs w:val="16"/>
          <w:lang w:val="en-CA"/>
        </w:rPr>
        <w:t xml:space="preserve">, 14 May 1954, 249 UNTS 240 (entered into force 7 August 1956). </w:t>
      </w:r>
    </w:p>
  </w:footnote>
  <w:footnote w:id="131">
    <w:p w14:paraId="53B3EA71" w14:textId="0AAAC184"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To some extent, harm to protected cultural property may also be defined as a grave breach of </w:t>
      </w:r>
      <w:r w:rsidRPr="00793101">
        <w:rPr>
          <w:i/>
          <w:color w:val="auto"/>
          <w:szCs w:val="16"/>
          <w:lang w:val="en-CA"/>
        </w:rPr>
        <w:t xml:space="preserve">Protocol I, supra </w:t>
      </w:r>
      <w:r w:rsidRPr="00793101">
        <w:rPr>
          <w:color w:val="auto"/>
          <w:szCs w:val="16"/>
          <w:lang w:val="en-CA"/>
        </w:rPr>
        <w:t xml:space="preserve">note </w:t>
      </w:r>
      <w:r>
        <w:fldChar w:fldCharType="begin"/>
      </w:r>
      <w:r>
        <w:instrText xml:space="preserve"> NOTEREF _Ref266969551 \h  \* MERGEFORMAT </w:instrText>
      </w:r>
      <w:r>
        <w:fldChar w:fldCharType="separate"/>
      </w:r>
      <w:r w:rsidRPr="00E045AC">
        <w:rPr>
          <w:color w:val="auto"/>
          <w:szCs w:val="16"/>
          <w:lang w:val="en-CA"/>
        </w:rPr>
        <w:t>93</w:t>
      </w:r>
      <w:r>
        <w:fldChar w:fldCharType="end"/>
      </w:r>
      <w:r w:rsidRPr="00793101">
        <w:rPr>
          <w:color w:val="auto"/>
          <w:szCs w:val="16"/>
          <w:lang w:val="en-CA"/>
        </w:rPr>
        <w:t xml:space="preserve">. See </w:t>
      </w:r>
      <w:proofErr w:type="spellStart"/>
      <w:r w:rsidRPr="00793101">
        <w:rPr>
          <w:color w:val="auto"/>
          <w:szCs w:val="16"/>
          <w:lang w:val="en-CA"/>
        </w:rPr>
        <w:t>Henckaerts</w:t>
      </w:r>
      <w:proofErr w:type="spellEnd"/>
      <w:r w:rsidRPr="00793101">
        <w:rPr>
          <w:color w:val="auto"/>
          <w:szCs w:val="16"/>
          <w:lang w:val="en-CA"/>
        </w:rPr>
        <w:t xml:space="preserve"> &amp; </w:t>
      </w:r>
      <w:proofErr w:type="spellStart"/>
      <w:r w:rsidRPr="00793101">
        <w:rPr>
          <w:color w:val="auto"/>
          <w:szCs w:val="16"/>
          <w:lang w:val="en-CA"/>
        </w:rPr>
        <w:t>Doswald</w:t>
      </w:r>
      <w:proofErr w:type="spellEnd"/>
      <w:r w:rsidRPr="00793101">
        <w:rPr>
          <w:color w:val="auto"/>
          <w:szCs w:val="16"/>
          <w:lang w:val="en-CA"/>
        </w:rPr>
        <w:t xml:space="preserve">-Beck, </w:t>
      </w:r>
      <w:r w:rsidRPr="00793101">
        <w:rPr>
          <w:i/>
          <w:color w:val="auto"/>
          <w:szCs w:val="16"/>
          <w:lang w:val="en-CA"/>
        </w:rPr>
        <w:t xml:space="preserve">supra </w:t>
      </w:r>
      <w:r w:rsidRPr="00793101">
        <w:rPr>
          <w:color w:val="auto"/>
          <w:szCs w:val="16"/>
          <w:lang w:val="en-CA"/>
        </w:rPr>
        <w:t>note</w:t>
      </w:r>
      <w:r>
        <w:rPr>
          <w:color w:val="auto"/>
          <w:szCs w:val="16"/>
          <w:lang w:val="en-CA"/>
        </w:rPr>
        <w:t xml:space="preserve"> </w:t>
      </w:r>
      <w:r>
        <w:fldChar w:fldCharType="begin"/>
      </w:r>
      <w:r>
        <w:instrText xml:space="preserve"> NOTEREF _Ref266970952 \h  \* MERGEFORMAT </w:instrText>
      </w:r>
      <w:r>
        <w:fldChar w:fldCharType="separate"/>
      </w:r>
      <w:r w:rsidRPr="00E045AC">
        <w:rPr>
          <w:color w:val="auto"/>
          <w:szCs w:val="16"/>
          <w:lang w:val="en-CA"/>
        </w:rPr>
        <w:t>123</w:t>
      </w:r>
      <w:r>
        <w:fldChar w:fldCharType="end"/>
      </w:r>
      <w:r w:rsidRPr="00793101">
        <w:rPr>
          <w:color w:val="auto"/>
          <w:szCs w:val="16"/>
          <w:lang w:val="en-CA"/>
        </w:rPr>
        <w:t xml:space="preserve">, Rule 38 (attacks against cultural property), at 733: “Canada’s LOAC manual defines as a grave breach of AP I: attacks against clearly-recognized historic monuments, works of art or places of worship which constitute the cultural or spiritual heritage of peoples, where there is no evidence of prior use of such objects in support of the adverse party’s military effort and where such places are not located in the immediate proximity of legitimate targets”.  Therefore, absolute universal jurisdiction is provided under the </w:t>
      </w:r>
      <w:r w:rsidRPr="00793101">
        <w:rPr>
          <w:i/>
          <w:color w:val="auto"/>
          <w:szCs w:val="16"/>
          <w:lang w:val="en-CA"/>
        </w:rPr>
        <w:t>Geneva Conventions Act</w:t>
      </w:r>
      <w:r w:rsidRPr="00793101">
        <w:rPr>
          <w:color w:val="auto"/>
          <w:szCs w:val="16"/>
          <w:lang w:val="en-CA"/>
        </w:rPr>
        <w:t xml:space="preserv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_Ref266969518 \h  \* MERGEFORMAT </w:instrText>
      </w:r>
      <w:r>
        <w:fldChar w:fldCharType="separate"/>
      </w:r>
      <w:r w:rsidRPr="00E045AC">
        <w:rPr>
          <w:color w:val="auto"/>
          <w:szCs w:val="16"/>
          <w:lang w:val="en-CA"/>
        </w:rPr>
        <w:t>96</w:t>
      </w:r>
      <w:r>
        <w:fldChar w:fldCharType="end"/>
      </w:r>
      <w:r w:rsidRPr="00793101">
        <w:rPr>
          <w:color w:val="auto"/>
          <w:szCs w:val="16"/>
          <w:lang w:val="en-CA"/>
        </w:rPr>
        <w:t>, s 3(2).</w:t>
      </w:r>
    </w:p>
  </w:footnote>
  <w:footnote w:id="132">
    <w:p w14:paraId="3835CC50"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p>
  </w:footnote>
  <w:footnote w:id="133">
    <w:p w14:paraId="02EBFC0C"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Convention on the Prohibition of the Development, Production and Stockpiling of Bacteriological (Biological) and Toxin Weapons and on their Destruction</w:t>
      </w:r>
      <w:r w:rsidRPr="00793101">
        <w:rPr>
          <w:color w:val="auto"/>
          <w:szCs w:val="16"/>
          <w:lang w:val="en-CA"/>
        </w:rPr>
        <w:t>, 10 April 1972, 1015 UNTS 163 (entered into force 26 March 1975) [</w:t>
      </w:r>
      <w:r w:rsidRPr="00793101">
        <w:rPr>
          <w:i/>
          <w:color w:val="auto"/>
          <w:szCs w:val="16"/>
          <w:lang w:val="en-CA"/>
        </w:rPr>
        <w:t>Biological Weapons Convention</w:t>
      </w:r>
      <w:r w:rsidRPr="00793101">
        <w:rPr>
          <w:color w:val="auto"/>
          <w:szCs w:val="16"/>
          <w:lang w:val="en-CA"/>
        </w:rPr>
        <w:t xml:space="preserve">]. </w:t>
      </w:r>
    </w:p>
  </w:footnote>
  <w:footnote w:id="134">
    <w:p w14:paraId="323109D0" w14:textId="5C43A020"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“Using bacteriological methods of warfare constitute a war crime” according to the Canada’s LOAC manual, see </w:t>
      </w:r>
      <w:proofErr w:type="spellStart"/>
      <w:r w:rsidRPr="00793101">
        <w:rPr>
          <w:color w:val="auto"/>
          <w:szCs w:val="16"/>
          <w:lang w:val="en-CA"/>
        </w:rPr>
        <w:t>Henckaerts</w:t>
      </w:r>
      <w:proofErr w:type="spellEnd"/>
      <w:r w:rsidRPr="00793101">
        <w:rPr>
          <w:color w:val="auto"/>
          <w:szCs w:val="16"/>
          <w:lang w:val="en-CA"/>
        </w:rPr>
        <w:t xml:space="preserve"> &amp; </w:t>
      </w:r>
      <w:proofErr w:type="spellStart"/>
      <w:r w:rsidRPr="00793101">
        <w:rPr>
          <w:color w:val="auto"/>
          <w:szCs w:val="16"/>
          <w:lang w:val="en-CA"/>
        </w:rPr>
        <w:t>Doswald</w:t>
      </w:r>
      <w:proofErr w:type="spellEnd"/>
      <w:r w:rsidRPr="00793101">
        <w:rPr>
          <w:color w:val="auto"/>
          <w:szCs w:val="16"/>
          <w:lang w:val="en-CA"/>
        </w:rPr>
        <w:t xml:space="preserve">-Beck,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_Ref266970952 \h  \* MERGEFORMAT </w:instrText>
      </w:r>
      <w:r>
        <w:fldChar w:fldCharType="separate"/>
      </w:r>
      <w:r w:rsidRPr="00E045AC">
        <w:rPr>
          <w:color w:val="auto"/>
          <w:szCs w:val="16"/>
          <w:lang w:val="en-CA"/>
        </w:rPr>
        <w:t>123</w:t>
      </w:r>
      <w:r>
        <w:fldChar w:fldCharType="end"/>
      </w:r>
      <w:r w:rsidRPr="00793101">
        <w:rPr>
          <w:color w:val="auto"/>
          <w:szCs w:val="16"/>
          <w:lang w:val="en-CA"/>
        </w:rPr>
        <w:t xml:space="preserve">, Rule 73 at 1610.  Also see internal legislation relating to the </w:t>
      </w:r>
      <w:r w:rsidRPr="00793101">
        <w:rPr>
          <w:i/>
          <w:color w:val="auto"/>
          <w:szCs w:val="16"/>
          <w:lang w:val="en-CA"/>
        </w:rPr>
        <w:t>Biological Weapons Convention,</w:t>
      </w:r>
      <w:r w:rsidRPr="00793101">
        <w:rPr>
          <w:color w:val="auto"/>
          <w:szCs w:val="16"/>
          <w:lang w:val="en-CA"/>
        </w:rPr>
        <w:t xml:space="preserve"> online: </w:t>
      </w:r>
      <w:hyperlink r:id="rId2" w:history="1">
        <w:r w:rsidRPr="00793101">
          <w:rPr>
            <w:rStyle w:val="Hyperlink"/>
            <w:color w:val="auto"/>
            <w:szCs w:val="16"/>
            <w:lang w:val="en-CA"/>
          </w:rPr>
          <w:t>http://www.international.gc.ca/arms-armes/non_nuclear-non_nucleaire/bio_legislation-bio_lois.aspx?view=d</w:t>
        </w:r>
      </w:hyperlink>
      <w:r w:rsidRPr="00793101">
        <w:rPr>
          <w:color w:val="auto"/>
          <w:szCs w:val="16"/>
          <w:lang w:val="en-CA"/>
        </w:rPr>
        <w:t xml:space="preserve">. However, none of this legislation provides Canadian courts with universal jurisdiction over the crime of </w:t>
      </w:r>
      <w:r w:rsidRPr="00793101">
        <w:rPr>
          <w:rStyle w:val="Style4Char"/>
          <w:color w:val="auto"/>
          <w:szCs w:val="16"/>
          <w:lang w:val="en-CA"/>
        </w:rPr>
        <w:t xml:space="preserve">developing, producing and stockpiling bacteriological weapons, which, as explained above, can be prosecuted as a war crime under the </w:t>
      </w:r>
      <w:r w:rsidRPr="00793101">
        <w:rPr>
          <w:rStyle w:val="Style4Char"/>
          <w:i/>
          <w:iCs/>
          <w:color w:val="auto"/>
          <w:szCs w:val="16"/>
          <w:lang w:val="en-CA"/>
        </w:rPr>
        <w:t xml:space="preserve">Crimes Against Humanity and War Crimes </w:t>
      </w:r>
      <w:r w:rsidRPr="00793101">
        <w:rPr>
          <w:rStyle w:val="Style4Char"/>
          <w:i/>
          <w:color w:val="auto"/>
          <w:szCs w:val="16"/>
          <w:lang w:val="en-CA"/>
        </w:rPr>
        <w:t xml:space="preserve">Act, supra </w:t>
      </w:r>
      <w:r w:rsidRPr="00793101">
        <w:rPr>
          <w:rStyle w:val="Style4Char"/>
          <w:color w:val="auto"/>
          <w:szCs w:val="16"/>
          <w:lang w:val="en-CA"/>
        </w:rPr>
        <w:t xml:space="preserve">note </w:t>
      </w:r>
      <w:r>
        <w:fldChar w:fldCharType="begin"/>
      </w:r>
      <w:r>
        <w:instrText xml:space="preserve"> NOTEREF _Ref266965596 \h  \* MERGEFORMAT </w:instrText>
      </w:r>
      <w:r>
        <w:fldChar w:fldCharType="separate"/>
      </w:r>
      <w:r>
        <w:t>12</w:t>
      </w:r>
      <w:r>
        <w:fldChar w:fldCharType="end"/>
      </w:r>
      <w:r w:rsidRPr="00793101">
        <w:rPr>
          <w:rStyle w:val="Style4Char"/>
          <w:color w:val="auto"/>
          <w:szCs w:val="16"/>
          <w:lang w:val="en-CA"/>
        </w:rPr>
        <w:t>.</w:t>
      </w:r>
    </w:p>
  </w:footnote>
  <w:footnote w:id="135">
    <w:p w14:paraId="1E5245E9"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Convention on the Prohibition of Military or Any Other Hostile Use of Environmental Modification Techniques</w:t>
      </w:r>
      <w:r w:rsidRPr="00793101">
        <w:rPr>
          <w:color w:val="auto"/>
          <w:szCs w:val="16"/>
          <w:lang w:val="en-CA"/>
        </w:rPr>
        <w:t>, 10 December 1976, 1108 UNTS 151 (5 October 1978) [</w:t>
      </w:r>
      <w:r w:rsidRPr="00793101">
        <w:rPr>
          <w:i/>
          <w:color w:val="auto"/>
          <w:szCs w:val="16"/>
          <w:lang w:val="en-CA"/>
        </w:rPr>
        <w:t>Environmental Modification Convention</w:t>
      </w:r>
      <w:r w:rsidRPr="00793101">
        <w:rPr>
          <w:color w:val="auto"/>
          <w:szCs w:val="16"/>
          <w:lang w:val="en-CA"/>
        </w:rPr>
        <w:t>].</w:t>
      </w:r>
    </w:p>
  </w:footnote>
  <w:footnote w:id="136">
    <w:p w14:paraId="5550C1DA" w14:textId="4FD07A49"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spellStart"/>
      <w:r w:rsidRPr="00793101">
        <w:rPr>
          <w:color w:val="auto"/>
          <w:szCs w:val="16"/>
          <w:lang w:val="en-CA"/>
        </w:rPr>
        <w:t>Henckaerts</w:t>
      </w:r>
      <w:proofErr w:type="spellEnd"/>
      <w:r w:rsidRPr="00793101">
        <w:rPr>
          <w:color w:val="auto"/>
          <w:szCs w:val="16"/>
          <w:lang w:val="en-CA"/>
        </w:rPr>
        <w:t xml:space="preserve"> &amp; </w:t>
      </w:r>
      <w:proofErr w:type="spellStart"/>
      <w:r w:rsidRPr="00793101">
        <w:rPr>
          <w:color w:val="auto"/>
          <w:szCs w:val="16"/>
          <w:lang w:val="en-CA"/>
        </w:rPr>
        <w:t>Doswald</w:t>
      </w:r>
      <w:proofErr w:type="spellEnd"/>
      <w:r w:rsidRPr="00793101">
        <w:rPr>
          <w:color w:val="auto"/>
          <w:szCs w:val="16"/>
          <w:lang w:val="en-CA"/>
        </w:rPr>
        <w:t xml:space="preserve">-Beck,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_Ref266970952 \h  \* MERGEFORMAT </w:instrText>
      </w:r>
      <w:r>
        <w:fldChar w:fldCharType="separate"/>
      </w:r>
      <w:r w:rsidRPr="00E045AC">
        <w:rPr>
          <w:color w:val="auto"/>
          <w:szCs w:val="16"/>
          <w:lang w:val="en-CA"/>
        </w:rPr>
        <w:t>123</w:t>
      </w:r>
      <w:r>
        <w:fldChar w:fldCharType="end"/>
      </w:r>
      <w:r w:rsidRPr="00793101">
        <w:rPr>
          <w:color w:val="auto"/>
          <w:szCs w:val="16"/>
          <w:lang w:val="en-CA"/>
        </w:rPr>
        <w:t>, Rule 45 (</w:t>
      </w:r>
      <w:r w:rsidRPr="00793101">
        <w:rPr>
          <w:iCs/>
          <w:color w:val="auto"/>
          <w:szCs w:val="16"/>
          <w:lang w:val="en-CA"/>
        </w:rPr>
        <w:t>Causing serious damage to the environment)</w:t>
      </w:r>
      <w:r w:rsidRPr="00793101">
        <w:rPr>
          <w:color w:val="auto"/>
          <w:szCs w:val="16"/>
          <w:lang w:val="en-CA"/>
        </w:rPr>
        <w:t>.</w:t>
      </w:r>
    </w:p>
  </w:footnote>
  <w:footnote w:id="137">
    <w:p w14:paraId="1629A99B"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Convention on Prohibitions or Restrictions on the Use of Certain Conventional Weapons which may be deemed to be Excessively Injurious or to have Indiscriminate Effects (with Protocols I, II and III),</w:t>
      </w:r>
      <w:r w:rsidRPr="00793101">
        <w:rPr>
          <w:color w:val="auto"/>
          <w:szCs w:val="16"/>
          <w:lang w:val="en-CA"/>
        </w:rPr>
        <w:t xml:space="preserve"> 10 October 1980, 1342 UNTS 137 (entered into force 2 December 1983) [</w:t>
      </w:r>
      <w:r w:rsidRPr="00793101">
        <w:rPr>
          <w:i/>
          <w:color w:val="auto"/>
          <w:szCs w:val="16"/>
          <w:lang w:val="en-CA"/>
        </w:rPr>
        <w:t>Convention on Certain Conventional Weapons</w:t>
      </w:r>
      <w:r w:rsidRPr="00793101">
        <w:rPr>
          <w:color w:val="auto"/>
          <w:szCs w:val="16"/>
          <w:lang w:val="en-CA"/>
        </w:rPr>
        <w:t xml:space="preserve">]. </w:t>
      </w:r>
    </w:p>
  </w:footnote>
  <w:footnote w:id="138">
    <w:p w14:paraId="575C57E1" w14:textId="17B8CD5C" w:rsidR="00356280" w:rsidRPr="00793101" w:rsidRDefault="00356280" w:rsidP="0040644D">
      <w:pPr>
        <w:autoSpaceDE w:val="0"/>
        <w:autoSpaceDN w:val="0"/>
        <w:adjustRightInd w:val="0"/>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w:t>
      </w:r>
      <w:r w:rsidRPr="00793101">
        <w:rPr>
          <w:i/>
          <w:color w:val="auto"/>
          <w:sz w:val="16"/>
          <w:szCs w:val="16"/>
          <w:lang w:val="en-CA"/>
        </w:rPr>
        <w:t>Crimes Against Humanity and War Crimes Act, supra</w:t>
      </w:r>
      <w:r w:rsidRPr="00793101">
        <w:rPr>
          <w:color w:val="auto"/>
          <w:sz w:val="16"/>
          <w:szCs w:val="16"/>
          <w:lang w:val="en-CA"/>
        </w:rPr>
        <w:t xml:space="preserve"> note </w:t>
      </w:r>
      <w:r w:rsidRPr="00AA6144">
        <w:rPr>
          <w:sz w:val="16"/>
          <w:szCs w:val="16"/>
        </w:rPr>
        <w:fldChar w:fldCharType="begin"/>
      </w:r>
      <w:r w:rsidRPr="00AA6144">
        <w:rPr>
          <w:sz w:val="16"/>
          <w:szCs w:val="16"/>
        </w:rPr>
        <w:instrText xml:space="preserve"> NOTEREF _Ref266965596 \h  \* MERGEFORMAT </w:instrText>
      </w:r>
      <w:r w:rsidRPr="00AA6144">
        <w:rPr>
          <w:sz w:val="16"/>
          <w:szCs w:val="16"/>
        </w:rPr>
      </w:r>
      <w:r w:rsidRPr="00AA6144">
        <w:rPr>
          <w:sz w:val="16"/>
          <w:szCs w:val="16"/>
        </w:rPr>
        <w:fldChar w:fldCharType="separate"/>
      </w:r>
      <w:r>
        <w:rPr>
          <w:sz w:val="16"/>
          <w:szCs w:val="16"/>
        </w:rPr>
        <w:t>12</w:t>
      </w:r>
      <w:r w:rsidRPr="00AA6144">
        <w:rPr>
          <w:sz w:val="16"/>
          <w:szCs w:val="16"/>
        </w:rPr>
        <w:fldChar w:fldCharType="end"/>
      </w:r>
      <w:r w:rsidRPr="007E5074">
        <w:rPr>
          <w:color w:val="auto"/>
          <w:sz w:val="16"/>
          <w:szCs w:val="16"/>
          <w:lang w:val="en-CA"/>
        </w:rPr>
        <w:t>.</w:t>
      </w:r>
    </w:p>
  </w:footnote>
  <w:footnote w:id="139">
    <w:p w14:paraId="0CA431E7" w14:textId="682C01BF"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Convention on Certain Conventional Weapons, supra</w:t>
      </w:r>
      <w:r w:rsidRPr="00793101">
        <w:rPr>
          <w:color w:val="auto"/>
          <w:szCs w:val="16"/>
          <w:lang w:val="en-CA"/>
        </w:rPr>
        <w:t xml:space="preserve"> note</w:t>
      </w:r>
      <w:r>
        <w:rPr>
          <w:color w:val="auto"/>
          <w:szCs w:val="16"/>
          <w:lang w:val="en-CA"/>
        </w:rPr>
        <w:t xml:space="preserve"> </w:t>
      </w:r>
      <w:r>
        <w:fldChar w:fldCharType="begin"/>
      </w:r>
      <w:r>
        <w:instrText xml:space="preserve"> NOTEREF _Ref266971832 \h  \* MERGEFORMAT </w:instrText>
      </w:r>
      <w:r>
        <w:fldChar w:fldCharType="separate"/>
      </w:r>
      <w:r w:rsidRPr="00E045AC">
        <w:rPr>
          <w:color w:val="auto"/>
          <w:szCs w:val="16"/>
          <w:lang w:val="en-CA"/>
        </w:rPr>
        <w:t>137</w:t>
      </w:r>
      <w:r>
        <w:fldChar w:fldCharType="end"/>
      </w:r>
      <w:r w:rsidRPr="00793101">
        <w:rPr>
          <w:color w:val="auto"/>
          <w:szCs w:val="16"/>
          <w:lang w:val="en-CA"/>
        </w:rPr>
        <w:t xml:space="preserve">. </w:t>
      </w:r>
    </w:p>
  </w:footnote>
  <w:footnote w:id="140">
    <w:p w14:paraId="242EBFC3" w14:textId="5C45B588" w:rsidR="00356280" w:rsidRPr="00AA6144" w:rsidRDefault="00356280" w:rsidP="00AA6144">
      <w:pPr>
        <w:pStyle w:val="FootnoteText"/>
        <w:spacing w:after="0" w:line="240" w:lineRule="auto"/>
        <w:rPr>
          <w:lang w:val="en-CA"/>
        </w:rPr>
      </w:pPr>
      <w:r>
        <w:rPr>
          <w:rStyle w:val="FootnoteReference"/>
        </w:rPr>
        <w:footnoteRef/>
      </w:r>
      <w:r>
        <w:t xml:space="preserve"> </w:t>
      </w:r>
      <w:r w:rsidRPr="00004FA6">
        <w:rPr>
          <w:i/>
          <w:lang w:val="en-CA"/>
        </w:rPr>
        <w:t>Rome Statue</w:t>
      </w:r>
      <w:r w:rsidRPr="00004FA6">
        <w:rPr>
          <w:lang w:val="en-CA"/>
        </w:rPr>
        <w:t xml:space="preserve">, </w:t>
      </w:r>
      <w:r w:rsidRPr="00004FA6">
        <w:rPr>
          <w:i/>
          <w:lang w:val="en-CA"/>
        </w:rPr>
        <w:t>supra</w:t>
      </w:r>
      <w:r w:rsidRPr="00004FA6">
        <w:rPr>
          <w:lang w:val="en-CA"/>
        </w:rPr>
        <w:t xml:space="preserve"> note 96, </w:t>
      </w:r>
      <w:r w:rsidRPr="00004FA6">
        <w:rPr>
          <w:color w:val="auto"/>
          <w:szCs w:val="18"/>
          <w:lang w:val="en-CA"/>
        </w:rPr>
        <w:t xml:space="preserve">article </w:t>
      </w:r>
      <w:r w:rsidRPr="00004FA6">
        <w:rPr>
          <w:lang w:val="en-CA"/>
        </w:rPr>
        <w:t>8(2)(</w:t>
      </w:r>
      <w:proofErr w:type="gramStart"/>
      <w:r w:rsidRPr="00004FA6">
        <w:rPr>
          <w:lang w:val="en-CA"/>
        </w:rPr>
        <w:t>b)(</w:t>
      </w:r>
      <w:proofErr w:type="gramEnd"/>
      <w:r w:rsidRPr="00004FA6">
        <w:rPr>
          <w:lang w:val="en-CA"/>
        </w:rPr>
        <w:t>xviii )</w:t>
      </w:r>
      <w:r>
        <w:rPr>
          <w:lang w:val="en-CA"/>
        </w:rPr>
        <w:t xml:space="preserve">; </w:t>
      </w:r>
      <w:r w:rsidRPr="00004FA6">
        <w:rPr>
          <w:i/>
          <w:szCs w:val="16"/>
          <w:lang w:val="en-US"/>
        </w:rPr>
        <w:t>Resolution, 2017</w:t>
      </w:r>
      <w:r>
        <w:rPr>
          <w:i/>
          <w:szCs w:val="16"/>
          <w:lang w:val="en-US"/>
        </w:rPr>
        <w:t>, supra</w:t>
      </w:r>
      <w:r>
        <w:rPr>
          <w:szCs w:val="16"/>
          <w:lang w:val="en-US"/>
        </w:rPr>
        <w:t xml:space="preserve"> note 127.</w:t>
      </w:r>
    </w:p>
  </w:footnote>
  <w:footnote w:id="141">
    <w:p w14:paraId="121B1242" w14:textId="77777777" w:rsidR="00356280" w:rsidRPr="00793101" w:rsidRDefault="00356280" w:rsidP="00A27436">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w:t>
      </w:r>
    </w:p>
  </w:footnote>
  <w:footnote w:id="142">
    <w:p w14:paraId="33982F51"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p>
  </w:footnote>
  <w:footnote w:id="143">
    <w:p w14:paraId="705BF8E2" w14:textId="297FC88F"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Also see </w:t>
      </w:r>
      <w:r w:rsidRPr="00793101">
        <w:rPr>
          <w:i/>
          <w:iCs/>
          <w:color w:val="auto"/>
          <w:szCs w:val="16"/>
          <w:lang w:val="en-CA"/>
        </w:rPr>
        <w:t xml:space="preserve">Criminal Code, supra </w:t>
      </w:r>
      <w:r w:rsidRPr="00793101">
        <w:rPr>
          <w:iCs/>
          <w:color w:val="auto"/>
          <w:szCs w:val="16"/>
          <w:lang w:val="en-CA"/>
        </w:rPr>
        <w:t xml:space="preserve">note </w:t>
      </w:r>
      <w:r>
        <w:fldChar w:fldCharType="begin"/>
      </w:r>
      <w:r>
        <w:instrText xml:space="preserve"> NOTEREF _Ref266965463 \h  \* MERGEFORMAT </w:instrText>
      </w:r>
      <w:r>
        <w:fldChar w:fldCharType="separate"/>
      </w:r>
      <w:r>
        <w:t>10</w:t>
      </w:r>
      <w:r>
        <w:fldChar w:fldCharType="end"/>
      </w:r>
      <w:r w:rsidRPr="00793101">
        <w:rPr>
          <w:color w:val="auto"/>
          <w:szCs w:val="16"/>
          <w:lang w:val="en-CA"/>
        </w:rPr>
        <w:t>, s 431.2(1) for internal legislation on incendiary weapons (explosive or other lethal device). SS 431.2 (2) and (3) states that “(2) Every one who delivers, places, discharges or detonates an explosive or other lethal device to, into, in or against a place of public use, a government or public facility, a public transportation system or an infrastructure facility, either with intent to cause death or serious bodily injury or with intent to cause extensive destruction of such a place, system or facility that results in or is likely to result in major economic loss, is guilty of an indictable offence and liable to imprisonment for life. (3) For greater certainty, subsection (2)</w:t>
      </w:r>
      <w:r w:rsidRPr="00793101">
        <w:rPr>
          <w:b/>
          <w:bCs/>
          <w:color w:val="auto"/>
          <w:szCs w:val="16"/>
          <w:lang w:val="en-CA"/>
        </w:rPr>
        <w:t xml:space="preserve"> </w:t>
      </w:r>
      <w:r w:rsidRPr="00793101">
        <w:rPr>
          <w:color w:val="auto"/>
          <w:szCs w:val="16"/>
          <w:u w:val="single"/>
          <w:lang w:val="en-CA"/>
        </w:rPr>
        <w:t>does not apply to an act or omission that is committed during an armed conflict and that, at the time and in the place of its commission, is in accordance with customary international law or conventional international law applicable to the conflict</w:t>
      </w:r>
      <w:r w:rsidRPr="00793101">
        <w:rPr>
          <w:color w:val="auto"/>
          <w:szCs w:val="16"/>
          <w:lang w:val="en-CA"/>
        </w:rPr>
        <w:t>,</w:t>
      </w:r>
      <w:r w:rsidRPr="00793101">
        <w:rPr>
          <w:b/>
          <w:bCs/>
          <w:color w:val="auto"/>
          <w:szCs w:val="16"/>
          <w:lang w:val="en-CA"/>
        </w:rPr>
        <w:t xml:space="preserve"> </w:t>
      </w:r>
      <w:r w:rsidRPr="00793101">
        <w:rPr>
          <w:color w:val="auto"/>
          <w:szCs w:val="16"/>
          <w:lang w:val="en-CA"/>
        </w:rPr>
        <w:t>or to activities undertaken by military forces of a state in the exercise of their official duties, to the extent that those activities are governed by other rules of international law.”  Thus, the Code excludes its application to this crime when conventional or customary international law apply in the context of an armed conflict.</w:t>
      </w:r>
    </w:p>
  </w:footnote>
  <w:footnote w:id="144">
    <w:p w14:paraId="1367FABA"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 xml:space="preserve">Convention on the Prohibition of the Development, Production, Stockpiling and Use of Chemical Weapons and on their Destruction, </w:t>
      </w:r>
      <w:r w:rsidRPr="00793101">
        <w:rPr>
          <w:iCs/>
          <w:color w:val="auto"/>
          <w:szCs w:val="16"/>
          <w:lang w:val="en-CA"/>
        </w:rPr>
        <w:t>13 January 1993, 1974 UNTS 317 (</w:t>
      </w:r>
      <w:proofErr w:type="gramStart"/>
      <w:r w:rsidRPr="00793101">
        <w:rPr>
          <w:iCs/>
          <w:color w:val="auto"/>
          <w:szCs w:val="16"/>
          <w:lang w:val="en-CA"/>
        </w:rPr>
        <w:t>entered into</w:t>
      </w:r>
      <w:proofErr w:type="gramEnd"/>
      <w:r w:rsidRPr="00793101">
        <w:rPr>
          <w:iCs/>
          <w:color w:val="auto"/>
          <w:szCs w:val="16"/>
          <w:lang w:val="en-CA"/>
        </w:rPr>
        <w:t xml:space="preserve"> force24 April 1997)</w:t>
      </w:r>
      <w:r w:rsidRPr="00793101">
        <w:rPr>
          <w:i/>
          <w:iCs/>
          <w:color w:val="auto"/>
          <w:szCs w:val="16"/>
          <w:lang w:val="en-CA"/>
        </w:rPr>
        <w:t xml:space="preserve"> </w:t>
      </w:r>
      <w:r w:rsidRPr="00793101">
        <w:rPr>
          <w:iCs/>
          <w:color w:val="auto"/>
          <w:szCs w:val="16"/>
          <w:lang w:val="en-CA"/>
        </w:rPr>
        <w:t>[</w:t>
      </w:r>
      <w:r w:rsidRPr="00793101">
        <w:rPr>
          <w:i/>
          <w:iCs/>
          <w:color w:val="auto"/>
          <w:szCs w:val="16"/>
          <w:lang w:val="en-CA"/>
        </w:rPr>
        <w:t>Chemical Weapons Convention</w:t>
      </w:r>
      <w:r w:rsidRPr="00793101">
        <w:rPr>
          <w:iCs/>
          <w:color w:val="auto"/>
          <w:szCs w:val="16"/>
          <w:lang w:val="en-CA"/>
        </w:rPr>
        <w:t>].</w:t>
      </w:r>
    </w:p>
  </w:footnote>
  <w:footnote w:id="145">
    <w:p w14:paraId="170A7888" w14:textId="77777777" w:rsidR="00356280" w:rsidRPr="00793101" w:rsidRDefault="00356280" w:rsidP="00F529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 xml:space="preserve">Additional Protocol to the Convention on Prohibitions or Restrictions on the Use of Certain Conventional Weapons which may be deemed to be Excessively Injurious or to have Indiscriminate Effects, </w:t>
      </w:r>
      <w:r w:rsidRPr="00793101">
        <w:rPr>
          <w:color w:val="auto"/>
          <w:szCs w:val="16"/>
          <w:lang w:val="en-CA"/>
        </w:rPr>
        <w:t>13 October 1995, 1380 UNTS 370 (entered into force 30 July 1998) [</w:t>
      </w:r>
      <w:r w:rsidRPr="00793101">
        <w:rPr>
          <w:i/>
          <w:color w:val="auto"/>
          <w:szCs w:val="16"/>
          <w:lang w:val="en-CA"/>
        </w:rPr>
        <w:t>Protocol IV, entitled</w:t>
      </w:r>
      <w:r w:rsidRPr="00793101">
        <w:rPr>
          <w:color w:val="auto"/>
          <w:szCs w:val="16"/>
          <w:lang w:val="en-CA"/>
        </w:rPr>
        <w:t xml:space="preserve"> </w:t>
      </w:r>
      <w:r w:rsidRPr="00793101">
        <w:rPr>
          <w:i/>
          <w:color w:val="auto"/>
          <w:szCs w:val="16"/>
          <w:lang w:val="en-CA"/>
        </w:rPr>
        <w:t>Protocol on Blinding Laser Weapons</w:t>
      </w:r>
      <w:r w:rsidRPr="00793101">
        <w:rPr>
          <w:color w:val="auto"/>
          <w:szCs w:val="16"/>
          <w:lang w:val="en-CA"/>
        </w:rPr>
        <w:t>].</w:t>
      </w:r>
    </w:p>
  </w:footnote>
  <w:footnote w:id="146">
    <w:p w14:paraId="5D9014AE" w14:textId="5363FE20" w:rsidR="00356280" w:rsidRPr="00084F57" w:rsidRDefault="00356280" w:rsidP="00AA6144">
      <w:pPr>
        <w:pStyle w:val="FootnoteText"/>
        <w:spacing w:after="0" w:line="240" w:lineRule="auto"/>
      </w:pPr>
      <w:r>
        <w:rPr>
          <w:rStyle w:val="FootnoteReference"/>
        </w:rPr>
        <w:footnoteRef/>
      </w:r>
      <w:r>
        <w:t xml:space="preserve"> </w:t>
      </w:r>
      <w:r w:rsidRPr="00004FA6">
        <w:rPr>
          <w:i/>
          <w:lang w:val="en-CA"/>
        </w:rPr>
        <w:t>Rome Statue</w:t>
      </w:r>
      <w:r w:rsidRPr="00004FA6">
        <w:rPr>
          <w:lang w:val="en-CA"/>
        </w:rPr>
        <w:t xml:space="preserve">, </w:t>
      </w:r>
      <w:r w:rsidRPr="00004FA6">
        <w:rPr>
          <w:i/>
          <w:lang w:val="en-CA"/>
        </w:rPr>
        <w:t>supra</w:t>
      </w:r>
      <w:r w:rsidRPr="00004FA6">
        <w:rPr>
          <w:lang w:val="en-CA"/>
        </w:rPr>
        <w:t xml:space="preserve"> note 96, </w:t>
      </w:r>
      <w:r w:rsidRPr="00004FA6">
        <w:rPr>
          <w:color w:val="auto"/>
          <w:szCs w:val="18"/>
          <w:lang w:val="en-CA"/>
        </w:rPr>
        <w:t xml:space="preserve">article </w:t>
      </w:r>
      <w:r w:rsidRPr="00004FA6">
        <w:rPr>
          <w:lang w:val="en-CA"/>
        </w:rPr>
        <w:t>8(2)(</w:t>
      </w:r>
      <w:proofErr w:type="gramStart"/>
      <w:r w:rsidRPr="00004FA6">
        <w:rPr>
          <w:lang w:val="en-CA"/>
        </w:rPr>
        <w:t>b)(</w:t>
      </w:r>
      <w:proofErr w:type="gramEnd"/>
      <w:r w:rsidRPr="00004FA6">
        <w:rPr>
          <w:lang w:val="en-CA"/>
        </w:rPr>
        <w:t>xviii )</w:t>
      </w:r>
      <w:r>
        <w:rPr>
          <w:lang w:val="en-CA"/>
        </w:rPr>
        <w:t xml:space="preserve">; </w:t>
      </w:r>
      <w:r w:rsidRPr="00004FA6">
        <w:rPr>
          <w:i/>
          <w:szCs w:val="16"/>
          <w:lang w:val="en-US"/>
        </w:rPr>
        <w:t>Resolution, 2017</w:t>
      </w:r>
      <w:r>
        <w:rPr>
          <w:i/>
          <w:szCs w:val="16"/>
          <w:lang w:val="en-US"/>
        </w:rPr>
        <w:t>, supra</w:t>
      </w:r>
      <w:r>
        <w:rPr>
          <w:szCs w:val="16"/>
          <w:lang w:val="en-US"/>
        </w:rPr>
        <w:t xml:space="preserve"> note 127.</w:t>
      </w:r>
    </w:p>
  </w:footnote>
  <w:footnote w:id="147">
    <w:p w14:paraId="07BEAD69" w14:textId="30953086" w:rsidR="00356280" w:rsidRPr="00793101" w:rsidRDefault="00356280" w:rsidP="00F529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Protocol on Prohibitions or Restrictions on the Use of Mines, Booby-Traps and Other Devices</w:t>
      </w:r>
      <w:r w:rsidRPr="00793101">
        <w:rPr>
          <w:color w:val="auto"/>
          <w:szCs w:val="16"/>
          <w:lang w:val="en-CA"/>
        </w:rPr>
        <w:t xml:space="preserve"> as amended on 3 May 1996, 3 May 1996, 2048 UNTS 93 (entered into force 3 December 1998) [Protocol II to the CCW Convention as amended on 3 May 1996] annexed to the </w:t>
      </w:r>
      <w:r w:rsidRPr="00793101">
        <w:rPr>
          <w:i/>
          <w:color w:val="auto"/>
          <w:szCs w:val="16"/>
          <w:lang w:val="en-CA"/>
        </w:rPr>
        <w:t xml:space="preserve">Convention on Certain Conventional Weapons, supra </w:t>
      </w:r>
      <w:r w:rsidRPr="00793101">
        <w:rPr>
          <w:color w:val="auto"/>
          <w:szCs w:val="16"/>
          <w:lang w:val="en-CA"/>
        </w:rPr>
        <w:t xml:space="preserve">note </w:t>
      </w:r>
      <w:r>
        <w:fldChar w:fldCharType="begin"/>
      </w:r>
      <w:r>
        <w:instrText xml:space="preserve"> NOTEREF _Ref266971832 \h  \* MERGEFORMAT </w:instrText>
      </w:r>
      <w:r>
        <w:fldChar w:fldCharType="separate"/>
      </w:r>
      <w:r w:rsidRPr="00E045AC">
        <w:rPr>
          <w:color w:val="auto"/>
          <w:szCs w:val="16"/>
          <w:lang w:val="en-CA"/>
        </w:rPr>
        <w:t>137</w:t>
      </w:r>
      <w:r>
        <w:fldChar w:fldCharType="end"/>
      </w:r>
      <w:r w:rsidRPr="00793101">
        <w:rPr>
          <w:color w:val="auto"/>
          <w:szCs w:val="16"/>
          <w:lang w:val="en-CA"/>
        </w:rPr>
        <w:t xml:space="preserve">. </w:t>
      </w:r>
    </w:p>
  </w:footnote>
  <w:footnote w:id="148">
    <w:p w14:paraId="390F4ADE" w14:textId="77777777"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 xml:space="preserve">Convention on the Prohibition of the Use, Stockpiling, Production and Transfer of Anti-Personnel Mines and on their Destruction, </w:t>
      </w:r>
      <w:r w:rsidRPr="00793101">
        <w:rPr>
          <w:iCs/>
          <w:color w:val="auto"/>
          <w:szCs w:val="16"/>
          <w:lang w:val="en-CA"/>
        </w:rPr>
        <w:t>18 September 1997, 2056 UNTS 241 (entered into force 1 March 1999) [</w:t>
      </w:r>
      <w:r w:rsidRPr="00793101">
        <w:rPr>
          <w:i/>
          <w:iCs/>
          <w:color w:val="auto"/>
          <w:szCs w:val="16"/>
          <w:lang w:val="en-CA"/>
        </w:rPr>
        <w:t>Anti-Personnel Mine Ban Convention</w:t>
      </w:r>
      <w:r w:rsidRPr="00793101">
        <w:rPr>
          <w:iCs/>
          <w:color w:val="auto"/>
          <w:szCs w:val="16"/>
          <w:lang w:val="en-CA"/>
        </w:rPr>
        <w:t>].</w:t>
      </w:r>
    </w:p>
  </w:footnote>
  <w:footnote w:id="149">
    <w:p w14:paraId="1AB8098E"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Second Protocol to The Hague Convention of 1954 for the Protection of Cultural Property in the Event of Armed Conflict</w:t>
      </w:r>
      <w:r w:rsidRPr="00793101">
        <w:rPr>
          <w:iCs/>
          <w:color w:val="auto"/>
          <w:szCs w:val="16"/>
          <w:lang w:val="en-CA"/>
        </w:rPr>
        <w:t>, 26 March 1999, 2253 UNTS 172 (entered into force 9 March 2004).</w:t>
      </w:r>
    </w:p>
  </w:footnote>
  <w:footnote w:id="150">
    <w:p w14:paraId="21535D70" w14:textId="77777777" w:rsidR="00356280" w:rsidRPr="00793101" w:rsidRDefault="00356280" w:rsidP="00A27436">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 xml:space="preserve">Optional Protocol to the Convention on the Rights of the Child on the Involvement of Children in armed conflict, </w:t>
      </w:r>
      <w:r w:rsidRPr="00793101">
        <w:rPr>
          <w:iCs/>
          <w:color w:val="auto"/>
          <w:szCs w:val="16"/>
          <w:lang w:val="en-CA"/>
        </w:rPr>
        <w:t>25 May 2000, A/RES/54/263 (entered into force 12 February 2002).</w:t>
      </w:r>
    </w:p>
  </w:footnote>
  <w:footnote w:id="151">
    <w:p w14:paraId="453E7942" w14:textId="5BEA972A" w:rsidR="00356280" w:rsidRPr="00AA6144" w:rsidRDefault="00356280" w:rsidP="00AA6144">
      <w:pPr>
        <w:pStyle w:val="FootnoteText"/>
        <w:spacing w:after="0" w:line="240" w:lineRule="auto"/>
        <w:rPr>
          <w:lang w:val="fr-FR"/>
        </w:rPr>
      </w:pPr>
      <w:r>
        <w:rPr>
          <w:rStyle w:val="FootnoteReference"/>
        </w:rPr>
        <w:footnoteRef/>
      </w:r>
      <w:r w:rsidRPr="00AA6144">
        <w:rPr>
          <w:lang w:val="fr-FR"/>
        </w:rPr>
        <w:t xml:space="preserve"> </w:t>
      </w:r>
      <w:r w:rsidRPr="00AA6144">
        <w:rPr>
          <w:i/>
          <w:lang w:val="fr-FR"/>
        </w:rPr>
        <w:t>Rome Statue</w:t>
      </w:r>
      <w:r w:rsidRPr="00AA6144">
        <w:rPr>
          <w:lang w:val="fr-FR"/>
        </w:rPr>
        <w:t xml:space="preserve">, </w:t>
      </w:r>
      <w:r w:rsidRPr="00AA6144">
        <w:rPr>
          <w:i/>
          <w:lang w:val="fr-FR"/>
        </w:rPr>
        <w:t>supra</w:t>
      </w:r>
      <w:r w:rsidRPr="00AA6144">
        <w:rPr>
          <w:lang w:val="fr-FR"/>
        </w:rPr>
        <w:t xml:space="preserve"> note 96, </w:t>
      </w:r>
      <w:r w:rsidRPr="00AA6144">
        <w:rPr>
          <w:color w:val="auto"/>
          <w:szCs w:val="18"/>
          <w:lang w:val="fr-FR"/>
        </w:rPr>
        <w:t xml:space="preserve">article </w:t>
      </w:r>
      <w:r w:rsidRPr="00AA6144">
        <w:rPr>
          <w:lang w:val="fr-FR"/>
        </w:rPr>
        <w:t>8(2)(</w:t>
      </w:r>
      <w:proofErr w:type="gramStart"/>
      <w:r w:rsidRPr="00AA6144">
        <w:rPr>
          <w:lang w:val="fr-FR"/>
        </w:rPr>
        <w:t>b)(</w:t>
      </w:r>
      <w:proofErr w:type="spellStart"/>
      <w:proofErr w:type="gramEnd"/>
      <w:r w:rsidRPr="00AA6144">
        <w:rPr>
          <w:lang w:val="fr-FR"/>
        </w:rPr>
        <w:t>xvxvi</w:t>
      </w:r>
      <w:proofErr w:type="spellEnd"/>
      <w:r w:rsidRPr="00AA6144">
        <w:rPr>
          <w:lang w:val="fr-FR"/>
        </w:rPr>
        <w:t>).</w:t>
      </w:r>
    </w:p>
  </w:footnote>
  <w:footnote w:id="152">
    <w:p w14:paraId="163444CB" w14:textId="77777777" w:rsidR="00356280" w:rsidRPr="00793101" w:rsidRDefault="00356280" w:rsidP="00A27436">
      <w:pPr>
        <w:pStyle w:val="FootnoteText"/>
        <w:spacing w:after="0" w:line="240" w:lineRule="auto"/>
        <w:jc w:val="both"/>
        <w:rPr>
          <w:rStyle w:val="FootnoteReference"/>
          <w:szCs w:val="16"/>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Amendment to the Convention on Prohibitions or Restrictions on the Use of Certain Conventional Weapons which may be deemed to be Excessively Injurious or to have Indiscriminate Effects</w:t>
      </w:r>
      <w:r w:rsidRPr="00793101">
        <w:rPr>
          <w:color w:val="auto"/>
          <w:szCs w:val="16"/>
          <w:lang w:val="en-CA"/>
        </w:rPr>
        <w:t>, 21 December 2001, 2260 UNTS 89 (entered into force 18 May 2004) [</w:t>
      </w:r>
      <w:r w:rsidRPr="00793101">
        <w:rPr>
          <w:i/>
          <w:color w:val="auto"/>
          <w:szCs w:val="16"/>
          <w:lang w:val="en-CA"/>
        </w:rPr>
        <w:t>Amendment to the Convention on Certain Conventional Weapons</w:t>
      </w:r>
      <w:r w:rsidRPr="00793101">
        <w:rPr>
          <w:color w:val="auto"/>
          <w:szCs w:val="16"/>
          <w:lang w:val="en-CA"/>
        </w:rPr>
        <w:t>].</w:t>
      </w:r>
    </w:p>
  </w:footnote>
  <w:footnote w:id="153">
    <w:p w14:paraId="6E3FCE93" w14:textId="6F4F1068"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The Amendment to Article 1 of the </w:t>
      </w:r>
      <w:r w:rsidRPr="00793101">
        <w:rPr>
          <w:i/>
          <w:iCs/>
          <w:color w:val="auto"/>
          <w:szCs w:val="16"/>
          <w:lang w:val="en-CA"/>
        </w:rPr>
        <w:t>Convention on Prohibitions or Restrictions on the Use of Certain Conventional Weapons</w:t>
      </w:r>
      <w:r w:rsidRPr="00793101">
        <w:rPr>
          <w:iCs/>
          <w:color w:val="auto"/>
          <w:szCs w:val="16"/>
          <w:lang w:val="en-CA"/>
        </w:rPr>
        <w:t>,</w:t>
      </w:r>
      <w:r w:rsidRPr="00793101">
        <w:rPr>
          <w:i/>
          <w:iCs/>
          <w:color w:val="auto"/>
          <w:szCs w:val="16"/>
          <w:lang w:val="en-CA"/>
        </w:rPr>
        <w:t xml:space="preserve"> supra </w:t>
      </w:r>
      <w:r w:rsidRPr="00793101">
        <w:rPr>
          <w:iCs/>
          <w:color w:val="auto"/>
          <w:szCs w:val="16"/>
          <w:lang w:val="en-CA"/>
        </w:rPr>
        <w:t xml:space="preserve">note </w:t>
      </w:r>
      <w:r>
        <w:fldChar w:fldCharType="begin"/>
      </w:r>
      <w:r>
        <w:instrText xml:space="preserve"> NOTEREF _Ref266971955 \h  \* MERGEFORMAT </w:instrText>
      </w:r>
      <w:r>
        <w:fldChar w:fldCharType="separate"/>
      </w:r>
      <w:r w:rsidRPr="00E045AC">
        <w:rPr>
          <w:iCs/>
          <w:color w:val="auto"/>
          <w:szCs w:val="16"/>
          <w:lang w:val="en-CA"/>
        </w:rPr>
        <w:t>153</w:t>
      </w:r>
      <w:r>
        <w:fldChar w:fldCharType="end"/>
      </w:r>
      <w:r w:rsidRPr="00793101">
        <w:rPr>
          <w:iCs/>
          <w:color w:val="auto"/>
          <w:szCs w:val="16"/>
          <w:lang w:val="en-CA"/>
        </w:rPr>
        <w:t xml:space="preserve"> </w:t>
      </w:r>
      <w:r w:rsidRPr="00793101">
        <w:rPr>
          <w:color w:val="auto"/>
          <w:szCs w:val="16"/>
          <w:lang w:val="en-CA"/>
        </w:rPr>
        <w:t>expands the application of the prohibition to non-international armed conflicts.</w:t>
      </w:r>
    </w:p>
  </w:footnote>
  <w:footnote w:id="154">
    <w:p w14:paraId="20E4CB66" w14:textId="77777777"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Protocol on Explosive Remnants of War to the Convention on Prohibitions or Restrictions on the Use of Certain Conventional Weapons which may be deemed to be Excessively Injurious or to have Indiscriminate Effects</w:t>
      </w:r>
      <w:r w:rsidRPr="00793101">
        <w:rPr>
          <w:iCs/>
          <w:color w:val="auto"/>
          <w:szCs w:val="16"/>
          <w:lang w:val="en-CA"/>
        </w:rPr>
        <w:t xml:space="preserve">, 28 November 2003, 2399 UNTS 100 (entered into force 12 November 2006) </w:t>
      </w:r>
      <w:r w:rsidRPr="00793101">
        <w:rPr>
          <w:color w:val="auto"/>
          <w:szCs w:val="16"/>
          <w:lang w:val="en-CA"/>
        </w:rPr>
        <w:t>[</w:t>
      </w:r>
      <w:r w:rsidRPr="00793101">
        <w:rPr>
          <w:i/>
          <w:color w:val="auto"/>
          <w:szCs w:val="16"/>
          <w:lang w:val="en-CA"/>
        </w:rPr>
        <w:t>Protocol V</w:t>
      </w:r>
      <w:r w:rsidRPr="00793101">
        <w:rPr>
          <w:color w:val="auto"/>
          <w:szCs w:val="16"/>
          <w:lang w:val="en-CA"/>
        </w:rPr>
        <w:t>].</w:t>
      </w:r>
    </w:p>
  </w:footnote>
  <w:footnote w:id="155">
    <w:p w14:paraId="045BD469"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Convention on Cluster Munitions</w:t>
      </w:r>
      <w:r w:rsidRPr="00793101">
        <w:rPr>
          <w:color w:val="auto"/>
          <w:szCs w:val="16"/>
          <w:lang w:val="en-CA"/>
        </w:rPr>
        <w:t>, 30 May 2008, UNTS No 47713 (entered into force 1 August 2010).</w:t>
      </w:r>
    </w:p>
  </w:footnote>
  <w:footnote w:id="156">
    <w:p w14:paraId="7D6B1C7C" w14:textId="602CDB92" w:rsidR="00356280" w:rsidRPr="00AA6144" w:rsidRDefault="00356280" w:rsidP="000D6C42">
      <w:pPr>
        <w:spacing w:after="0" w:line="240" w:lineRule="auto"/>
        <w:ind w:left="357" w:hanging="357"/>
        <w:rPr>
          <w:rFonts w:ascii="Times New Roman" w:hAnsi="Times New Roman"/>
          <w:color w:val="auto"/>
          <w:sz w:val="24"/>
          <w:lang w:val="en-CA" w:eastAsia="en-US"/>
        </w:rPr>
      </w:pPr>
      <w:r w:rsidRPr="000D6C42">
        <w:rPr>
          <w:color w:val="000000" w:themeColor="text1"/>
          <w:sz w:val="16"/>
          <w:szCs w:val="16"/>
          <w:vertAlign w:val="superscript"/>
          <w:lang w:val="en-CA"/>
        </w:rPr>
        <w:footnoteRef/>
      </w:r>
      <w:r w:rsidRPr="000D6C42">
        <w:rPr>
          <w:color w:val="000000" w:themeColor="text1"/>
          <w:sz w:val="16"/>
          <w:szCs w:val="16"/>
          <w:vertAlign w:val="superscript"/>
          <w:lang w:val="en-CA"/>
        </w:rPr>
        <w:t xml:space="preserve"> </w:t>
      </w:r>
      <w:r w:rsidRPr="000D6C42">
        <w:rPr>
          <w:i/>
          <w:iCs/>
          <w:color w:val="000000" w:themeColor="text1"/>
          <w:sz w:val="16"/>
          <w:szCs w:val="16"/>
          <w:lang w:val="en-CA"/>
        </w:rPr>
        <w:t>An Act to implement the Convention on Cluster Munitions</w:t>
      </w:r>
      <w:r w:rsidRPr="000D6C42">
        <w:rPr>
          <w:color w:val="000000" w:themeColor="text1"/>
          <w:sz w:val="16"/>
          <w:szCs w:val="16"/>
          <w:lang w:val="en-CA"/>
        </w:rPr>
        <w:t>, SC 2014, c27.</w:t>
      </w:r>
    </w:p>
  </w:footnote>
  <w:footnote w:id="157">
    <w:p w14:paraId="51F07724" w14:textId="17F75507" w:rsidR="00356280" w:rsidRPr="00AA6144" w:rsidRDefault="00356280" w:rsidP="00AA6144">
      <w:pPr>
        <w:spacing w:after="0" w:line="240" w:lineRule="auto"/>
        <w:ind w:left="357" w:hanging="357"/>
        <w:rPr>
          <w:color w:val="auto"/>
          <w:szCs w:val="16"/>
          <w:lang w:val="en-US"/>
        </w:rPr>
      </w:pPr>
      <w:r w:rsidRPr="004D2550">
        <w:rPr>
          <w:rStyle w:val="FootnoteReference"/>
          <w:color w:val="auto"/>
          <w:sz w:val="16"/>
          <w:szCs w:val="16"/>
          <w:lang w:val="en-CA"/>
        </w:rPr>
        <w:footnoteRef/>
      </w:r>
      <w:r w:rsidRPr="004D2550">
        <w:rPr>
          <w:color w:val="auto"/>
          <w:sz w:val="16"/>
          <w:szCs w:val="16"/>
          <w:lang w:val="en-CA"/>
        </w:rPr>
        <w:t xml:space="preserve"> </w:t>
      </w:r>
      <w:r w:rsidRPr="00AA6144">
        <w:rPr>
          <w:color w:val="auto"/>
          <w:sz w:val="16"/>
          <w:szCs w:val="16"/>
          <w:lang w:val="en-US"/>
        </w:rPr>
        <w:t xml:space="preserve">Currie, Robert J. </w:t>
      </w:r>
      <w:r w:rsidRPr="00AA6144">
        <w:rPr>
          <w:i/>
          <w:color w:val="auto"/>
          <w:sz w:val="16"/>
          <w:szCs w:val="16"/>
          <w:lang w:val="en-US"/>
        </w:rPr>
        <w:t>International and Transnational Criminal Law</w:t>
      </w:r>
      <w:r w:rsidRPr="00AA6144">
        <w:rPr>
          <w:color w:val="auto"/>
          <w:sz w:val="16"/>
          <w:szCs w:val="16"/>
          <w:lang w:val="en-US"/>
        </w:rPr>
        <w:t xml:space="preserve"> (</w:t>
      </w:r>
      <w:r w:rsidRPr="00AA6144">
        <w:rPr>
          <w:color w:val="auto"/>
          <w:sz w:val="16"/>
          <w:szCs w:val="16"/>
          <w:lang w:val="en-CA"/>
        </w:rPr>
        <w:t xml:space="preserve">Toronto: Essentials of Canadian law, 2010) </w:t>
      </w:r>
      <w:r w:rsidRPr="004D2550">
        <w:rPr>
          <w:color w:val="auto"/>
          <w:sz w:val="16"/>
          <w:szCs w:val="16"/>
          <w:lang w:val="en-CA"/>
        </w:rPr>
        <w:t xml:space="preserve">at 240. </w:t>
      </w:r>
    </w:p>
  </w:footnote>
  <w:footnote w:id="158">
    <w:p w14:paraId="1117865C" w14:textId="621E39C3"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spellStart"/>
      <w:r w:rsidRPr="00793101">
        <w:rPr>
          <w:color w:val="auto"/>
          <w:szCs w:val="16"/>
          <w:lang w:val="en-CA"/>
        </w:rPr>
        <w:t>Henckaerts</w:t>
      </w:r>
      <w:proofErr w:type="spellEnd"/>
      <w:r w:rsidRPr="00793101">
        <w:rPr>
          <w:color w:val="auto"/>
          <w:szCs w:val="16"/>
          <w:lang w:val="en-CA"/>
        </w:rPr>
        <w:t xml:space="preserve"> &amp; </w:t>
      </w:r>
      <w:proofErr w:type="spellStart"/>
      <w:r w:rsidRPr="00793101">
        <w:rPr>
          <w:color w:val="auto"/>
          <w:szCs w:val="16"/>
          <w:lang w:val="en-CA"/>
        </w:rPr>
        <w:t>Doswald</w:t>
      </w:r>
      <w:proofErr w:type="spellEnd"/>
      <w:r w:rsidRPr="00793101">
        <w:rPr>
          <w:color w:val="auto"/>
          <w:szCs w:val="16"/>
          <w:lang w:val="en-CA"/>
        </w:rPr>
        <w:t xml:space="preserve">-Beck,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_Ref266970952 \h  \* MERGEFORMAT </w:instrText>
      </w:r>
      <w:r>
        <w:fldChar w:fldCharType="separate"/>
      </w:r>
      <w:r w:rsidRPr="00E045AC">
        <w:rPr>
          <w:color w:val="auto"/>
          <w:szCs w:val="16"/>
          <w:lang w:val="en-CA"/>
        </w:rPr>
        <w:t>123</w:t>
      </w:r>
      <w:r>
        <w:fldChar w:fldCharType="end"/>
      </w:r>
      <w:r w:rsidRPr="00793101">
        <w:rPr>
          <w:color w:val="auto"/>
          <w:szCs w:val="16"/>
          <w:lang w:val="en-CA"/>
        </w:rPr>
        <w:t>, Rule 94 (Slavery and the slave trade in all their forms are prohibited), and Rule 156 (Serious violations of international humanitarian law constitute war crimes).</w:t>
      </w:r>
    </w:p>
  </w:footnote>
  <w:footnote w:id="159">
    <w:p w14:paraId="4E8A2893"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Rule 95 (Uncompensated or abusive forced labour is prohibited), and Rule 156 (Serious violations of international humanitarian law constitute war crimes).</w:t>
      </w:r>
    </w:p>
  </w:footnote>
  <w:footnote w:id="160">
    <w:p w14:paraId="25436F3D"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Rule 103 (Collective punishments are prohibited), and Rule 156 (Serious violations of international humanitarian law constitute war crimes).</w:t>
      </w:r>
    </w:p>
  </w:footnote>
  <w:footnote w:id="161">
    <w:p w14:paraId="270F36DA"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Rule 156 (Serious violations of international humanitarian law constitute war crimes).</w:t>
      </w:r>
    </w:p>
  </w:footnote>
  <w:footnote w:id="162">
    <w:p w14:paraId="0DB80BCF" w14:textId="77777777" w:rsidR="00356280" w:rsidRPr="00793101" w:rsidRDefault="00356280" w:rsidP="00A27436">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Rule 67 (</w:t>
      </w:r>
      <w:proofErr w:type="spellStart"/>
      <w:r w:rsidRPr="00793101">
        <w:rPr>
          <w:i/>
          <w:color w:val="auto"/>
          <w:szCs w:val="16"/>
          <w:lang w:val="en-CA"/>
        </w:rPr>
        <w:t>Parlementaires</w:t>
      </w:r>
      <w:proofErr w:type="spellEnd"/>
      <w:r w:rsidRPr="00793101">
        <w:rPr>
          <w:color w:val="auto"/>
          <w:szCs w:val="16"/>
          <w:lang w:val="en-CA"/>
        </w:rPr>
        <w:t xml:space="preserve"> are inviolable), and Rule 156 (Serious violations of international humanitarian law constitute war crimes).</w:t>
      </w:r>
    </w:p>
  </w:footnote>
  <w:footnote w:id="163">
    <w:p w14:paraId="2D736435" w14:textId="7261C276" w:rsidR="00356280" w:rsidRPr="00AA6144" w:rsidRDefault="00356280" w:rsidP="00AA6144">
      <w:pPr>
        <w:pStyle w:val="FootnoteText"/>
        <w:spacing w:after="0" w:line="240" w:lineRule="auto"/>
        <w:rPr>
          <w:lang w:val="fr-FR"/>
        </w:rPr>
      </w:pPr>
      <w:r>
        <w:rPr>
          <w:rStyle w:val="FootnoteReference"/>
        </w:rPr>
        <w:footnoteRef/>
      </w:r>
      <w:r w:rsidRPr="00AA6144">
        <w:rPr>
          <w:lang w:val="fr-FR"/>
        </w:rPr>
        <w:t xml:space="preserve"> </w:t>
      </w:r>
      <w:r w:rsidRPr="00AA6144">
        <w:rPr>
          <w:i/>
          <w:lang w:val="fr-FR"/>
        </w:rPr>
        <w:t>Rome Statue</w:t>
      </w:r>
      <w:r w:rsidRPr="00AA6144">
        <w:rPr>
          <w:lang w:val="fr-FR"/>
        </w:rPr>
        <w:t xml:space="preserve">, </w:t>
      </w:r>
      <w:r w:rsidRPr="00AA6144">
        <w:rPr>
          <w:i/>
          <w:lang w:val="fr-FR"/>
        </w:rPr>
        <w:t>supra</w:t>
      </w:r>
      <w:r w:rsidRPr="00AA6144">
        <w:rPr>
          <w:lang w:val="fr-FR"/>
        </w:rPr>
        <w:t xml:space="preserve"> note 96, </w:t>
      </w:r>
      <w:r w:rsidRPr="00AA6144">
        <w:rPr>
          <w:color w:val="auto"/>
          <w:szCs w:val="18"/>
          <w:lang w:val="fr-FR"/>
        </w:rPr>
        <w:t xml:space="preserve">article </w:t>
      </w:r>
      <w:r w:rsidRPr="00AA6144">
        <w:rPr>
          <w:lang w:val="fr-FR"/>
        </w:rPr>
        <w:t>8(2)(b)(vii).</w:t>
      </w:r>
    </w:p>
  </w:footnote>
  <w:footnote w:id="164">
    <w:p w14:paraId="68A9CA08" w14:textId="77777777" w:rsidR="00356280" w:rsidRPr="00793101" w:rsidRDefault="00356280" w:rsidP="00A27436">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11 (Indiscriminate attacks are prohibited), and Rule 156 (Serious violations of international humanitarian law constitute war crimes).</w:t>
      </w:r>
    </w:p>
  </w:footnote>
  <w:footnote w:id="165">
    <w:p w14:paraId="15B68FF4" w14:textId="5D00DF0A" w:rsidR="00356280" w:rsidRPr="00444BF4" w:rsidRDefault="00356280" w:rsidP="00AA6144">
      <w:pPr>
        <w:pStyle w:val="FootnoteText"/>
        <w:spacing w:after="0" w:line="240" w:lineRule="auto"/>
      </w:pPr>
      <w:r>
        <w:rPr>
          <w:rStyle w:val="FootnoteReference"/>
        </w:rPr>
        <w:footnoteRef/>
      </w:r>
      <w:r>
        <w:t xml:space="preserve"> </w:t>
      </w:r>
      <w:r w:rsidRPr="00004FA6">
        <w:rPr>
          <w:i/>
          <w:lang w:val="en-CA"/>
        </w:rPr>
        <w:t>Rome Statue</w:t>
      </w:r>
      <w:r w:rsidRPr="00004FA6">
        <w:rPr>
          <w:lang w:val="en-CA"/>
        </w:rPr>
        <w:t xml:space="preserve">, </w:t>
      </w:r>
      <w:r w:rsidRPr="00004FA6">
        <w:rPr>
          <w:i/>
          <w:lang w:val="en-CA"/>
        </w:rPr>
        <w:t>supra</w:t>
      </w:r>
      <w:r w:rsidRPr="00004FA6">
        <w:rPr>
          <w:lang w:val="en-CA"/>
        </w:rPr>
        <w:t xml:space="preserve"> note </w:t>
      </w:r>
      <w:proofErr w:type="gramStart"/>
      <w:r w:rsidRPr="00004FA6">
        <w:rPr>
          <w:lang w:val="en-CA"/>
        </w:rPr>
        <w:t xml:space="preserve">96,  </w:t>
      </w:r>
      <w:r w:rsidRPr="00004FA6">
        <w:rPr>
          <w:color w:val="auto"/>
          <w:szCs w:val="18"/>
          <w:lang w:val="en-CA"/>
        </w:rPr>
        <w:t>article</w:t>
      </w:r>
      <w:proofErr w:type="gramEnd"/>
      <w:r w:rsidRPr="00004FA6">
        <w:rPr>
          <w:color w:val="auto"/>
          <w:szCs w:val="18"/>
          <w:lang w:val="en-CA"/>
        </w:rPr>
        <w:t xml:space="preserve"> </w:t>
      </w:r>
      <w:r w:rsidRPr="00004FA6">
        <w:rPr>
          <w:lang w:val="en-CA"/>
        </w:rPr>
        <w:t>8(2)(b)(</w:t>
      </w:r>
      <w:proofErr w:type="spellStart"/>
      <w:r>
        <w:rPr>
          <w:lang w:val="en-CA"/>
        </w:rPr>
        <w:t>i</w:t>
      </w:r>
      <w:proofErr w:type="spellEnd"/>
      <w:r>
        <w:rPr>
          <w:lang w:val="en-CA"/>
        </w:rPr>
        <w:t>) and (ii).</w:t>
      </w:r>
    </w:p>
  </w:footnote>
  <w:footnote w:id="166">
    <w:p w14:paraId="54B879D5" w14:textId="77777777" w:rsidR="00356280" w:rsidRPr="00793101" w:rsidRDefault="00356280" w:rsidP="00A27436">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73 (The use of biological weapons is prohibited).</w:t>
      </w:r>
    </w:p>
  </w:footnote>
  <w:footnote w:id="167">
    <w:p w14:paraId="689B6C73" w14:textId="48E2F198" w:rsidR="00356280" w:rsidRPr="00AA6144" w:rsidRDefault="00356280" w:rsidP="008A0F11">
      <w:pPr>
        <w:pStyle w:val="FootnoteText"/>
        <w:spacing w:after="0" w:line="240" w:lineRule="auto"/>
        <w:rPr>
          <w:lang w:val="fr-FR"/>
        </w:rPr>
      </w:pPr>
      <w:r>
        <w:rPr>
          <w:rStyle w:val="FootnoteReference"/>
        </w:rPr>
        <w:footnoteRef/>
      </w:r>
      <w:r w:rsidRPr="00AA6144">
        <w:rPr>
          <w:lang w:val="fr-FR"/>
        </w:rPr>
        <w:t xml:space="preserve"> </w:t>
      </w:r>
      <w:r w:rsidRPr="00AA6144">
        <w:rPr>
          <w:i/>
          <w:lang w:val="fr-FR"/>
        </w:rPr>
        <w:t>Rome Statue</w:t>
      </w:r>
      <w:r w:rsidRPr="00AA6144">
        <w:rPr>
          <w:lang w:val="fr-FR"/>
        </w:rPr>
        <w:t xml:space="preserve">, </w:t>
      </w:r>
      <w:r w:rsidRPr="00AA6144">
        <w:rPr>
          <w:i/>
          <w:lang w:val="fr-FR"/>
        </w:rPr>
        <w:t>supra</w:t>
      </w:r>
      <w:r w:rsidRPr="00AA6144">
        <w:rPr>
          <w:lang w:val="fr-FR"/>
        </w:rPr>
        <w:t xml:space="preserve"> note 96, </w:t>
      </w:r>
      <w:r w:rsidRPr="00AA6144">
        <w:rPr>
          <w:color w:val="auto"/>
          <w:szCs w:val="18"/>
          <w:lang w:val="fr-FR"/>
        </w:rPr>
        <w:t xml:space="preserve">article </w:t>
      </w:r>
      <w:r w:rsidRPr="00AA6144">
        <w:rPr>
          <w:lang w:val="fr-FR"/>
        </w:rPr>
        <w:t>8(2)(b)(xvii)</w:t>
      </w:r>
      <w:r>
        <w:rPr>
          <w:lang w:val="fr-FR"/>
        </w:rPr>
        <w:t>.</w:t>
      </w:r>
    </w:p>
  </w:footnote>
  <w:footnote w:id="168">
    <w:p w14:paraId="4426D3EB" w14:textId="77777777" w:rsidR="00356280" w:rsidRPr="00793101" w:rsidRDefault="00356280" w:rsidP="00F529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74 (The use of chemical weapons is prohibited).</w:t>
      </w:r>
    </w:p>
  </w:footnote>
  <w:footnote w:id="169">
    <w:p w14:paraId="0F5B1A7E" w14:textId="3DCB1DEE" w:rsidR="00356280" w:rsidRPr="00E47A9C" w:rsidRDefault="00356280" w:rsidP="008A0F11">
      <w:pPr>
        <w:pStyle w:val="FootnoteText"/>
        <w:spacing w:after="0" w:line="240" w:lineRule="auto"/>
        <w:rPr>
          <w:lang w:val="en-CA"/>
        </w:rPr>
      </w:pPr>
      <w:r w:rsidRPr="000C2340">
        <w:rPr>
          <w:rStyle w:val="FootnoteReference"/>
        </w:rPr>
        <w:footnoteRef/>
      </w:r>
      <w:r w:rsidRPr="00E47A9C">
        <w:rPr>
          <w:lang w:val="en-CA"/>
        </w:rPr>
        <w:t xml:space="preserve"> </w:t>
      </w:r>
      <w:r w:rsidRPr="00E47A9C">
        <w:rPr>
          <w:i/>
          <w:lang w:val="en-CA"/>
        </w:rPr>
        <w:t>Ibid</w:t>
      </w:r>
      <w:r w:rsidRPr="00E47A9C">
        <w:rPr>
          <w:lang w:val="en-CA"/>
        </w:rPr>
        <w:t xml:space="preserve">, </w:t>
      </w:r>
      <w:r w:rsidRPr="00E47A9C">
        <w:rPr>
          <w:color w:val="auto"/>
          <w:szCs w:val="18"/>
          <w:lang w:val="en-CA"/>
        </w:rPr>
        <w:t xml:space="preserve">article </w:t>
      </w:r>
      <w:r w:rsidRPr="00E47A9C">
        <w:rPr>
          <w:lang w:val="en-CA"/>
        </w:rPr>
        <w:t xml:space="preserve">8(2)(b)(xvii). </w:t>
      </w:r>
    </w:p>
  </w:footnote>
  <w:footnote w:id="170">
    <w:p w14:paraId="209CBBA9" w14:textId="77777777" w:rsidR="00356280" w:rsidRPr="00793101" w:rsidRDefault="00356280" w:rsidP="00A968FF">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79 (The use of weapons the primary effect of which is to injure by fragments which are not detectable by X-rays in the human body is prohibited).</w:t>
      </w:r>
    </w:p>
  </w:footnote>
  <w:footnote w:id="171">
    <w:p w14:paraId="46476379" w14:textId="60A5DC84" w:rsidR="00356280" w:rsidRPr="00A0775A" w:rsidRDefault="00356280" w:rsidP="00AA6144">
      <w:pPr>
        <w:pStyle w:val="FootnoteText"/>
        <w:spacing w:after="0" w:line="240" w:lineRule="auto"/>
      </w:pPr>
      <w:r>
        <w:rPr>
          <w:rStyle w:val="FootnoteReference"/>
        </w:rPr>
        <w:footnoteRef/>
      </w:r>
      <w:r>
        <w:t xml:space="preserve"> </w:t>
      </w:r>
      <w:r w:rsidRPr="00004FA6">
        <w:rPr>
          <w:i/>
          <w:lang w:val="en-CA"/>
        </w:rPr>
        <w:t>Rome Statue</w:t>
      </w:r>
      <w:r w:rsidRPr="00004FA6">
        <w:rPr>
          <w:lang w:val="en-CA"/>
        </w:rPr>
        <w:t xml:space="preserve">, </w:t>
      </w:r>
      <w:r w:rsidRPr="00004FA6">
        <w:rPr>
          <w:i/>
          <w:lang w:val="en-CA"/>
        </w:rPr>
        <w:t>supra</w:t>
      </w:r>
      <w:r w:rsidRPr="00004FA6">
        <w:rPr>
          <w:lang w:val="en-CA"/>
        </w:rPr>
        <w:t xml:space="preserve"> note 96, </w:t>
      </w:r>
      <w:r w:rsidRPr="00004FA6">
        <w:rPr>
          <w:color w:val="auto"/>
          <w:szCs w:val="18"/>
          <w:lang w:val="en-CA"/>
        </w:rPr>
        <w:t xml:space="preserve">article </w:t>
      </w:r>
      <w:r w:rsidRPr="00004FA6">
        <w:rPr>
          <w:lang w:val="en-CA"/>
        </w:rPr>
        <w:t>8(2)(b)(xviii)</w:t>
      </w:r>
      <w:r>
        <w:rPr>
          <w:lang w:val="en-CA"/>
        </w:rPr>
        <w:t xml:space="preserve">; </w:t>
      </w:r>
      <w:r w:rsidRPr="00004FA6">
        <w:rPr>
          <w:i/>
          <w:szCs w:val="16"/>
          <w:lang w:val="en-US"/>
        </w:rPr>
        <w:t>Resolution, 2017</w:t>
      </w:r>
      <w:r>
        <w:rPr>
          <w:i/>
          <w:szCs w:val="16"/>
          <w:lang w:val="en-US"/>
        </w:rPr>
        <w:t>, supra</w:t>
      </w:r>
      <w:r>
        <w:rPr>
          <w:szCs w:val="16"/>
          <w:lang w:val="en-US"/>
        </w:rPr>
        <w:t xml:space="preserve"> note 127.</w:t>
      </w:r>
    </w:p>
  </w:footnote>
  <w:footnote w:id="172">
    <w:p w14:paraId="37D7FB57" w14:textId="77777777" w:rsidR="00356280" w:rsidRPr="00793101" w:rsidRDefault="00356280" w:rsidP="00F529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86 (The use of laser weapons that are specifically designed, as their combat function or as one of their combat functions, to cause permanent blindness to unenhanced vision is prohibited).</w:t>
      </w:r>
    </w:p>
  </w:footnote>
  <w:footnote w:id="173">
    <w:p w14:paraId="310E8A0E" w14:textId="3E190371" w:rsidR="00356280" w:rsidRPr="00A0775A" w:rsidRDefault="00356280" w:rsidP="00AA6144">
      <w:pPr>
        <w:pStyle w:val="FootnoteText"/>
        <w:spacing w:after="0" w:line="240" w:lineRule="auto"/>
      </w:pPr>
      <w:r>
        <w:rPr>
          <w:rStyle w:val="FootnoteReference"/>
        </w:rPr>
        <w:footnoteRef/>
      </w:r>
      <w:r>
        <w:t xml:space="preserve"> </w:t>
      </w:r>
      <w:r w:rsidRPr="00004FA6">
        <w:rPr>
          <w:i/>
          <w:lang w:val="en-CA"/>
        </w:rPr>
        <w:t>Rome Statue</w:t>
      </w:r>
      <w:r w:rsidRPr="00004FA6">
        <w:rPr>
          <w:lang w:val="en-CA"/>
        </w:rPr>
        <w:t xml:space="preserve">, </w:t>
      </w:r>
      <w:r w:rsidRPr="00004FA6">
        <w:rPr>
          <w:i/>
          <w:lang w:val="en-CA"/>
        </w:rPr>
        <w:t>supra</w:t>
      </w:r>
      <w:r w:rsidRPr="00004FA6">
        <w:rPr>
          <w:lang w:val="en-CA"/>
        </w:rPr>
        <w:t xml:space="preserve"> note 96, </w:t>
      </w:r>
      <w:r w:rsidRPr="00004FA6">
        <w:rPr>
          <w:color w:val="auto"/>
          <w:szCs w:val="18"/>
          <w:lang w:val="en-CA"/>
        </w:rPr>
        <w:t xml:space="preserve">article </w:t>
      </w:r>
      <w:r w:rsidRPr="00004FA6">
        <w:rPr>
          <w:lang w:val="en-CA"/>
        </w:rPr>
        <w:t>8(2)(b)(xviii)</w:t>
      </w:r>
      <w:r>
        <w:rPr>
          <w:lang w:val="en-CA"/>
        </w:rPr>
        <w:t xml:space="preserve">; </w:t>
      </w:r>
      <w:r w:rsidRPr="00004FA6">
        <w:rPr>
          <w:i/>
          <w:szCs w:val="16"/>
          <w:lang w:val="en-US"/>
        </w:rPr>
        <w:t>Resolution, 2017</w:t>
      </w:r>
      <w:r>
        <w:rPr>
          <w:i/>
          <w:szCs w:val="16"/>
          <w:lang w:val="en-US"/>
        </w:rPr>
        <w:t>, supra</w:t>
      </w:r>
      <w:r>
        <w:rPr>
          <w:szCs w:val="16"/>
          <w:lang w:val="en-US"/>
        </w:rPr>
        <w:t xml:space="preserve"> note 127.</w:t>
      </w:r>
    </w:p>
  </w:footnote>
  <w:footnote w:id="174">
    <w:p w14:paraId="73D2143D" w14:textId="1E3AD2B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For the text of common Article 3, see First, Second, Third or Fourth</w:t>
      </w:r>
      <w:r w:rsidRPr="00793101">
        <w:rPr>
          <w:i/>
          <w:szCs w:val="16"/>
          <w:lang w:val="en-CA"/>
        </w:rPr>
        <w:t xml:space="preserve"> Geneva Conventions, supra</w:t>
      </w:r>
      <w:r w:rsidRPr="00793101">
        <w:rPr>
          <w:szCs w:val="16"/>
          <w:lang w:val="en-CA"/>
        </w:rPr>
        <w:t xml:space="preserve"> note </w:t>
      </w:r>
      <w:r>
        <w:fldChar w:fldCharType="begin"/>
      </w:r>
      <w:r>
        <w:instrText xml:space="preserve"> NOTEREF _Ref266967085 \h  \* MERGEFORMAT </w:instrText>
      </w:r>
      <w:r>
        <w:fldChar w:fldCharType="separate"/>
      </w:r>
      <w:r w:rsidRPr="00E045AC">
        <w:rPr>
          <w:szCs w:val="16"/>
          <w:lang w:val="en-CA"/>
        </w:rPr>
        <w:t>92</w:t>
      </w:r>
      <w:r>
        <w:fldChar w:fldCharType="end"/>
      </w:r>
      <w:r w:rsidRPr="00793101">
        <w:rPr>
          <w:szCs w:val="16"/>
          <w:lang w:val="en-CA"/>
        </w:rPr>
        <w:t>.</w:t>
      </w:r>
    </w:p>
  </w:footnote>
  <w:footnote w:id="175">
    <w:p w14:paraId="5D5F6DFB" w14:textId="459D41E8" w:rsidR="00356280" w:rsidRPr="00356280" w:rsidRDefault="00356280" w:rsidP="0040644D">
      <w:pPr>
        <w:pStyle w:val="FootnoteText"/>
        <w:spacing w:after="0" w:line="240" w:lineRule="auto"/>
        <w:rPr>
          <w:szCs w:val="16"/>
          <w:lang w:val="es-AR"/>
        </w:rPr>
      </w:pPr>
      <w:r w:rsidRPr="00793101">
        <w:rPr>
          <w:rStyle w:val="FootnoteReference"/>
          <w:szCs w:val="16"/>
          <w:lang w:val="en-CA"/>
        </w:rPr>
        <w:footnoteRef/>
      </w:r>
      <w:r w:rsidRPr="00356280">
        <w:rPr>
          <w:szCs w:val="16"/>
          <w:lang w:val="es-AR"/>
        </w:rPr>
        <w:t xml:space="preserve"> </w:t>
      </w:r>
      <w:proofErr w:type="spellStart"/>
      <w:r w:rsidRPr="00356280">
        <w:rPr>
          <w:i/>
          <w:szCs w:val="16"/>
          <w:lang w:val="es-AR"/>
        </w:rPr>
        <w:t>Protocol</w:t>
      </w:r>
      <w:proofErr w:type="spellEnd"/>
      <w:r w:rsidRPr="00356280">
        <w:rPr>
          <w:i/>
          <w:szCs w:val="16"/>
          <w:lang w:val="es-AR"/>
        </w:rPr>
        <w:t xml:space="preserve"> II</w:t>
      </w:r>
      <w:r w:rsidRPr="00356280">
        <w:rPr>
          <w:szCs w:val="16"/>
          <w:lang w:val="es-AR"/>
        </w:rPr>
        <w:t xml:space="preserve">, supra note </w:t>
      </w:r>
      <w:r>
        <w:fldChar w:fldCharType="begin"/>
      </w:r>
      <w:r w:rsidRPr="00356280">
        <w:rPr>
          <w:lang w:val="es-AR"/>
        </w:rPr>
        <w:instrText xml:space="preserve"> NOTEREF _Ref266972100 \h  \* MERGEFORMAT </w:instrText>
      </w:r>
      <w:r>
        <w:fldChar w:fldCharType="separate"/>
      </w:r>
      <w:r w:rsidRPr="00356280">
        <w:rPr>
          <w:szCs w:val="16"/>
          <w:lang w:val="es-AR"/>
        </w:rPr>
        <w:t>94</w:t>
      </w:r>
      <w:r>
        <w:fldChar w:fldCharType="end"/>
      </w:r>
      <w:r w:rsidRPr="00356280">
        <w:rPr>
          <w:szCs w:val="16"/>
          <w:lang w:val="es-AR"/>
        </w:rPr>
        <w:t>, art 1.</w:t>
      </w:r>
    </w:p>
  </w:footnote>
  <w:footnote w:id="176">
    <w:p w14:paraId="310B1FE9" w14:textId="4E8037D6" w:rsidR="00356280" w:rsidRPr="00356280" w:rsidRDefault="00356280" w:rsidP="0040644D">
      <w:pPr>
        <w:pStyle w:val="FootnoteText"/>
        <w:spacing w:after="0" w:line="240" w:lineRule="auto"/>
        <w:rPr>
          <w:szCs w:val="16"/>
          <w:lang w:val="es-AR"/>
        </w:rPr>
      </w:pPr>
      <w:r w:rsidRPr="00793101">
        <w:rPr>
          <w:rStyle w:val="FootnoteReference"/>
          <w:szCs w:val="16"/>
          <w:lang w:val="en-CA"/>
        </w:rPr>
        <w:footnoteRef/>
      </w:r>
      <w:r w:rsidRPr="00356280">
        <w:rPr>
          <w:szCs w:val="16"/>
          <w:lang w:val="es-AR"/>
        </w:rPr>
        <w:t xml:space="preserve"> </w:t>
      </w:r>
      <w:proofErr w:type="spellStart"/>
      <w:r w:rsidRPr="00356280">
        <w:rPr>
          <w:i/>
          <w:szCs w:val="16"/>
          <w:lang w:val="es-AR"/>
        </w:rPr>
        <w:t>Protocol</w:t>
      </w:r>
      <w:proofErr w:type="spellEnd"/>
      <w:r w:rsidRPr="00356280">
        <w:rPr>
          <w:i/>
          <w:szCs w:val="16"/>
          <w:lang w:val="es-AR"/>
        </w:rPr>
        <w:t xml:space="preserve"> II, supra</w:t>
      </w:r>
      <w:r w:rsidRPr="00356280">
        <w:rPr>
          <w:szCs w:val="16"/>
          <w:lang w:val="es-AR"/>
        </w:rPr>
        <w:t xml:space="preserve"> note </w:t>
      </w:r>
      <w:r>
        <w:fldChar w:fldCharType="begin"/>
      </w:r>
      <w:r w:rsidRPr="00356280">
        <w:rPr>
          <w:lang w:val="es-AR"/>
        </w:rPr>
        <w:instrText xml:space="preserve"> NOTEREF _Ref266972100 \h  \* MERGEFORMAT </w:instrText>
      </w:r>
      <w:r>
        <w:fldChar w:fldCharType="separate"/>
      </w:r>
      <w:r w:rsidRPr="00356280">
        <w:rPr>
          <w:szCs w:val="16"/>
          <w:lang w:val="es-AR"/>
        </w:rPr>
        <w:t>94</w:t>
      </w:r>
      <w:r>
        <w:fldChar w:fldCharType="end"/>
      </w:r>
      <w:r w:rsidRPr="00356280">
        <w:rPr>
          <w:szCs w:val="16"/>
          <w:lang w:val="es-AR"/>
        </w:rPr>
        <w:t>.</w:t>
      </w:r>
    </w:p>
  </w:footnote>
  <w:footnote w:id="177">
    <w:p w14:paraId="12D3EC70" w14:textId="7B37C14E"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For the text of </w:t>
      </w:r>
      <w:r w:rsidRPr="00793101">
        <w:rPr>
          <w:i/>
          <w:szCs w:val="16"/>
          <w:lang w:val="en-CA"/>
        </w:rPr>
        <w:t>Rome Statute</w:t>
      </w:r>
      <w:r w:rsidRPr="00793101">
        <w:rPr>
          <w:szCs w:val="16"/>
          <w:lang w:val="en-CA"/>
        </w:rPr>
        <w:t xml:space="preserve">, </w:t>
      </w:r>
      <w:r w:rsidRPr="00793101">
        <w:rPr>
          <w:i/>
          <w:szCs w:val="16"/>
          <w:lang w:val="en-CA"/>
        </w:rPr>
        <w:t xml:space="preserve">supra </w:t>
      </w:r>
      <w:r w:rsidRPr="00793101">
        <w:rPr>
          <w:szCs w:val="16"/>
          <w:lang w:val="en-CA"/>
        </w:rPr>
        <w:t xml:space="preserve">note </w:t>
      </w:r>
      <w:r>
        <w:fldChar w:fldCharType="begin"/>
      </w:r>
      <w:r>
        <w:instrText xml:space="preserve"> NOTEREF _Ref266968903 \h  \* MERGEFORMAT </w:instrText>
      </w:r>
      <w:r>
        <w:fldChar w:fldCharType="separate"/>
      </w:r>
      <w:r w:rsidRPr="00E045AC">
        <w:rPr>
          <w:szCs w:val="16"/>
          <w:lang w:val="en-CA"/>
        </w:rPr>
        <w:t>97</w:t>
      </w:r>
      <w:r>
        <w:fldChar w:fldCharType="end"/>
      </w:r>
      <w:r w:rsidRPr="00793101">
        <w:rPr>
          <w:szCs w:val="16"/>
          <w:lang w:val="en-CA"/>
        </w:rPr>
        <w:t>, art 8(2)(d).</w:t>
      </w:r>
    </w:p>
  </w:footnote>
  <w:footnote w:id="178">
    <w:p w14:paraId="67224067" w14:textId="0257F183"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See </w:t>
      </w:r>
      <w:r w:rsidRPr="00793101">
        <w:rPr>
          <w:i/>
          <w:szCs w:val="16"/>
          <w:lang w:val="en-US"/>
        </w:rPr>
        <w:t>Crimes Against Humanity and War Crimes Act</w:t>
      </w:r>
      <w:r w:rsidRPr="00793101">
        <w:rPr>
          <w:szCs w:val="16"/>
          <w:lang w:val="en-US"/>
        </w:rPr>
        <w:t xml:space="preserve">, </w:t>
      </w:r>
      <w:r w:rsidRPr="00793101">
        <w:rPr>
          <w:i/>
          <w:szCs w:val="16"/>
          <w:lang w:val="en-US"/>
        </w:rPr>
        <w:t>supra</w:t>
      </w:r>
      <w:r w:rsidRPr="00793101">
        <w:rPr>
          <w:szCs w:val="16"/>
          <w:lang w:val="en-US"/>
        </w:rPr>
        <w:t xml:space="preserve"> note </w:t>
      </w:r>
      <w:r>
        <w:fldChar w:fldCharType="begin"/>
      </w:r>
      <w:r>
        <w:instrText xml:space="preserve"> NOTEREF _Ref266965596 \h  \* MERGEFORMAT </w:instrText>
      </w:r>
      <w:r>
        <w:fldChar w:fldCharType="separate"/>
      </w:r>
      <w:r>
        <w:t>12</w:t>
      </w:r>
      <w:r>
        <w:fldChar w:fldCharType="end"/>
      </w:r>
      <w:r w:rsidRPr="00793101">
        <w:rPr>
          <w:szCs w:val="16"/>
          <w:lang w:val="en-US"/>
        </w:rPr>
        <w:t>, s 8</w:t>
      </w:r>
      <w:r w:rsidRPr="00793101">
        <w:rPr>
          <w:i/>
          <w:szCs w:val="16"/>
          <w:lang w:val="en-US"/>
        </w:rPr>
        <w:t>.</w:t>
      </w:r>
    </w:p>
  </w:footnote>
  <w:footnote w:id="179">
    <w:p w14:paraId="280DA6B5" w14:textId="3610F4ED" w:rsidR="00356280" w:rsidRPr="007B53D3" w:rsidRDefault="00356280" w:rsidP="00881DFE">
      <w:pPr>
        <w:pStyle w:val="FootnoteText"/>
        <w:spacing w:after="0" w:line="240" w:lineRule="auto"/>
        <w:rPr>
          <w:szCs w:val="16"/>
          <w:lang w:val="en-US"/>
        </w:rPr>
      </w:pPr>
      <w:r w:rsidRPr="00793101">
        <w:rPr>
          <w:rStyle w:val="FootnoteReference"/>
          <w:szCs w:val="16"/>
          <w:lang w:val="en-CA"/>
        </w:rPr>
        <w:footnoteRef/>
      </w:r>
      <w:r w:rsidRPr="00793101">
        <w:rPr>
          <w:szCs w:val="16"/>
          <w:lang w:val="en-CA"/>
        </w:rPr>
        <w:t xml:space="preserve"> See </w:t>
      </w:r>
      <w:r w:rsidRPr="00793101">
        <w:rPr>
          <w:i/>
          <w:szCs w:val="16"/>
          <w:lang w:val="en-CA"/>
        </w:rPr>
        <w:t>Protocol II, supra</w:t>
      </w:r>
      <w:r w:rsidRPr="00793101">
        <w:rPr>
          <w:szCs w:val="16"/>
          <w:lang w:val="en-CA"/>
        </w:rPr>
        <w:t xml:space="preserve"> note </w:t>
      </w:r>
      <w:r>
        <w:fldChar w:fldCharType="begin"/>
      </w:r>
      <w:r>
        <w:instrText xml:space="preserve"> NOTEREF _Ref266972140 \h  \* MERGEFORMAT </w:instrText>
      </w:r>
      <w:r>
        <w:fldChar w:fldCharType="separate"/>
      </w:r>
      <w:r w:rsidRPr="00E045AC">
        <w:rPr>
          <w:szCs w:val="16"/>
          <w:lang w:val="en-CA"/>
        </w:rPr>
        <w:t>147</w:t>
      </w:r>
      <w:r>
        <w:fldChar w:fldCharType="end"/>
      </w:r>
      <w:r w:rsidRPr="00793101">
        <w:rPr>
          <w:szCs w:val="16"/>
          <w:lang w:val="en-CA"/>
        </w:rPr>
        <w:t xml:space="preserve">. See also </w:t>
      </w:r>
      <w:proofErr w:type="spellStart"/>
      <w:r w:rsidRPr="00793101">
        <w:rPr>
          <w:szCs w:val="16"/>
          <w:lang w:val="en-CA"/>
        </w:rPr>
        <w:t>Henckaerts</w:t>
      </w:r>
      <w:proofErr w:type="spellEnd"/>
      <w:r w:rsidRPr="00793101">
        <w:rPr>
          <w:szCs w:val="16"/>
          <w:lang w:val="en-CA"/>
        </w:rPr>
        <w:t xml:space="preserve"> &amp; </w:t>
      </w:r>
      <w:proofErr w:type="spellStart"/>
      <w:r w:rsidRPr="00793101">
        <w:rPr>
          <w:szCs w:val="16"/>
          <w:lang w:val="en-CA"/>
        </w:rPr>
        <w:t>Doswald</w:t>
      </w:r>
      <w:proofErr w:type="spellEnd"/>
      <w:r w:rsidRPr="00793101">
        <w:rPr>
          <w:szCs w:val="16"/>
          <w:lang w:val="en-CA"/>
        </w:rPr>
        <w:t xml:space="preserve">-Beck, </w:t>
      </w:r>
      <w:r w:rsidRPr="00793101">
        <w:rPr>
          <w:i/>
          <w:szCs w:val="16"/>
          <w:lang w:val="en-CA"/>
        </w:rPr>
        <w:t>supra</w:t>
      </w:r>
      <w:r w:rsidRPr="00793101">
        <w:rPr>
          <w:szCs w:val="16"/>
          <w:lang w:val="en-CA"/>
        </w:rPr>
        <w:t xml:space="preserve"> note </w:t>
      </w:r>
      <w:r>
        <w:fldChar w:fldCharType="begin"/>
      </w:r>
      <w:r>
        <w:instrText xml:space="preserve"> NOTEREF _Ref266970952 \h  \* MERGEFORMAT </w:instrText>
      </w:r>
      <w:r>
        <w:fldChar w:fldCharType="separate"/>
      </w:r>
      <w:r w:rsidRPr="00E045AC">
        <w:rPr>
          <w:szCs w:val="16"/>
          <w:lang w:val="en-CA"/>
        </w:rPr>
        <w:t>123</w:t>
      </w:r>
      <w:r>
        <w:fldChar w:fldCharType="end"/>
      </w:r>
      <w:r w:rsidRPr="00793101">
        <w:rPr>
          <w:szCs w:val="16"/>
          <w:lang w:val="en-CA"/>
        </w:rPr>
        <w:t>, Rule 53 (The use of starvation of the civilian population as a method of warfare is prohibited), and Rule 156 (Serious violations of international humanitarian law constitute war crimes).</w:t>
      </w:r>
      <w:r>
        <w:rPr>
          <w:szCs w:val="16"/>
          <w:lang w:val="en-CA"/>
        </w:rPr>
        <w:t xml:space="preserve"> On starvation of civilian population in non- international armed conflicts, see recent proposal by Switzerland to amend the Rome Statute at </w:t>
      </w:r>
      <w:r w:rsidRPr="00D611CD">
        <w:rPr>
          <w:szCs w:val="16"/>
          <w:lang w:val="en-CA"/>
        </w:rPr>
        <w:t>https://treaties.un.org/doc/Publication/CN/2019/CN.399.2019-Eng.pdf</w:t>
      </w:r>
    </w:p>
  </w:footnote>
  <w:footnote w:id="180">
    <w:p w14:paraId="74EE1DE5" w14:textId="543C27C6" w:rsidR="00356280" w:rsidRPr="00AA6144" w:rsidRDefault="00356280" w:rsidP="00AA6144">
      <w:pPr>
        <w:widowControl/>
        <w:suppressAutoHyphens w:val="0"/>
        <w:spacing w:after="0" w:line="240" w:lineRule="auto"/>
        <w:rPr>
          <w:rFonts w:ascii="Times New Roman" w:hAnsi="Times New Roman"/>
          <w:color w:val="auto"/>
          <w:sz w:val="24"/>
          <w:lang w:val="en-CA" w:eastAsia="en-US"/>
        </w:rPr>
      </w:pPr>
      <w:r>
        <w:rPr>
          <w:rStyle w:val="FootnoteReference"/>
        </w:rPr>
        <w:footnoteRef/>
      </w:r>
      <w:r>
        <w:t xml:space="preserve"> </w:t>
      </w:r>
      <w:r w:rsidRPr="00540306">
        <w:rPr>
          <w:lang w:val="en-CA"/>
        </w:rPr>
        <w:t xml:space="preserve"> </w:t>
      </w:r>
      <w:r w:rsidRPr="00004FA6">
        <w:rPr>
          <w:i/>
          <w:sz w:val="16"/>
          <w:szCs w:val="16"/>
        </w:rPr>
        <w:t xml:space="preserve">Prosecutor v. </w:t>
      </w:r>
      <w:proofErr w:type="spellStart"/>
      <w:r w:rsidRPr="00004FA6">
        <w:rPr>
          <w:i/>
          <w:sz w:val="16"/>
          <w:szCs w:val="16"/>
        </w:rPr>
        <w:t>Dusko</w:t>
      </w:r>
      <w:proofErr w:type="spellEnd"/>
      <w:r w:rsidRPr="00004FA6">
        <w:rPr>
          <w:i/>
          <w:sz w:val="16"/>
          <w:szCs w:val="16"/>
        </w:rPr>
        <w:t xml:space="preserve"> Tadic aka “Dule”,</w:t>
      </w:r>
      <w:r w:rsidRPr="00004FA6">
        <w:rPr>
          <w:sz w:val="16"/>
          <w:szCs w:val="16"/>
        </w:rPr>
        <w:t xml:space="preserve"> Case </w:t>
      </w:r>
      <w:r w:rsidRPr="00004FA6">
        <w:rPr>
          <w:rFonts w:ascii="Palatino Linotype" w:hAnsi="Palatino Linotype"/>
          <w:sz w:val="16"/>
          <w:szCs w:val="16"/>
        </w:rPr>
        <w:t>No</w:t>
      </w:r>
      <w:r w:rsidRPr="00004FA6">
        <w:rPr>
          <w:rFonts w:ascii="Palatino Linotype,Bold" w:hAnsi="Palatino Linotype,Bold"/>
          <w:sz w:val="16"/>
          <w:szCs w:val="16"/>
        </w:rPr>
        <w:t xml:space="preserve"> IT-94-1</w:t>
      </w:r>
      <w:r w:rsidRPr="008F5C09">
        <w:rPr>
          <w:rFonts w:ascii="Palatino Linotype,Bold" w:hAnsi="Palatino Linotype,Bold"/>
          <w:sz w:val="16"/>
          <w:szCs w:val="16"/>
        </w:rPr>
        <w:t xml:space="preserve">, </w:t>
      </w:r>
      <w:r w:rsidRPr="00AA6144">
        <w:rPr>
          <w:rFonts w:ascii="Palatino Linotype,Bold" w:hAnsi="Palatino Linotype,Bold"/>
          <w:sz w:val="16"/>
          <w:szCs w:val="16"/>
        </w:rPr>
        <w:t>ICTY Appeals Chamber</w:t>
      </w:r>
      <w:r w:rsidRPr="008F5C09">
        <w:rPr>
          <w:rFonts w:ascii="Palatino Linotype,Bold" w:hAnsi="Palatino Linotype,Bold"/>
          <w:sz w:val="16"/>
          <w:szCs w:val="16"/>
        </w:rPr>
        <w:t xml:space="preserve"> </w:t>
      </w:r>
      <w:r w:rsidRPr="00004FA6">
        <w:rPr>
          <w:rFonts w:ascii="Palatino Linotype,Bold" w:hAnsi="Palatino Linotype,Bold"/>
          <w:sz w:val="16"/>
          <w:szCs w:val="16"/>
        </w:rPr>
        <w:t>(2 October 1995)</w:t>
      </w:r>
      <w:r w:rsidRPr="00004FA6">
        <w:rPr>
          <w:sz w:val="16"/>
          <w:szCs w:val="16"/>
        </w:rPr>
        <w:t xml:space="preserve"> [</w:t>
      </w:r>
      <w:r w:rsidRPr="00004FA6">
        <w:rPr>
          <w:i/>
          <w:sz w:val="16"/>
          <w:szCs w:val="16"/>
        </w:rPr>
        <w:t>Tadic</w:t>
      </w:r>
      <w:r w:rsidRPr="00004FA6">
        <w:rPr>
          <w:sz w:val="16"/>
          <w:szCs w:val="16"/>
        </w:rPr>
        <w:t>]</w:t>
      </w:r>
      <w:r>
        <w:rPr>
          <w:rFonts w:ascii="Palatino Linotype,Bold" w:hAnsi="Palatino Linotype,Bold"/>
          <w:sz w:val="16"/>
          <w:szCs w:val="16"/>
        </w:rPr>
        <w:t>.</w:t>
      </w:r>
    </w:p>
  </w:footnote>
  <w:footnote w:id="181">
    <w:p w14:paraId="2EC127D3" w14:textId="2949D0CC" w:rsidR="00356280" w:rsidRPr="00793101" w:rsidRDefault="00356280" w:rsidP="00881DFE">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Lafontaine,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_Ref265358056 \h  \* MERGEFORMAT </w:instrText>
      </w:r>
      <w:r>
        <w:fldChar w:fldCharType="separate"/>
      </w:r>
      <w:r w:rsidRPr="00E045AC">
        <w:rPr>
          <w:color w:val="auto"/>
          <w:szCs w:val="16"/>
          <w:lang w:val="en-CA"/>
        </w:rPr>
        <w:t>98</w:t>
      </w:r>
      <w:r>
        <w:fldChar w:fldCharType="end"/>
      </w:r>
      <w:r w:rsidRPr="00793101">
        <w:rPr>
          <w:color w:val="auto"/>
          <w:szCs w:val="16"/>
          <w:lang w:val="en-CA"/>
        </w:rPr>
        <w:t xml:space="preserve"> at 203.</w:t>
      </w:r>
    </w:p>
  </w:footnote>
  <w:footnote w:id="182">
    <w:p w14:paraId="43219ABA" w14:textId="035DC1F9"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Convention for the Protection of Cultural Property in the Event of Armed Conflict, supra</w:t>
      </w:r>
      <w:r w:rsidRPr="00793101">
        <w:rPr>
          <w:color w:val="auto"/>
          <w:szCs w:val="16"/>
          <w:lang w:val="en-CA"/>
        </w:rPr>
        <w:t xml:space="preserve"> note </w:t>
      </w:r>
      <w:r>
        <w:fldChar w:fldCharType="begin"/>
      </w:r>
      <w:r>
        <w:instrText xml:space="preserve"> NOTEREF _Ref266972404 \h  \* MERGEFORMAT </w:instrText>
      </w:r>
      <w:r>
        <w:fldChar w:fldCharType="separate"/>
      </w:r>
      <w:r w:rsidRPr="00E045AC">
        <w:rPr>
          <w:color w:val="auto"/>
          <w:szCs w:val="16"/>
          <w:lang w:val="en-CA"/>
        </w:rPr>
        <w:t>130</w:t>
      </w:r>
      <w:r>
        <w:fldChar w:fldCharType="end"/>
      </w:r>
      <w:r w:rsidRPr="00793101">
        <w:rPr>
          <w:color w:val="auto"/>
          <w:szCs w:val="16"/>
          <w:lang w:val="en-CA"/>
        </w:rPr>
        <w:t xml:space="preserve">. </w:t>
      </w:r>
    </w:p>
  </w:footnote>
  <w:footnote w:id="183">
    <w:p w14:paraId="7B399993" w14:textId="44883B41"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Convention on Certain Conventional Weapons, supra</w:t>
      </w:r>
      <w:r w:rsidRPr="00793101">
        <w:rPr>
          <w:color w:val="auto"/>
          <w:szCs w:val="16"/>
          <w:lang w:val="en-CA"/>
        </w:rPr>
        <w:t xml:space="preserve"> note </w:t>
      </w:r>
      <w:r>
        <w:fldChar w:fldCharType="begin"/>
      </w:r>
      <w:r>
        <w:instrText xml:space="preserve"> NOTEREF _Ref266971832 \h  \* MERGEFORMAT </w:instrText>
      </w:r>
      <w:r>
        <w:fldChar w:fldCharType="separate"/>
      </w:r>
      <w:r w:rsidRPr="00E045AC">
        <w:rPr>
          <w:color w:val="auto"/>
          <w:szCs w:val="16"/>
          <w:lang w:val="en-CA"/>
        </w:rPr>
        <w:t>137</w:t>
      </w:r>
      <w:r>
        <w:fldChar w:fldCharType="end"/>
      </w:r>
      <w:r w:rsidRPr="00793101">
        <w:rPr>
          <w:color w:val="auto"/>
          <w:szCs w:val="16"/>
          <w:lang w:val="en-CA"/>
        </w:rPr>
        <w:t xml:space="preserve">. </w:t>
      </w:r>
    </w:p>
  </w:footnote>
  <w:footnote w:id="184">
    <w:p w14:paraId="6BC58B98"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p>
  </w:footnote>
  <w:footnote w:id="185">
    <w:p w14:paraId="14893557"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w:t>
      </w:r>
    </w:p>
  </w:footnote>
  <w:footnote w:id="186">
    <w:p w14:paraId="6ED00C77"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w:t>
      </w:r>
    </w:p>
  </w:footnote>
  <w:footnote w:id="187">
    <w:p w14:paraId="3E7B2478" w14:textId="341A23A0"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Protocol II to the CCW Convention as amended on 3 May 1996, supra</w:t>
      </w:r>
      <w:r w:rsidRPr="00793101">
        <w:rPr>
          <w:color w:val="auto"/>
          <w:szCs w:val="16"/>
          <w:lang w:val="en-CA"/>
        </w:rPr>
        <w:t xml:space="preserve"> note </w:t>
      </w:r>
      <w:r>
        <w:fldChar w:fldCharType="begin"/>
      </w:r>
      <w:r>
        <w:instrText xml:space="preserve"> NOTEREF _Ref266972140 \h  \* MERGEFORMAT </w:instrText>
      </w:r>
      <w:r>
        <w:fldChar w:fldCharType="separate"/>
      </w:r>
      <w:r w:rsidRPr="00E045AC">
        <w:rPr>
          <w:color w:val="auto"/>
          <w:szCs w:val="16"/>
          <w:lang w:val="en-CA"/>
        </w:rPr>
        <w:t>147</w:t>
      </w:r>
      <w:r>
        <w:fldChar w:fldCharType="end"/>
      </w:r>
      <w:r w:rsidRPr="00793101">
        <w:rPr>
          <w:color w:val="auto"/>
          <w:szCs w:val="16"/>
          <w:lang w:val="en-CA"/>
        </w:rPr>
        <w:t xml:space="preserve">. </w:t>
      </w:r>
    </w:p>
  </w:footnote>
  <w:footnote w:id="188">
    <w:p w14:paraId="1532F786" w14:textId="3D559907"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w:t>
      </w:r>
      <w:proofErr w:type="gramStart"/>
      <w:r w:rsidRPr="00793101">
        <w:rPr>
          <w:i/>
          <w:color w:val="auto"/>
          <w:szCs w:val="16"/>
          <w:lang w:val="en-CA"/>
        </w:rPr>
        <w:t>Chemical Weapons Convention,</w:t>
      </w:r>
      <w:proofErr w:type="gramEnd"/>
      <w:r w:rsidRPr="00793101">
        <w:rPr>
          <w:i/>
          <w:color w:val="auto"/>
          <w:szCs w:val="16"/>
          <w:lang w:val="en-CA"/>
        </w:rPr>
        <w:t xml:space="preserve"> supra</w:t>
      </w:r>
      <w:r w:rsidRPr="00793101">
        <w:rPr>
          <w:color w:val="auto"/>
          <w:szCs w:val="16"/>
          <w:lang w:val="en-CA"/>
        </w:rPr>
        <w:t xml:space="preserve"> note </w:t>
      </w:r>
      <w:r>
        <w:fldChar w:fldCharType="begin"/>
      </w:r>
      <w:r>
        <w:instrText xml:space="preserve"> NOTEREF _Ref266972433 \h  \* MERGEFORMAT </w:instrText>
      </w:r>
      <w:r>
        <w:fldChar w:fldCharType="separate"/>
      </w:r>
      <w:r w:rsidRPr="00E045AC">
        <w:rPr>
          <w:color w:val="auto"/>
          <w:szCs w:val="16"/>
          <w:lang w:val="en-CA"/>
        </w:rPr>
        <w:t>144</w:t>
      </w:r>
      <w:r>
        <w:fldChar w:fldCharType="end"/>
      </w:r>
      <w:r w:rsidRPr="00793101">
        <w:rPr>
          <w:color w:val="auto"/>
          <w:szCs w:val="16"/>
          <w:lang w:val="en-CA"/>
        </w:rPr>
        <w:t xml:space="preserve">. </w:t>
      </w:r>
    </w:p>
  </w:footnote>
  <w:footnote w:id="189">
    <w:p w14:paraId="5F4E80AE" w14:textId="7FFD75B4"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Protocol IV, entitled Blinding Laser Weapons, supra</w:t>
      </w:r>
      <w:r w:rsidRPr="00793101">
        <w:rPr>
          <w:color w:val="auto"/>
          <w:szCs w:val="16"/>
          <w:lang w:val="en-CA"/>
        </w:rPr>
        <w:t xml:space="preserve"> note </w:t>
      </w:r>
      <w:r>
        <w:fldChar w:fldCharType="begin"/>
      </w:r>
      <w:r>
        <w:instrText xml:space="preserve"> NOTEREF _Ref266972445 \h  \* MERGEFORMAT </w:instrText>
      </w:r>
      <w:r>
        <w:fldChar w:fldCharType="separate"/>
      </w:r>
      <w:r w:rsidRPr="00E045AC">
        <w:rPr>
          <w:color w:val="auto"/>
          <w:szCs w:val="16"/>
          <w:lang w:val="en-CA"/>
        </w:rPr>
        <w:t>145</w:t>
      </w:r>
      <w:r>
        <w:fldChar w:fldCharType="end"/>
      </w:r>
      <w:r w:rsidRPr="00793101">
        <w:rPr>
          <w:color w:val="auto"/>
          <w:szCs w:val="16"/>
          <w:lang w:val="en-CA"/>
        </w:rPr>
        <w:t xml:space="preserve">. </w:t>
      </w:r>
    </w:p>
  </w:footnote>
  <w:footnote w:id="190">
    <w:p w14:paraId="61AB8B78" w14:textId="4D210C13" w:rsidR="00356280" w:rsidRPr="00356280" w:rsidRDefault="00356280" w:rsidP="0040644D">
      <w:pPr>
        <w:pStyle w:val="FootnoteText"/>
        <w:spacing w:after="0" w:line="240" w:lineRule="auto"/>
        <w:jc w:val="both"/>
        <w:rPr>
          <w:color w:val="auto"/>
          <w:szCs w:val="16"/>
          <w:lang w:val="fr-CA"/>
        </w:rPr>
      </w:pPr>
      <w:r w:rsidRPr="00793101">
        <w:rPr>
          <w:rStyle w:val="FootnoteReference"/>
          <w:color w:val="auto"/>
          <w:szCs w:val="16"/>
          <w:lang w:val="en-CA"/>
        </w:rPr>
        <w:footnoteRef/>
      </w:r>
      <w:r w:rsidRPr="00356280">
        <w:rPr>
          <w:color w:val="auto"/>
          <w:szCs w:val="16"/>
          <w:lang w:val="fr-CA"/>
        </w:rPr>
        <w:t xml:space="preserve"> </w:t>
      </w:r>
      <w:r w:rsidRPr="00356280">
        <w:rPr>
          <w:i/>
          <w:color w:val="auto"/>
          <w:szCs w:val="16"/>
          <w:lang w:val="fr-CA"/>
        </w:rPr>
        <w:t xml:space="preserve">Anti-Personnel Mine Ban Convention, supra </w:t>
      </w:r>
      <w:r w:rsidRPr="00356280">
        <w:rPr>
          <w:color w:val="auto"/>
          <w:szCs w:val="16"/>
          <w:lang w:val="fr-CA"/>
        </w:rPr>
        <w:t xml:space="preserve">note </w:t>
      </w:r>
      <w:r>
        <w:fldChar w:fldCharType="begin"/>
      </w:r>
      <w:r w:rsidRPr="00356280">
        <w:rPr>
          <w:lang w:val="fr-CA"/>
        </w:rPr>
        <w:instrText xml:space="preserve"> NOTEREF _Ref266972465 \h  \* MERGEFORMAT </w:instrText>
      </w:r>
      <w:r>
        <w:fldChar w:fldCharType="separate"/>
      </w:r>
      <w:r w:rsidRPr="00356280">
        <w:rPr>
          <w:color w:val="auto"/>
          <w:szCs w:val="16"/>
          <w:lang w:val="fr-CA"/>
        </w:rPr>
        <w:t>148</w:t>
      </w:r>
      <w:r>
        <w:fldChar w:fldCharType="end"/>
      </w:r>
      <w:r w:rsidRPr="00356280">
        <w:rPr>
          <w:color w:val="auto"/>
          <w:szCs w:val="16"/>
          <w:lang w:val="fr-CA"/>
        </w:rPr>
        <w:t xml:space="preserve">. </w:t>
      </w:r>
    </w:p>
  </w:footnote>
  <w:footnote w:id="191">
    <w:p w14:paraId="0D1268E4" w14:textId="2B31968E"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Second Protocol to The Hague Convention of 1954 for the Protection of Cultural Property in the Event of Armed Conflict</w:t>
      </w:r>
      <w:r w:rsidRPr="00793101">
        <w:rPr>
          <w:i/>
          <w:color w:val="auto"/>
          <w:szCs w:val="16"/>
          <w:lang w:val="en-CA"/>
        </w:rPr>
        <w:t>, supra</w:t>
      </w:r>
      <w:r w:rsidRPr="00793101">
        <w:rPr>
          <w:color w:val="auto"/>
          <w:szCs w:val="16"/>
          <w:lang w:val="en-CA"/>
        </w:rPr>
        <w:t xml:space="preserve"> note </w:t>
      </w:r>
      <w:r>
        <w:fldChar w:fldCharType="begin"/>
      </w:r>
      <w:r>
        <w:instrText xml:space="preserve"> NOTEREF _Ref266972492 \h  \* MERGEFORMAT </w:instrText>
      </w:r>
      <w:r>
        <w:fldChar w:fldCharType="separate"/>
      </w:r>
      <w:r w:rsidRPr="00E045AC">
        <w:rPr>
          <w:color w:val="auto"/>
          <w:szCs w:val="16"/>
          <w:lang w:val="en-CA"/>
        </w:rPr>
        <w:t>149</w:t>
      </w:r>
      <w:r>
        <w:fldChar w:fldCharType="end"/>
      </w:r>
      <w:r w:rsidRPr="00793101">
        <w:rPr>
          <w:color w:val="auto"/>
          <w:szCs w:val="16"/>
          <w:lang w:val="en-CA"/>
        </w:rPr>
        <w:t xml:space="preserve">. </w:t>
      </w:r>
    </w:p>
  </w:footnote>
  <w:footnote w:id="192">
    <w:p w14:paraId="164EB4B1" w14:textId="7228030A"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Optional Protocol to the CRC on the Involvement of Children in Armed Conflict, supra</w:t>
      </w:r>
      <w:r w:rsidRPr="00793101">
        <w:rPr>
          <w:color w:val="auto"/>
          <w:szCs w:val="16"/>
          <w:lang w:val="en-CA"/>
        </w:rPr>
        <w:t xml:space="preserve"> note </w:t>
      </w:r>
      <w:r>
        <w:fldChar w:fldCharType="begin"/>
      </w:r>
      <w:r>
        <w:instrText xml:space="preserve"> NOTEREF _Ref266972500 \h  \* MERGEFORMAT </w:instrText>
      </w:r>
      <w:r>
        <w:fldChar w:fldCharType="separate"/>
      </w:r>
      <w:r w:rsidRPr="00E045AC">
        <w:rPr>
          <w:color w:val="auto"/>
          <w:szCs w:val="16"/>
          <w:lang w:val="en-CA"/>
        </w:rPr>
        <w:t>150</w:t>
      </w:r>
      <w:r>
        <w:fldChar w:fldCharType="end"/>
      </w:r>
      <w:r w:rsidRPr="00793101">
        <w:rPr>
          <w:color w:val="auto"/>
          <w:szCs w:val="16"/>
          <w:lang w:val="en-CA"/>
        </w:rPr>
        <w:t xml:space="preserve">. </w:t>
      </w:r>
    </w:p>
  </w:footnote>
  <w:footnote w:id="193">
    <w:p w14:paraId="6476B72D" w14:textId="7FC3F7DC"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Amendment to the Convention on Certain Conventional Weapons, supra</w:t>
      </w:r>
      <w:r w:rsidRPr="00793101">
        <w:rPr>
          <w:color w:val="auto"/>
          <w:szCs w:val="16"/>
          <w:lang w:val="en-CA"/>
        </w:rPr>
        <w:t xml:space="preserve"> note </w:t>
      </w:r>
      <w:r>
        <w:fldChar w:fldCharType="begin"/>
      </w:r>
      <w:r>
        <w:instrText xml:space="preserve"> NOTEREF _Ref266972509 \h  \* MERGEFORMAT </w:instrText>
      </w:r>
      <w:r>
        <w:fldChar w:fldCharType="separate"/>
      </w:r>
      <w:r w:rsidRPr="00E045AC">
        <w:rPr>
          <w:color w:val="auto"/>
          <w:szCs w:val="16"/>
          <w:lang w:val="en-CA"/>
        </w:rPr>
        <w:t>152</w:t>
      </w:r>
      <w:r>
        <w:fldChar w:fldCharType="end"/>
      </w:r>
      <w:r w:rsidRPr="00793101">
        <w:rPr>
          <w:color w:val="auto"/>
          <w:szCs w:val="16"/>
          <w:lang w:val="en-CA"/>
        </w:rPr>
        <w:t>.</w:t>
      </w:r>
    </w:p>
  </w:footnote>
  <w:footnote w:id="194">
    <w:p w14:paraId="395E2120" w14:textId="167EB0EC"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The Amendment to Article 1 of the </w:t>
      </w:r>
      <w:r w:rsidRPr="00793101">
        <w:rPr>
          <w:i/>
          <w:iCs/>
          <w:color w:val="auto"/>
          <w:szCs w:val="16"/>
          <w:lang w:val="en-CA"/>
        </w:rPr>
        <w:t xml:space="preserve">Convention on Certain Conventional Weapons, </w:t>
      </w:r>
      <w:r w:rsidRPr="00793101">
        <w:rPr>
          <w:color w:val="auto"/>
          <w:szCs w:val="16"/>
          <w:lang w:val="en-CA"/>
        </w:rPr>
        <w:t xml:space="preserve">the application of the prohibition to non-international armed conflicts </w:t>
      </w:r>
      <w:r w:rsidRPr="00793101">
        <w:rPr>
          <w:i/>
          <w:iCs/>
          <w:color w:val="auto"/>
          <w:szCs w:val="16"/>
          <w:lang w:val="en-CA"/>
        </w:rPr>
        <w:t>(</w:t>
      </w:r>
      <w:r w:rsidRPr="00793101">
        <w:rPr>
          <w:iCs/>
          <w:color w:val="auto"/>
          <w:szCs w:val="16"/>
          <w:lang w:val="en-CA"/>
        </w:rPr>
        <w:t>see</w:t>
      </w:r>
      <w:r w:rsidRPr="00793101">
        <w:rPr>
          <w:i/>
          <w:iCs/>
          <w:color w:val="auto"/>
          <w:szCs w:val="16"/>
          <w:lang w:val="en-CA"/>
        </w:rPr>
        <w:t xml:space="preserve"> Amendment to the Convention on Certain Conventional Weapons, supra </w:t>
      </w:r>
      <w:r w:rsidRPr="00793101">
        <w:rPr>
          <w:iCs/>
          <w:color w:val="auto"/>
          <w:szCs w:val="16"/>
          <w:lang w:val="en-CA"/>
        </w:rPr>
        <w:t xml:space="preserve">note </w:t>
      </w:r>
      <w:r>
        <w:fldChar w:fldCharType="begin"/>
      </w:r>
      <w:r>
        <w:instrText xml:space="preserve"> NOTEREF _Ref266972509 \h  \* MERGEFORMAT </w:instrText>
      </w:r>
      <w:r>
        <w:fldChar w:fldCharType="separate"/>
      </w:r>
      <w:r w:rsidRPr="00E045AC">
        <w:rPr>
          <w:iCs/>
          <w:color w:val="auto"/>
          <w:szCs w:val="16"/>
          <w:lang w:val="en-CA"/>
        </w:rPr>
        <w:t>152</w:t>
      </w:r>
      <w:r>
        <w:fldChar w:fldCharType="end"/>
      </w:r>
      <w:r w:rsidRPr="00793101">
        <w:rPr>
          <w:iCs/>
          <w:color w:val="auto"/>
          <w:szCs w:val="16"/>
          <w:lang w:val="en-CA"/>
        </w:rPr>
        <w:t>)</w:t>
      </w:r>
      <w:r w:rsidRPr="00793101">
        <w:rPr>
          <w:color w:val="auto"/>
          <w:szCs w:val="16"/>
          <w:lang w:val="en-CA"/>
        </w:rPr>
        <w:t>.</w:t>
      </w:r>
    </w:p>
  </w:footnote>
  <w:footnote w:id="195">
    <w:p w14:paraId="6B29920D" w14:textId="2039DDA0"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gramStart"/>
      <w:r w:rsidRPr="00793101">
        <w:rPr>
          <w:i/>
          <w:color w:val="auto"/>
          <w:szCs w:val="16"/>
          <w:lang w:val="en-CA"/>
        </w:rPr>
        <w:t>Protocol V,</w:t>
      </w:r>
      <w:proofErr w:type="gramEnd"/>
      <w:r w:rsidRPr="00793101">
        <w:rPr>
          <w:i/>
          <w:color w:val="auto"/>
          <w:szCs w:val="16"/>
          <w:lang w:val="en-CA"/>
        </w:rPr>
        <w:t xml:space="preserve"> supra</w:t>
      </w:r>
      <w:r w:rsidRPr="00793101">
        <w:rPr>
          <w:color w:val="auto"/>
          <w:szCs w:val="16"/>
          <w:lang w:val="en-CA"/>
        </w:rPr>
        <w:t xml:space="preserve"> note </w:t>
      </w:r>
      <w:r>
        <w:fldChar w:fldCharType="begin"/>
      </w:r>
      <w:r>
        <w:instrText xml:space="preserve"> NOTEREF _Ref266972656 \h  \* MERGEFORMAT </w:instrText>
      </w:r>
      <w:r>
        <w:fldChar w:fldCharType="separate"/>
      </w:r>
      <w:r w:rsidRPr="00E045AC">
        <w:rPr>
          <w:color w:val="auto"/>
          <w:szCs w:val="16"/>
          <w:lang w:val="en-CA"/>
        </w:rPr>
        <w:t>154</w:t>
      </w:r>
      <w:r>
        <w:fldChar w:fldCharType="end"/>
      </w:r>
      <w:r w:rsidRPr="00793101">
        <w:rPr>
          <w:color w:val="auto"/>
          <w:szCs w:val="16"/>
          <w:lang w:val="en-CA"/>
        </w:rPr>
        <w:t xml:space="preserve">. </w:t>
      </w:r>
    </w:p>
  </w:footnote>
  <w:footnote w:id="196">
    <w:p w14:paraId="34D4FD3A" w14:textId="56486F3D"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Convention on Cluster Munitions, supra</w:t>
      </w:r>
      <w:r w:rsidRPr="00793101">
        <w:rPr>
          <w:color w:val="auto"/>
          <w:szCs w:val="16"/>
          <w:lang w:val="en-CA"/>
        </w:rPr>
        <w:t xml:space="preserve"> note </w:t>
      </w:r>
      <w:r>
        <w:fldChar w:fldCharType="begin"/>
      </w:r>
      <w:r>
        <w:instrText xml:space="preserve"> NOTEREF _Ref266972664 \h  \* MERGEFORMAT </w:instrText>
      </w:r>
      <w:r>
        <w:fldChar w:fldCharType="separate"/>
      </w:r>
      <w:r w:rsidRPr="00E045AC">
        <w:rPr>
          <w:color w:val="auto"/>
          <w:szCs w:val="16"/>
          <w:lang w:val="en-CA"/>
        </w:rPr>
        <w:t>155</w:t>
      </w:r>
      <w:r>
        <w:fldChar w:fldCharType="end"/>
      </w:r>
      <w:r w:rsidRPr="00793101">
        <w:rPr>
          <w:color w:val="auto"/>
          <w:szCs w:val="16"/>
          <w:lang w:val="en-CA"/>
        </w:rPr>
        <w:t xml:space="preserve">. </w:t>
      </w:r>
    </w:p>
  </w:footnote>
  <w:footnote w:id="197">
    <w:p w14:paraId="6A036153" w14:textId="42563EBB"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spellStart"/>
      <w:r w:rsidRPr="00793101">
        <w:rPr>
          <w:color w:val="auto"/>
          <w:szCs w:val="16"/>
          <w:lang w:val="en-CA"/>
        </w:rPr>
        <w:t>Henckaerts</w:t>
      </w:r>
      <w:proofErr w:type="spellEnd"/>
      <w:r w:rsidRPr="00793101">
        <w:rPr>
          <w:color w:val="auto"/>
          <w:szCs w:val="16"/>
          <w:lang w:val="en-CA"/>
        </w:rPr>
        <w:t xml:space="preserve"> &amp; </w:t>
      </w:r>
      <w:proofErr w:type="spellStart"/>
      <w:r w:rsidRPr="00793101">
        <w:rPr>
          <w:color w:val="auto"/>
          <w:szCs w:val="16"/>
          <w:lang w:val="en-CA"/>
        </w:rPr>
        <w:t>Doswald</w:t>
      </w:r>
      <w:proofErr w:type="spellEnd"/>
      <w:r w:rsidRPr="00793101">
        <w:rPr>
          <w:color w:val="auto"/>
          <w:szCs w:val="16"/>
          <w:lang w:val="en-CA"/>
        </w:rPr>
        <w:t xml:space="preserve">-Beck,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_Ref266970952 \h  \* MERGEFORMAT </w:instrText>
      </w:r>
      <w:r>
        <w:fldChar w:fldCharType="separate"/>
      </w:r>
      <w:r w:rsidRPr="00E045AC">
        <w:rPr>
          <w:color w:val="auto"/>
          <w:szCs w:val="16"/>
          <w:lang w:val="en-CA"/>
        </w:rPr>
        <w:t>123</w:t>
      </w:r>
      <w:r>
        <w:fldChar w:fldCharType="end"/>
      </w:r>
      <w:r w:rsidRPr="00793101">
        <w:rPr>
          <w:color w:val="auto"/>
          <w:szCs w:val="16"/>
          <w:lang w:val="en-CA"/>
        </w:rPr>
        <w:t>, Rule 73 (The use of biological weapons is prohibited).</w:t>
      </w:r>
    </w:p>
  </w:footnote>
  <w:footnote w:id="198">
    <w:p w14:paraId="1EB9A364"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74 (The use of chemical weapons is prohibited).</w:t>
      </w:r>
    </w:p>
  </w:footnote>
  <w:footnote w:id="199">
    <w:p w14:paraId="4F623ECA" w14:textId="4B180DCF" w:rsidR="00356280" w:rsidRPr="00356280" w:rsidRDefault="00356280" w:rsidP="008A0F11">
      <w:pPr>
        <w:pStyle w:val="FootnoteText"/>
        <w:spacing w:after="0" w:line="240" w:lineRule="auto"/>
        <w:rPr>
          <w:lang w:val="en-US"/>
        </w:rPr>
      </w:pPr>
      <w:r>
        <w:rPr>
          <w:rStyle w:val="FootnoteReference"/>
        </w:rPr>
        <w:footnoteRef/>
      </w:r>
      <w:r w:rsidRPr="00356280">
        <w:rPr>
          <w:lang w:val="en-US"/>
        </w:rPr>
        <w:t xml:space="preserve"> </w:t>
      </w:r>
      <w:r w:rsidRPr="00356280">
        <w:rPr>
          <w:i/>
          <w:lang w:val="en-US"/>
        </w:rPr>
        <w:t>Rome Statue</w:t>
      </w:r>
      <w:r w:rsidRPr="00356280">
        <w:rPr>
          <w:lang w:val="en-US"/>
        </w:rPr>
        <w:t xml:space="preserve">, </w:t>
      </w:r>
      <w:r w:rsidRPr="00356280">
        <w:rPr>
          <w:i/>
          <w:lang w:val="en-US"/>
        </w:rPr>
        <w:t>supra</w:t>
      </w:r>
      <w:r w:rsidRPr="00356280">
        <w:rPr>
          <w:lang w:val="en-US"/>
        </w:rPr>
        <w:t xml:space="preserve"> note 96, </w:t>
      </w:r>
      <w:r w:rsidRPr="00356280">
        <w:rPr>
          <w:color w:val="auto"/>
          <w:szCs w:val="18"/>
          <w:lang w:val="en-US"/>
        </w:rPr>
        <w:t xml:space="preserve">article </w:t>
      </w:r>
      <w:r w:rsidRPr="00356280">
        <w:rPr>
          <w:lang w:val="en-US"/>
        </w:rPr>
        <w:t>8(2)(e) (xiii).</w:t>
      </w:r>
    </w:p>
  </w:footnote>
  <w:footnote w:id="200">
    <w:p w14:paraId="52BDFEEE"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79 (The use of weapons the primary effect of which is to injure by fragments which are not detectable by X-rays in the human body is prohibited).</w:t>
      </w:r>
    </w:p>
  </w:footnote>
  <w:footnote w:id="201">
    <w:p w14:paraId="5DE9D4DD"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86 (The use of laser weapons that are specifically designed, as their combat function or as one of their combat functions, to cause permanent blindness to unenhanced vision is prohibited).</w:t>
      </w:r>
    </w:p>
  </w:footnote>
  <w:footnote w:id="202">
    <w:p w14:paraId="6E980B68"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11 (Indiscriminate attacks are prohibited); Rule 156 (Serious violations of international humanitarian law constitute war crimes).</w:t>
      </w:r>
    </w:p>
  </w:footnote>
  <w:footnote w:id="203">
    <w:p w14:paraId="59FA8EEA"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xml:space="preserve">, Rule 36 (Directing an attack against a demilitarized zone agreed upon between the parties to the conflict is prohibited), Rule 37 (Directing an attack against a non-defended locality is prohibited), and Rule 156 (Serious violations of international humanitarian law constitute war crimes). </w:t>
      </w:r>
    </w:p>
  </w:footnote>
  <w:footnote w:id="204">
    <w:p w14:paraId="7C4983D7"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97 (The use of human shields is prohibited), and Rule 156 (Serious violations of international humanitarian law constitute war crimes).</w:t>
      </w:r>
    </w:p>
  </w:footnote>
  <w:footnote w:id="205">
    <w:p w14:paraId="2B53D155"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94 (Slavery and the slave trade in all their forms are prohibited), and Rule 156 (Serious violations of international humanitarian law constitute war crimes).</w:t>
      </w:r>
    </w:p>
  </w:footnote>
  <w:footnote w:id="206">
    <w:p w14:paraId="49927807"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 Rule 103 (Collective punishments are prohibited), and Rule 156 (Serious violations of international humanitarian law constitute war crimes).</w:t>
      </w:r>
    </w:p>
  </w:footnote>
  <w:footnote w:id="207">
    <w:p w14:paraId="13138FB2"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The Review Conference of the Rome Statute adopted an amendment to Article 8(2)(e) to make the use of this weapon in non-international armed conflict a war crime. </w:t>
      </w:r>
      <w:r w:rsidRPr="00793101">
        <w:rPr>
          <w:i/>
          <w:color w:val="auto"/>
          <w:szCs w:val="16"/>
          <w:lang w:val="en-CA"/>
        </w:rPr>
        <w:t>Amendments to article 8 of the Rome Statute,</w:t>
      </w:r>
      <w:r w:rsidRPr="00793101">
        <w:rPr>
          <w:iCs/>
          <w:color w:val="auto"/>
          <w:szCs w:val="16"/>
          <w:lang w:val="en-CA"/>
        </w:rPr>
        <w:t>10 June 2010 RC/ Res5 (entered into force 26 September 2012).</w:t>
      </w:r>
    </w:p>
  </w:footnote>
  <w:footnote w:id="208">
    <w:p w14:paraId="48B8D509" w14:textId="135BCFFA" w:rsidR="00356280" w:rsidRPr="00356280" w:rsidRDefault="00356280" w:rsidP="00AA6144">
      <w:pPr>
        <w:pStyle w:val="FootnoteText"/>
        <w:spacing w:after="0" w:line="240" w:lineRule="auto"/>
        <w:rPr>
          <w:lang w:val="en-US"/>
        </w:rPr>
      </w:pPr>
      <w:r>
        <w:rPr>
          <w:rStyle w:val="FootnoteReference"/>
        </w:rPr>
        <w:footnoteRef/>
      </w:r>
      <w:r w:rsidRPr="00356280">
        <w:rPr>
          <w:lang w:val="en-US"/>
        </w:rPr>
        <w:t xml:space="preserve"> </w:t>
      </w:r>
      <w:r w:rsidRPr="00356280">
        <w:rPr>
          <w:i/>
          <w:lang w:val="en-US"/>
        </w:rPr>
        <w:t>Rome Statue</w:t>
      </w:r>
      <w:r w:rsidRPr="00356280">
        <w:rPr>
          <w:lang w:val="en-US"/>
        </w:rPr>
        <w:t xml:space="preserve">, </w:t>
      </w:r>
      <w:r w:rsidRPr="00356280">
        <w:rPr>
          <w:i/>
          <w:lang w:val="en-US"/>
        </w:rPr>
        <w:t>supra</w:t>
      </w:r>
      <w:r w:rsidRPr="00356280">
        <w:rPr>
          <w:lang w:val="en-US"/>
        </w:rPr>
        <w:t xml:space="preserve"> note 96, </w:t>
      </w:r>
      <w:r w:rsidRPr="00356280">
        <w:rPr>
          <w:color w:val="auto"/>
          <w:szCs w:val="18"/>
          <w:lang w:val="en-US"/>
        </w:rPr>
        <w:t xml:space="preserve">article </w:t>
      </w:r>
      <w:r w:rsidRPr="00356280">
        <w:rPr>
          <w:lang w:val="en-US"/>
        </w:rPr>
        <w:t>8(2)(e) (xiii)-(xiv).</w:t>
      </w:r>
    </w:p>
  </w:footnote>
  <w:footnote w:id="209">
    <w:p w14:paraId="707C4966" w14:textId="06859AF4" w:rsidR="00356280" w:rsidRPr="00793101" w:rsidRDefault="00356280" w:rsidP="00F529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Amendments to article 8 of the Rome Statute</w:t>
      </w:r>
      <w:r>
        <w:rPr>
          <w:i/>
          <w:color w:val="auto"/>
          <w:szCs w:val="16"/>
          <w:lang w:val="en-CA"/>
        </w:rPr>
        <w:t>, supra</w:t>
      </w:r>
      <w:r>
        <w:rPr>
          <w:color w:val="auto"/>
          <w:szCs w:val="16"/>
          <w:lang w:val="en-CA"/>
        </w:rPr>
        <w:t xml:space="preserve"> note 203.</w:t>
      </w:r>
    </w:p>
  </w:footnote>
  <w:footnote w:id="210">
    <w:p w14:paraId="38F15925" w14:textId="5950CB79" w:rsidR="00356280" w:rsidRPr="00356280" w:rsidRDefault="00356280" w:rsidP="00AA6144">
      <w:pPr>
        <w:pStyle w:val="FootnoteText"/>
        <w:spacing w:after="0" w:line="240" w:lineRule="auto"/>
        <w:rPr>
          <w:lang w:val="en-US"/>
        </w:rPr>
      </w:pPr>
      <w:r>
        <w:rPr>
          <w:rStyle w:val="FootnoteReference"/>
        </w:rPr>
        <w:footnoteRef/>
      </w:r>
      <w:r w:rsidRPr="00356280">
        <w:rPr>
          <w:lang w:val="en-US"/>
        </w:rPr>
        <w:t xml:space="preserve"> </w:t>
      </w:r>
      <w:r w:rsidRPr="00356280">
        <w:rPr>
          <w:i/>
          <w:lang w:val="en-US"/>
        </w:rPr>
        <w:t>Rome Statue</w:t>
      </w:r>
      <w:r w:rsidRPr="00356280">
        <w:rPr>
          <w:lang w:val="en-US"/>
        </w:rPr>
        <w:t xml:space="preserve">, </w:t>
      </w:r>
      <w:r w:rsidRPr="00356280">
        <w:rPr>
          <w:i/>
          <w:lang w:val="en-US"/>
        </w:rPr>
        <w:t>supra</w:t>
      </w:r>
      <w:r w:rsidRPr="00356280">
        <w:rPr>
          <w:lang w:val="en-US"/>
        </w:rPr>
        <w:t xml:space="preserve"> note 96, </w:t>
      </w:r>
      <w:r w:rsidRPr="00356280">
        <w:rPr>
          <w:color w:val="auto"/>
          <w:szCs w:val="18"/>
          <w:lang w:val="en-US"/>
        </w:rPr>
        <w:t xml:space="preserve">article </w:t>
      </w:r>
      <w:r w:rsidRPr="00356280">
        <w:rPr>
          <w:lang w:val="en-US"/>
        </w:rPr>
        <w:t>8(2)(e)(xiii)-(</w:t>
      </w:r>
      <w:proofErr w:type="spellStart"/>
      <w:r w:rsidRPr="00356280">
        <w:rPr>
          <w:lang w:val="en-US"/>
        </w:rPr>
        <w:t>xic</w:t>
      </w:r>
      <w:proofErr w:type="spellEnd"/>
      <w:r w:rsidRPr="00356280">
        <w:rPr>
          <w:lang w:val="en-US"/>
        </w:rPr>
        <w:t>).</w:t>
      </w:r>
    </w:p>
  </w:footnote>
  <w:footnote w:id="211">
    <w:p w14:paraId="6B18AE8F" w14:textId="4E9638F7" w:rsidR="00356280" w:rsidRPr="00793101" w:rsidRDefault="00356280" w:rsidP="00F529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Amendments to article 8 of the Rome Statute</w:t>
      </w:r>
      <w:r>
        <w:rPr>
          <w:i/>
          <w:color w:val="auto"/>
          <w:szCs w:val="16"/>
          <w:lang w:val="en-CA"/>
        </w:rPr>
        <w:t>, supra</w:t>
      </w:r>
      <w:r>
        <w:rPr>
          <w:color w:val="auto"/>
          <w:szCs w:val="16"/>
          <w:lang w:val="en-CA"/>
        </w:rPr>
        <w:t xml:space="preserve"> note 203.</w:t>
      </w:r>
    </w:p>
  </w:footnote>
  <w:footnote w:id="212">
    <w:p w14:paraId="516CEFD3" w14:textId="444655A7" w:rsidR="00356280" w:rsidRPr="00356280" w:rsidRDefault="00356280" w:rsidP="00AA6144">
      <w:pPr>
        <w:pStyle w:val="FootnoteText"/>
        <w:spacing w:after="0" w:line="240" w:lineRule="auto"/>
        <w:rPr>
          <w:lang w:val="en-US"/>
        </w:rPr>
      </w:pPr>
      <w:r>
        <w:rPr>
          <w:rStyle w:val="FootnoteReference"/>
        </w:rPr>
        <w:footnoteRef/>
      </w:r>
      <w:r w:rsidRPr="00356280">
        <w:rPr>
          <w:lang w:val="en-US"/>
        </w:rPr>
        <w:t xml:space="preserve"> </w:t>
      </w:r>
      <w:r w:rsidRPr="00356280">
        <w:rPr>
          <w:i/>
          <w:lang w:val="en-US"/>
        </w:rPr>
        <w:t>Rome Statue</w:t>
      </w:r>
      <w:r w:rsidRPr="00356280">
        <w:rPr>
          <w:lang w:val="en-US"/>
        </w:rPr>
        <w:t xml:space="preserve">, </w:t>
      </w:r>
      <w:r w:rsidRPr="00356280">
        <w:rPr>
          <w:i/>
          <w:lang w:val="en-US"/>
        </w:rPr>
        <w:t>supra</w:t>
      </w:r>
      <w:r w:rsidRPr="00356280">
        <w:rPr>
          <w:lang w:val="en-US"/>
        </w:rPr>
        <w:t xml:space="preserve"> note 96, </w:t>
      </w:r>
      <w:r w:rsidRPr="00356280">
        <w:rPr>
          <w:color w:val="auto"/>
          <w:szCs w:val="18"/>
          <w:lang w:val="en-US"/>
        </w:rPr>
        <w:t xml:space="preserve">article </w:t>
      </w:r>
      <w:r w:rsidRPr="00356280">
        <w:rPr>
          <w:lang w:val="en-US"/>
        </w:rPr>
        <w:t>8(2)(e)(xv).</w:t>
      </w:r>
    </w:p>
  </w:footnote>
  <w:footnote w:id="213">
    <w:p w14:paraId="2CEDA25B" w14:textId="77777777" w:rsidR="00356280" w:rsidRPr="00793101" w:rsidRDefault="00356280" w:rsidP="00F529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For the scope of crimes against humanity, see </w:t>
      </w:r>
      <w:proofErr w:type="spellStart"/>
      <w:r w:rsidRPr="00793101">
        <w:rPr>
          <w:color w:val="auto"/>
          <w:szCs w:val="16"/>
          <w:lang w:val="en-CA"/>
        </w:rPr>
        <w:t>Machteld</w:t>
      </w:r>
      <w:proofErr w:type="spellEnd"/>
      <w:r w:rsidRPr="00793101">
        <w:rPr>
          <w:color w:val="auto"/>
          <w:szCs w:val="16"/>
          <w:lang w:val="en-CA"/>
        </w:rPr>
        <w:t xml:space="preserve"> Boot, Rodney Dixon &amp; Christopher K. Hall, “Article 7 (Crimes Against Humanity)” in Otto </w:t>
      </w:r>
      <w:proofErr w:type="spellStart"/>
      <w:r w:rsidRPr="00793101">
        <w:rPr>
          <w:color w:val="auto"/>
          <w:szCs w:val="16"/>
          <w:lang w:val="en-CA"/>
        </w:rPr>
        <w:t>Triffterer</w:t>
      </w:r>
      <w:proofErr w:type="spellEnd"/>
      <w:r w:rsidRPr="00793101">
        <w:rPr>
          <w:color w:val="auto"/>
          <w:szCs w:val="16"/>
          <w:lang w:val="en-CA"/>
        </w:rPr>
        <w:t xml:space="preserve">, ed, </w:t>
      </w:r>
      <w:r w:rsidRPr="00793101">
        <w:rPr>
          <w:i/>
          <w:iCs/>
          <w:color w:val="auto"/>
          <w:szCs w:val="16"/>
          <w:lang w:val="en-CA"/>
        </w:rPr>
        <w:t>Commentary on the Rome Statute of the International Criminal Court: Observers` Notes, Article by Article</w:t>
      </w:r>
      <w:r w:rsidRPr="00793101">
        <w:rPr>
          <w:color w:val="auto"/>
          <w:szCs w:val="16"/>
          <w:lang w:val="en-CA"/>
        </w:rPr>
        <w:t>, (Munich: C. H. Beck; Oxford: Hart &amp; Baden-Baden: Nomos, 2008) at 183.</w:t>
      </w:r>
    </w:p>
  </w:footnote>
  <w:footnote w:id="214">
    <w:p w14:paraId="337A4105" w14:textId="0A7832B0"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Crimes Against Humanity and War Crimes Act</w:t>
      </w:r>
      <w:r w:rsidRPr="00793101">
        <w:rPr>
          <w:color w:val="auto"/>
          <w:szCs w:val="16"/>
          <w:lang w:val="en-CA"/>
        </w:rPr>
        <w:t xml:space="preserve">, supra note </w:t>
      </w:r>
      <w:r>
        <w:fldChar w:fldCharType="begin"/>
      </w:r>
      <w:r>
        <w:instrText xml:space="preserve"> NOTEREF _Ref266965596 \h  \* MERGEFORMAT </w:instrText>
      </w:r>
      <w:r>
        <w:fldChar w:fldCharType="separate"/>
      </w:r>
      <w:r>
        <w:t>12</w:t>
      </w:r>
      <w:r>
        <w:fldChar w:fldCharType="end"/>
      </w:r>
      <w:r w:rsidRPr="00793101">
        <w:rPr>
          <w:color w:val="auto"/>
          <w:szCs w:val="16"/>
          <w:lang w:val="en-CA"/>
        </w:rPr>
        <w:t>, s 8.</w:t>
      </w:r>
    </w:p>
  </w:footnote>
  <w:footnote w:id="215">
    <w:p w14:paraId="741D2CFD" w14:textId="77777777" w:rsidR="00356280" w:rsidRPr="007B53D3" w:rsidRDefault="00356280" w:rsidP="00577407">
      <w:pPr>
        <w:pStyle w:val="FootnoteText"/>
        <w:spacing w:after="0" w:line="240" w:lineRule="auto"/>
        <w:rPr>
          <w:szCs w:val="16"/>
          <w:lang w:val="es-AR"/>
        </w:rPr>
      </w:pPr>
      <w:r w:rsidRPr="00793101">
        <w:rPr>
          <w:rStyle w:val="FootnoteReference"/>
          <w:szCs w:val="16"/>
        </w:rPr>
        <w:footnoteRef/>
      </w:r>
      <w:r w:rsidRPr="007B53D3">
        <w:rPr>
          <w:i/>
          <w:szCs w:val="16"/>
          <w:lang w:val="es-AR"/>
        </w:rPr>
        <w:t xml:space="preserve"> </w:t>
      </w:r>
      <w:proofErr w:type="spellStart"/>
      <w:r w:rsidRPr="007B53D3">
        <w:rPr>
          <w:i/>
          <w:szCs w:val="16"/>
          <w:lang w:val="es-AR"/>
        </w:rPr>
        <w:t>Ibid</w:t>
      </w:r>
      <w:proofErr w:type="spellEnd"/>
      <w:r w:rsidRPr="007B53D3">
        <w:rPr>
          <w:szCs w:val="16"/>
          <w:lang w:val="es-AR"/>
        </w:rPr>
        <w:t>, s 6(3).</w:t>
      </w:r>
    </w:p>
  </w:footnote>
  <w:footnote w:id="216">
    <w:p w14:paraId="11B35747" w14:textId="2AA041B4" w:rsidR="00356280" w:rsidRPr="007B53D3" w:rsidRDefault="00356280" w:rsidP="00AA6144">
      <w:pPr>
        <w:pStyle w:val="FootnoteText"/>
        <w:spacing w:after="0" w:line="240" w:lineRule="auto"/>
        <w:rPr>
          <w:lang w:val="es-AR"/>
        </w:rPr>
      </w:pPr>
      <w:r w:rsidRPr="00577407">
        <w:rPr>
          <w:rStyle w:val="FootnoteReference"/>
        </w:rPr>
        <w:footnoteRef/>
      </w:r>
      <w:r w:rsidRPr="007B53D3">
        <w:rPr>
          <w:lang w:val="es-AR"/>
        </w:rPr>
        <w:t xml:space="preserve"> </w:t>
      </w:r>
      <w:r w:rsidRPr="007B53D3">
        <w:rPr>
          <w:i/>
          <w:lang w:val="es-AR"/>
        </w:rPr>
        <w:t xml:space="preserve">R c. </w:t>
      </w:r>
      <w:proofErr w:type="spellStart"/>
      <w:r w:rsidRPr="007B53D3">
        <w:rPr>
          <w:i/>
          <w:lang w:val="es-AR"/>
        </w:rPr>
        <w:t>Munyaneza</w:t>
      </w:r>
      <w:proofErr w:type="spellEnd"/>
      <w:r w:rsidRPr="007B53D3">
        <w:rPr>
          <w:i/>
          <w:lang w:val="es-AR"/>
        </w:rPr>
        <w:t xml:space="preserve"> </w:t>
      </w:r>
      <w:r w:rsidRPr="007B53D3">
        <w:rPr>
          <w:lang w:val="es-AR"/>
        </w:rPr>
        <w:t xml:space="preserve">(2014), QCCA 904 </w:t>
      </w:r>
      <w:r w:rsidRPr="007B53D3">
        <w:rPr>
          <w:color w:val="auto"/>
          <w:szCs w:val="16"/>
          <w:lang w:val="es-AR"/>
        </w:rPr>
        <w:t>[</w:t>
      </w:r>
      <w:proofErr w:type="spellStart"/>
      <w:r w:rsidRPr="007B53D3">
        <w:rPr>
          <w:i/>
          <w:color w:val="auto"/>
          <w:szCs w:val="16"/>
          <w:lang w:val="es-AR"/>
        </w:rPr>
        <w:t>Munyaneza</w:t>
      </w:r>
      <w:proofErr w:type="spellEnd"/>
      <w:r w:rsidRPr="007B53D3">
        <w:rPr>
          <w:color w:val="auto"/>
          <w:szCs w:val="16"/>
          <w:lang w:val="es-AR"/>
        </w:rPr>
        <w:t>]</w:t>
      </w:r>
      <w:r w:rsidRPr="007B53D3">
        <w:rPr>
          <w:szCs w:val="16"/>
          <w:lang w:val="es-AR"/>
        </w:rPr>
        <w:t>.</w:t>
      </w:r>
    </w:p>
  </w:footnote>
  <w:footnote w:id="217">
    <w:p w14:paraId="1E53CD63" w14:textId="77777777" w:rsidR="00356280" w:rsidRPr="00793101" w:rsidRDefault="00356280" w:rsidP="00577407">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spellStart"/>
      <w:r w:rsidRPr="00793101">
        <w:rPr>
          <w:i/>
          <w:color w:val="auto"/>
          <w:szCs w:val="16"/>
          <w:lang w:val="en-CA"/>
        </w:rPr>
        <w:t>Mugesera</w:t>
      </w:r>
      <w:proofErr w:type="spellEnd"/>
      <w:r w:rsidRPr="00793101">
        <w:rPr>
          <w:i/>
          <w:color w:val="auto"/>
          <w:szCs w:val="16"/>
          <w:lang w:val="en-CA"/>
        </w:rPr>
        <w:t xml:space="preserve"> v Canada (Minister of Citizenship and Immigration)</w:t>
      </w:r>
      <w:r w:rsidRPr="00793101">
        <w:rPr>
          <w:color w:val="auto"/>
          <w:szCs w:val="16"/>
          <w:lang w:val="en-CA"/>
        </w:rPr>
        <w:t>, [2005] 2 SCR 100 [</w:t>
      </w:r>
      <w:proofErr w:type="spellStart"/>
      <w:r w:rsidRPr="00793101">
        <w:rPr>
          <w:i/>
          <w:color w:val="auto"/>
          <w:szCs w:val="16"/>
          <w:lang w:val="en-CA"/>
        </w:rPr>
        <w:t>Mugesera</w:t>
      </w:r>
      <w:proofErr w:type="spellEnd"/>
      <w:r w:rsidRPr="00793101">
        <w:rPr>
          <w:color w:val="auto"/>
          <w:szCs w:val="16"/>
          <w:lang w:val="en-CA"/>
        </w:rPr>
        <w:t>].</w:t>
      </w:r>
    </w:p>
  </w:footnote>
  <w:footnote w:id="218">
    <w:p w14:paraId="0FFB22F6"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at para 128.</w:t>
      </w:r>
    </w:p>
  </w:footnote>
  <w:footnote w:id="219">
    <w:p w14:paraId="30790299"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Ibid at para 153.</w:t>
      </w:r>
    </w:p>
  </w:footnote>
  <w:footnote w:id="220">
    <w:p w14:paraId="2D656925" w14:textId="77777777"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at para 154.</w:t>
      </w:r>
    </w:p>
  </w:footnote>
  <w:footnote w:id="221">
    <w:p w14:paraId="267F87CF"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at para 161.</w:t>
      </w:r>
    </w:p>
  </w:footnote>
  <w:footnote w:id="222">
    <w:p w14:paraId="0589E21A"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at paras 174 and 176,</w:t>
      </w:r>
    </w:p>
  </w:footnote>
  <w:footnote w:id="223">
    <w:p w14:paraId="15B3A104" w14:textId="082D96E5"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Fannie Lafontaine, “Canada’s Crimes against Humanity and War Crimes Act on Trial: An Analysis of the </w:t>
      </w:r>
      <w:proofErr w:type="spellStart"/>
      <w:r w:rsidRPr="00793101">
        <w:rPr>
          <w:i/>
          <w:color w:val="auto"/>
          <w:szCs w:val="16"/>
          <w:lang w:val="en-CA"/>
        </w:rPr>
        <w:t>Munyaneza</w:t>
      </w:r>
      <w:proofErr w:type="spellEnd"/>
      <w:r w:rsidRPr="00793101">
        <w:rPr>
          <w:color w:val="auto"/>
          <w:szCs w:val="16"/>
          <w:lang w:val="en-CA"/>
        </w:rPr>
        <w:t xml:space="preserve"> case” (2010) 8 Journal of International Criminal Justice 269 at 180, citing </w:t>
      </w:r>
      <w:proofErr w:type="spellStart"/>
      <w:r w:rsidRPr="00793101">
        <w:rPr>
          <w:i/>
          <w:color w:val="auto"/>
          <w:szCs w:val="16"/>
          <w:lang w:val="en-CA"/>
        </w:rPr>
        <w:t>Mugesera</w:t>
      </w:r>
      <w:proofErr w:type="spellEnd"/>
      <w:r w:rsidRPr="00793101">
        <w:rPr>
          <w:i/>
          <w:color w:val="auto"/>
          <w:szCs w:val="16"/>
          <w:lang w:val="en-CA"/>
        </w:rPr>
        <w:t xml:space="preserve">, supra </w:t>
      </w:r>
      <w:r w:rsidRPr="00793101">
        <w:rPr>
          <w:color w:val="auto"/>
          <w:szCs w:val="16"/>
          <w:lang w:val="en-CA"/>
        </w:rPr>
        <w:t xml:space="preserve">note </w:t>
      </w:r>
      <w:r>
        <w:fldChar w:fldCharType="begin"/>
      </w:r>
      <w:r>
        <w:instrText xml:space="preserve"> NOTEREF _Ref266972936 \h  \* MERGEFORMAT </w:instrText>
      </w:r>
      <w:r>
        <w:fldChar w:fldCharType="separate"/>
      </w:r>
      <w:r w:rsidRPr="00E045AC">
        <w:rPr>
          <w:color w:val="auto"/>
          <w:szCs w:val="16"/>
          <w:lang w:val="en-CA"/>
        </w:rPr>
        <w:t>217</w:t>
      </w:r>
      <w:r>
        <w:fldChar w:fldCharType="end"/>
      </w:r>
      <w:r w:rsidRPr="00793101">
        <w:rPr>
          <w:color w:val="auto"/>
          <w:szCs w:val="16"/>
          <w:lang w:val="en-CA"/>
        </w:rPr>
        <w:t xml:space="preserve"> at para 118.</w:t>
      </w:r>
    </w:p>
  </w:footnote>
  <w:footnote w:id="224">
    <w:p w14:paraId="2734D851" w14:textId="711CC5A8" w:rsidR="00356280" w:rsidRPr="00793101" w:rsidRDefault="00356280" w:rsidP="00881DFE">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Lafontaine,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_Ref265358056 \h  \* MERGEFORMAT </w:instrText>
      </w:r>
      <w:r>
        <w:fldChar w:fldCharType="separate"/>
      </w:r>
      <w:r w:rsidRPr="00E045AC">
        <w:rPr>
          <w:color w:val="auto"/>
          <w:szCs w:val="16"/>
          <w:lang w:val="en-CA"/>
        </w:rPr>
        <w:t>98</w:t>
      </w:r>
      <w:r>
        <w:fldChar w:fldCharType="end"/>
      </w:r>
      <w:r w:rsidRPr="00793101">
        <w:rPr>
          <w:color w:val="auto"/>
          <w:szCs w:val="16"/>
          <w:lang w:val="en-CA"/>
        </w:rPr>
        <w:t xml:space="preserve"> at 138.</w:t>
      </w:r>
    </w:p>
  </w:footnote>
  <w:footnote w:id="225">
    <w:p w14:paraId="315B684E" w14:textId="77777777" w:rsidR="00356280" w:rsidRPr="00793101" w:rsidRDefault="00356280" w:rsidP="00816C13">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Ibid</w:t>
      </w:r>
      <w:r w:rsidRPr="00793101">
        <w:rPr>
          <w:color w:val="auto"/>
          <w:szCs w:val="16"/>
          <w:lang w:val="en-CA"/>
        </w:rPr>
        <w:t>.</w:t>
      </w:r>
    </w:p>
  </w:footnote>
  <w:footnote w:id="226">
    <w:p w14:paraId="27A72DEA" w14:textId="553B7C3B" w:rsidR="00356280" w:rsidRPr="0061257E" w:rsidRDefault="00356280" w:rsidP="00AA6144">
      <w:pPr>
        <w:pStyle w:val="FootnoteText"/>
        <w:spacing w:after="0" w:line="240" w:lineRule="auto"/>
      </w:pPr>
      <w:r w:rsidRPr="00881DFE">
        <w:rPr>
          <w:rStyle w:val="FootnoteReference"/>
        </w:rPr>
        <w:footnoteRef/>
      </w:r>
      <w:r w:rsidRPr="00881DFE">
        <w:t xml:space="preserve"> Given the fact that enforced disappearance in article 7(2((</w:t>
      </w:r>
      <w:proofErr w:type="spellStart"/>
      <w:r w:rsidRPr="00881DFE">
        <w:t>i</w:t>
      </w:r>
      <w:proofErr w:type="spellEnd"/>
      <w:r w:rsidRPr="00881DFE">
        <w:t>) of the Rome Statute includes within its definition arrest and detention (followed by other elements for this crime) one could also argue that it partially subsumed within article 7(1)(e), which refers to imprisonment; similarly</w:t>
      </w:r>
      <w:r>
        <w:t>,</w:t>
      </w:r>
      <w:r w:rsidRPr="00881DFE">
        <w:t xml:space="preserve"> with apartheid, which definition in article 7(2)(h) starts with inhumane acts. These two crimes have not been subject to any interpretation at the international criminal jurisprudence although enforced disappearance has been interpreted by international human rights courts</w:t>
      </w:r>
      <w:r w:rsidRPr="00AA6144">
        <w:t xml:space="preserve">. </w:t>
      </w:r>
    </w:p>
  </w:footnote>
  <w:footnote w:id="227">
    <w:p w14:paraId="1ABD39C0" w14:textId="77777777" w:rsidR="00356280" w:rsidRPr="00793101" w:rsidRDefault="00356280" w:rsidP="00881DFE">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International Convention for the Protection of All Persons from Enforced Disappearance</w:t>
      </w:r>
      <w:r w:rsidRPr="00793101">
        <w:rPr>
          <w:color w:val="auto"/>
          <w:szCs w:val="16"/>
          <w:lang w:val="en-CA"/>
        </w:rPr>
        <w:t>, 20 December 2006 UNTS 2715 (entered into force 23 December 2010) [</w:t>
      </w:r>
      <w:r w:rsidRPr="00793101">
        <w:rPr>
          <w:i/>
          <w:color w:val="auto"/>
          <w:szCs w:val="16"/>
          <w:lang w:val="en-CA"/>
        </w:rPr>
        <w:t>Disappearance Convention</w:t>
      </w:r>
      <w:r w:rsidRPr="00793101">
        <w:rPr>
          <w:color w:val="auto"/>
          <w:szCs w:val="16"/>
          <w:lang w:val="en-CA"/>
        </w:rPr>
        <w:t xml:space="preserve">]; and </w:t>
      </w:r>
      <w:r w:rsidRPr="00793101">
        <w:rPr>
          <w:i/>
          <w:color w:val="auto"/>
          <w:szCs w:val="16"/>
          <w:lang w:val="en-CA"/>
        </w:rPr>
        <w:t>International Convention on the Suppression and Punishment of the Crime of Apartheid</w:t>
      </w:r>
      <w:r w:rsidRPr="00793101">
        <w:rPr>
          <w:color w:val="auto"/>
          <w:szCs w:val="16"/>
          <w:lang w:val="en-CA"/>
        </w:rPr>
        <w:t>, 30 November 1973, 1015 UNTS 243 (entered into force 18 July 1976).</w:t>
      </w:r>
    </w:p>
  </w:footnote>
  <w:footnote w:id="228">
    <w:p w14:paraId="685D442D" w14:textId="494385C9"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Lafontaine,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_Ref265358056 \h  \* MERGEFORMAT </w:instrText>
      </w:r>
      <w:r>
        <w:fldChar w:fldCharType="separate"/>
      </w:r>
      <w:r w:rsidRPr="00E045AC">
        <w:rPr>
          <w:color w:val="auto"/>
          <w:szCs w:val="16"/>
          <w:lang w:val="en-CA"/>
        </w:rPr>
        <w:t>98</w:t>
      </w:r>
      <w:r>
        <w:fldChar w:fldCharType="end"/>
      </w:r>
      <w:r w:rsidRPr="00793101">
        <w:rPr>
          <w:color w:val="auto"/>
          <w:szCs w:val="16"/>
          <w:lang w:val="en-CA"/>
        </w:rPr>
        <w:t xml:space="preserve"> at 189. See also </w:t>
      </w:r>
      <w:r w:rsidRPr="00793101">
        <w:rPr>
          <w:i/>
          <w:color w:val="auto"/>
          <w:szCs w:val="16"/>
          <w:lang w:val="en-CA"/>
        </w:rPr>
        <w:t xml:space="preserve">Crimes Against Humanity and War Crimes Act, supra </w:t>
      </w:r>
      <w:r w:rsidRPr="00793101">
        <w:rPr>
          <w:color w:val="auto"/>
          <w:szCs w:val="16"/>
          <w:lang w:val="en-CA"/>
        </w:rPr>
        <w:t xml:space="preserve">note </w:t>
      </w:r>
      <w:r>
        <w:fldChar w:fldCharType="begin"/>
      </w:r>
      <w:r>
        <w:instrText xml:space="preserve"> NOTEREF _Ref266965596 \h  \* MERGEFORMAT </w:instrText>
      </w:r>
      <w:r>
        <w:fldChar w:fldCharType="separate"/>
      </w:r>
      <w:r>
        <w:t>12</w:t>
      </w:r>
      <w:r>
        <w:fldChar w:fldCharType="end"/>
      </w:r>
      <w:r w:rsidRPr="00793101">
        <w:rPr>
          <w:color w:val="auto"/>
          <w:szCs w:val="16"/>
          <w:lang w:val="en-CA"/>
        </w:rPr>
        <w:t>, s 6(3).</w:t>
      </w:r>
    </w:p>
  </w:footnote>
  <w:footnote w:id="229">
    <w:p w14:paraId="5D0D72D9"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Ibid </w:t>
      </w:r>
      <w:r w:rsidRPr="00793101">
        <w:rPr>
          <w:color w:val="auto"/>
          <w:szCs w:val="16"/>
          <w:lang w:val="en-CA"/>
        </w:rPr>
        <w:t>at 190.</w:t>
      </w:r>
    </w:p>
  </w:footnote>
  <w:footnote w:id="230">
    <w:p w14:paraId="67FBDC60"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p>
  </w:footnote>
  <w:footnote w:id="231">
    <w:p w14:paraId="44423E25"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i/>
          <w:color w:val="auto"/>
          <w:szCs w:val="16"/>
          <w:lang w:val="en-CA"/>
        </w:rPr>
        <w:t>Ibid.</w:t>
      </w:r>
    </w:p>
  </w:footnote>
  <w:footnote w:id="232">
    <w:p w14:paraId="3C56E12A" w14:textId="76A5D062" w:rsidR="00356280" w:rsidRPr="00793101" w:rsidRDefault="00356280" w:rsidP="00F5294D">
      <w:pPr>
        <w:pStyle w:val="FootnoteText"/>
        <w:spacing w:after="0" w:line="240" w:lineRule="auto"/>
        <w:jc w:val="both"/>
        <w:rPr>
          <w:color w:val="auto"/>
          <w:szCs w:val="16"/>
          <w:lang w:val="en-CA"/>
        </w:rPr>
      </w:pPr>
      <w:r w:rsidRPr="00793101">
        <w:rPr>
          <w:rStyle w:val="FootnoteReference"/>
          <w:szCs w:val="16"/>
          <w:lang w:val="en-CA"/>
        </w:rPr>
        <w:footnoteRef/>
      </w:r>
      <w:r w:rsidRPr="00793101">
        <w:rPr>
          <w:szCs w:val="16"/>
          <w:lang w:val="en-CA"/>
        </w:rPr>
        <w:t xml:space="preserve"> </w:t>
      </w:r>
      <w:r w:rsidRPr="00577407">
        <w:rPr>
          <w:i/>
          <w:szCs w:val="16"/>
          <w:lang w:val="en-CA"/>
        </w:rPr>
        <w:t xml:space="preserve"> </w:t>
      </w:r>
      <w:r w:rsidRPr="00793101">
        <w:rPr>
          <w:i/>
          <w:szCs w:val="16"/>
          <w:lang w:val="en-CA"/>
        </w:rPr>
        <w:t xml:space="preserve">R c </w:t>
      </w:r>
      <w:proofErr w:type="spellStart"/>
      <w:r w:rsidRPr="00793101">
        <w:rPr>
          <w:i/>
          <w:szCs w:val="16"/>
          <w:lang w:val="en-CA"/>
        </w:rPr>
        <w:t>Munyaneza</w:t>
      </w:r>
      <w:proofErr w:type="spellEnd"/>
      <w:r w:rsidRPr="00793101">
        <w:rPr>
          <w:szCs w:val="16"/>
          <w:lang w:val="en-CA"/>
        </w:rPr>
        <w:t xml:space="preserve"> (</w:t>
      </w:r>
      <w:r w:rsidRPr="00793101">
        <w:rPr>
          <w:szCs w:val="16"/>
          <w:lang w:val="en-US"/>
        </w:rPr>
        <w:t>2006)</w:t>
      </w:r>
      <w:r>
        <w:rPr>
          <w:szCs w:val="16"/>
          <w:lang w:val="en-US"/>
        </w:rPr>
        <w:t xml:space="preserve">, </w:t>
      </w:r>
      <w:r w:rsidRPr="00793101">
        <w:rPr>
          <w:szCs w:val="16"/>
          <w:lang w:val="en-US"/>
        </w:rPr>
        <w:t xml:space="preserve">QCCS </w:t>
      </w:r>
      <w:proofErr w:type="gramStart"/>
      <w:r w:rsidRPr="00793101">
        <w:rPr>
          <w:szCs w:val="16"/>
          <w:lang w:val="en-US"/>
        </w:rPr>
        <w:t xml:space="preserve">8007 </w:t>
      </w:r>
      <w:r>
        <w:rPr>
          <w:szCs w:val="16"/>
          <w:lang w:val="en-CA"/>
        </w:rPr>
        <w:t>.</w:t>
      </w:r>
      <w:proofErr w:type="gramEnd"/>
      <w:r>
        <w:rPr>
          <w:szCs w:val="16"/>
          <w:lang w:val="en-CA"/>
        </w:rPr>
        <w:t xml:space="preserve"> </w:t>
      </w:r>
      <w:r w:rsidRPr="00793101">
        <w:rPr>
          <w:szCs w:val="16"/>
          <w:lang w:val="en-CA"/>
        </w:rPr>
        <w:t xml:space="preserve">For commentary see </w:t>
      </w:r>
      <w:r w:rsidRPr="00793101">
        <w:rPr>
          <w:i/>
          <w:color w:val="auto"/>
          <w:szCs w:val="16"/>
          <w:lang w:val="en-CA"/>
        </w:rPr>
        <w:t>Lafontaine</w:t>
      </w:r>
      <w:r w:rsidRPr="00793101">
        <w:rPr>
          <w:color w:val="auto"/>
          <w:szCs w:val="16"/>
          <w:lang w:val="en-CA"/>
        </w:rPr>
        <w:t xml:space="preserv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_Ref265358056 \h  \* MERGEFORMAT </w:instrText>
      </w:r>
      <w:r>
        <w:fldChar w:fldCharType="separate"/>
      </w:r>
      <w:r w:rsidRPr="00E045AC">
        <w:rPr>
          <w:color w:val="auto"/>
          <w:szCs w:val="16"/>
          <w:lang w:val="en-CA"/>
        </w:rPr>
        <w:t>98</w:t>
      </w:r>
      <w:r>
        <w:fldChar w:fldCharType="end"/>
      </w:r>
      <w:r w:rsidRPr="00793101">
        <w:rPr>
          <w:color w:val="auto"/>
          <w:szCs w:val="16"/>
          <w:lang w:val="en-CA"/>
        </w:rPr>
        <w:t xml:space="preserve"> at 147.</w:t>
      </w:r>
    </w:p>
  </w:footnote>
  <w:footnote w:id="233">
    <w:p w14:paraId="6C08EC49" w14:textId="53BAEA95" w:rsidR="00356280" w:rsidRPr="000C692A" w:rsidRDefault="00356280" w:rsidP="00A968FF">
      <w:pPr>
        <w:pStyle w:val="FootnoteText"/>
        <w:spacing w:after="0" w:line="240" w:lineRule="auto"/>
        <w:rPr>
          <w:szCs w:val="16"/>
          <w:lang w:val="en-US"/>
        </w:rPr>
      </w:pPr>
      <w:r w:rsidRPr="00793101">
        <w:rPr>
          <w:rStyle w:val="FootnoteReference"/>
          <w:szCs w:val="16"/>
          <w:lang w:val="en-CA"/>
        </w:rPr>
        <w:footnoteRef/>
      </w:r>
      <w:r w:rsidRPr="000C692A">
        <w:rPr>
          <w:szCs w:val="16"/>
          <w:lang w:val="en-US"/>
        </w:rPr>
        <w:t xml:space="preserve"> </w:t>
      </w:r>
      <w:r w:rsidRPr="00793101">
        <w:rPr>
          <w:i/>
          <w:color w:val="auto"/>
          <w:szCs w:val="16"/>
          <w:lang w:val="en-CA"/>
        </w:rPr>
        <w:t>Lafontaine</w:t>
      </w:r>
      <w:r w:rsidRPr="00793101">
        <w:rPr>
          <w:color w:val="auto"/>
          <w:szCs w:val="16"/>
          <w:lang w:val="en-CA"/>
        </w:rPr>
        <w:t xml:space="preserv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_Ref265358056 \h  \* MERGEFORMAT </w:instrText>
      </w:r>
      <w:r>
        <w:fldChar w:fldCharType="separate"/>
      </w:r>
      <w:r w:rsidRPr="00E045AC">
        <w:rPr>
          <w:color w:val="auto"/>
          <w:szCs w:val="16"/>
          <w:lang w:val="en-CA"/>
        </w:rPr>
        <w:t>98</w:t>
      </w:r>
      <w:r>
        <w:fldChar w:fldCharType="end"/>
      </w:r>
      <w:r w:rsidRPr="00793101">
        <w:rPr>
          <w:color w:val="auto"/>
          <w:szCs w:val="16"/>
          <w:lang w:val="en-CA"/>
        </w:rPr>
        <w:t xml:space="preserve"> at</w:t>
      </w:r>
      <w:r w:rsidRPr="000C692A">
        <w:rPr>
          <w:szCs w:val="16"/>
          <w:lang w:val="en-US"/>
        </w:rPr>
        <w:t xml:space="preserve"> </w:t>
      </w:r>
      <w:r w:rsidRPr="000C692A">
        <w:rPr>
          <w:color w:val="auto"/>
          <w:szCs w:val="16"/>
          <w:lang w:val="en-US"/>
        </w:rPr>
        <w:t>147.</w:t>
      </w:r>
    </w:p>
  </w:footnote>
  <w:footnote w:id="234">
    <w:p w14:paraId="316B7385" w14:textId="4C020646" w:rsidR="00356280" w:rsidRPr="00AA6144" w:rsidRDefault="00356280" w:rsidP="00AA6144">
      <w:pPr>
        <w:pStyle w:val="FootnoteText"/>
        <w:spacing w:after="0" w:line="240" w:lineRule="auto"/>
        <w:rPr>
          <w:lang w:val="en-CA"/>
        </w:rPr>
      </w:pPr>
      <w:r>
        <w:rPr>
          <w:rStyle w:val="FootnoteReference"/>
        </w:rPr>
        <w:footnoteRef/>
      </w:r>
      <w:r>
        <w:rPr>
          <w:i/>
        </w:rPr>
        <w:t xml:space="preserve"> </w:t>
      </w:r>
      <w:proofErr w:type="spellStart"/>
      <w:r w:rsidRPr="00AA6144">
        <w:rPr>
          <w:i/>
        </w:rPr>
        <w:t>Munyaneza</w:t>
      </w:r>
      <w:proofErr w:type="spellEnd"/>
      <w:r>
        <w:rPr>
          <w:i/>
        </w:rPr>
        <w:t>, supra</w:t>
      </w:r>
      <w:r>
        <w:t xml:space="preserve"> note 212. </w:t>
      </w:r>
      <w:r w:rsidRPr="00AA6144">
        <w:t xml:space="preserve"> </w:t>
      </w:r>
    </w:p>
  </w:footnote>
  <w:footnote w:id="235">
    <w:p w14:paraId="2D5D992B" w14:textId="77777777" w:rsidR="00356280" w:rsidRPr="000C692A" w:rsidRDefault="00356280" w:rsidP="00F5294D">
      <w:pPr>
        <w:pStyle w:val="FootnoteText"/>
        <w:spacing w:after="0" w:line="240" w:lineRule="auto"/>
        <w:rPr>
          <w:szCs w:val="16"/>
          <w:lang w:val="en-US"/>
        </w:rPr>
      </w:pPr>
      <w:r w:rsidRPr="00793101">
        <w:rPr>
          <w:rStyle w:val="FootnoteReference"/>
          <w:szCs w:val="16"/>
          <w:lang w:val="en-CA"/>
        </w:rPr>
        <w:footnoteRef/>
      </w:r>
      <w:r w:rsidRPr="000C692A">
        <w:rPr>
          <w:szCs w:val="16"/>
          <w:lang w:val="en-US"/>
        </w:rPr>
        <w:t xml:space="preserve"> </w:t>
      </w:r>
      <w:r w:rsidRPr="000C692A">
        <w:rPr>
          <w:i/>
          <w:szCs w:val="16"/>
          <w:lang w:val="en-US"/>
        </w:rPr>
        <w:t>Ibid</w:t>
      </w:r>
      <w:r w:rsidRPr="000C692A">
        <w:rPr>
          <w:color w:val="auto"/>
          <w:szCs w:val="16"/>
          <w:lang w:val="en-US"/>
        </w:rPr>
        <w:t>.</w:t>
      </w:r>
    </w:p>
  </w:footnote>
  <w:footnote w:id="236">
    <w:p w14:paraId="7AC9C8C8" w14:textId="77777777" w:rsidR="00356280" w:rsidRPr="00793101" w:rsidRDefault="00356280" w:rsidP="00A968FF">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color w:val="auto"/>
          <w:szCs w:val="16"/>
          <w:lang w:val="en-CA"/>
        </w:rPr>
        <w:t>Ibid.</w:t>
      </w:r>
    </w:p>
  </w:footnote>
  <w:footnote w:id="237">
    <w:p w14:paraId="2A288968" w14:textId="77777777" w:rsidR="00356280" w:rsidRPr="000C692A" w:rsidRDefault="00356280" w:rsidP="0040644D">
      <w:pPr>
        <w:pStyle w:val="FootnoteText"/>
        <w:spacing w:after="0" w:line="240" w:lineRule="auto"/>
        <w:rPr>
          <w:szCs w:val="16"/>
          <w:lang w:val="en-US"/>
        </w:rPr>
      </w:pPr>
      <w:r w:rsidRPr="00793101">
        <w:rPr>
          <w:rStyle w:val="FootnoteReference"/>
          <w:szCs w:val="16"/>
          <w:lang w:val="en-CA"/>
        </w:rPr>
        <w:footnoteRef/>
      </w:r>
      <w:r w:rsidRPr="000C692A">
        <w:rPr>
          <w:szCs w:val="16"/>
          <w:lang w:val="en-US"/>
        </w:rPr>
        <w:t xml:space="preserve"> </w:t>
      </w:r>
      <w:r w:rsidRPr="000C692A">
        <w:rPr>
          <w:i/>
          <w:szCs w:val="16"/>
          <w:lang w:val="en-US"/>
        </w:rPr>
        <w:t>Ibid</w:t>
      </w:r>
      <w:r w:rsidRPr="000C692A">
        <w:rPr>
          <w:szCs w:val="16"/>
          <w:lang w:val="en-US"/>
        </w:rPr>
        <w:t xml:space="preserve"> at </w:t>
      </w:r>
      <w:r w:rsidRPr="000C692A">
        <w:rPr>
          <w:color w:val="auto"/>
          <w:szCs w:val="16"/>
          <w:lang w:val="en-US"/>
        </w:rPr>
        <w:t>148.</w:t>
      </w:r>
    </w:p>
  </w:footnote>
  <w:footnote w:id="238">
    <w:p w14:paraId="702C3238" w14:textId="77777777" w:rsidR="00356280" w:rsidRPr="000C692A" w:rsidRDefault="00356280" w:rsidP="0040644D">
      <w:pPr>
        <w:pStyle w:val="FootnoteText"/>
        <w:spacing w:after="0" w:line="240" w:lineRule="auto"/>
        <w:jc w:val="both"/>
        <w:rPr>
          <w:color w:val="auto"/>
          <w:szCs w:val="16"/>
          <w:lang w:val="en-US"/>
        </w:rPr>
      </w:pPr>
      <w:r w:rsidRPr="00793101">
        <w:rPr>
          <w:rStyle w:val="FootnoteReference"/>
          <w:color w:val="auto"/>
          <w:szCs w:val="16"/>
          <w:lang w:val="en-CA"/>
        </w:rPr>
        <w:footnoteRef/>
      </w:r>
      <w:r w:rsidRPr="000C692A">
        <w:rPr>
          <w:color w:val="auto"/>
          <w:szCs w:val="16"/>
          <w:lang w:val="en-US"/>
        </w:rPr>
        <w:t xml:space="preserve"> </w:t>
      </w:r>
      <w:r w:rsidRPr="000C692A">
        <w:rPr>
          <w:i/>
          <w:szCs w:val="16"/>
          <w:lang w:val="en-US"/>
        </w:rPr>
        <w:t>Convention on the Prevention and Punishment of the Crime of Genocide</w:t>
      </w:r>
      <w:r w:rsidRPr="000C692A">
        <w:rPr>
          <w:szCs w:val="16"/>
          <w:lang w:val="en-US"/>
        </w:rPr>
        <w:t>, 9 December 1948, 78 UNTS 277 (entered into force 12 January 1951) [</w:t>
      </w:r>
      <w:r w:rsidRPr="000C692A">
        <w:rPr>
          <w:i/>
          <w:szCs w:val="16"/>
          <w:lang w:val="en-US"/>
        </w:rPr>
        <w:t>Genocide Convention</w:t>
      </w:r>
      <w:r w:rsidRPr="000C692A">
        <w:rPr>
          <w:szCs w:val="16"/>
          <w:lang w:val="en-US"/>
        </w:rPr>
        <w:t>].</w:t>
      </w:r>
    </w:p>
  </w:footnote>
  <w:footnote w:id="239">
    <w:p w14:paraId="6A8F8D92"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Payam Akhavan, “Enforcement of the Genocide Convention: A Challenge to Civilization” (1995) </w:t>
      </w:r>
      <w:r w:rsidRPr="00793101">
        <w:rPr>
          <w:iCs/>
          <w:szCs w:val="16"/>
          <w:lang w:val="en-US"/>
        </w:rPr>
        <w:t xml:space="preserve">8 Harv Hum </w:t>
      </w:r>
      <w:proofErr w:type="spellStart"/>
      <w:r w:rsidRPr="00793101">
        <w:rPr>
          <w:iCs/>
          <w:szCs w:val="16"/>
          <w:lang w:val="en-US"/>
        </w:rPr>
        <w:t>Rts</w:t>
      </w:r>
      <w:proofErr w:type="spellEnd"/>
      <w:r w:rsidRPr="00793101">
        <w:rPr>
          <w:iCs/>
          <w:szCs w:val="16"/>
          <w:lang w:val="en-US"/>
        </w:rPr>
        <w:t xml:space="preserve"> J 229 at 229-230.</w:t>
      </w:r>
    </w:p>
  </w:footnote>
  <w:footnote w:id="240">
    <w:p w14:paraId="2037045D" w14:textId="057B089E" w:rsidR="00356280" w:rsidRPr="007B53D3" w:rsidRDefault="00356280" w:rsidP="0040644D">
      <w:pPr>
        <w:pStyle w:val="FootnoteText"/>
        <w:spacing w:after="0" w:line="240" w:lineRule="auto"/>
        <w:rPr>
          <w:szCs w:val="16"/>
          <w:lang w:val="es-AR"/>
        </w:rPr>
      </w:pPr>
      <w:r w:rsidRPr="00793101">
        <w:rPr>
          <w:rStyle w:val="FootnoteReference"/>
          <w:szCs w:val="16"/>
        </w:rPr>
        <w:footnoteRef/>
      </w:r>
      <w:r w:rsidRPr="007B53D3">
        <w:rPr>
          <w:szCs w:val="16"/>
          <w:lang w:val="es-AR"/>
        </w:rPr>
        <w:t xml:space="preserve"> </w:t>
      </w:r>
      <w:proofErr w:type="spellStart"/>
      <w:r w:rsidRPr="007B53D3">
        <w:rPr>
          <w:i/>
          <w:szCs w:val="16"/>
          <w:lang w:val="es-AR"/>
        </w:rPr>
        <w:t>Genocide</w:t>
      </w:r>
      <w:proofErr w:type="spellEnd"/>
      <w:r w:rsidRPr="007B53D3">
        <w:rPr>
          <w:i/>
          <w:szCs w:val="16"/>
          <w:lang w:val="es-AR"/>
        </w:rPr>
        <w:t xml:space="preserve"> </w:t>
      </w:r>
      <w:proofErr w:type="spellStart"/>
      <w:r w:rsidRPr="007B53D3">
        <w:rPr>
          <w:i/>
          <w:szCs w:val="16"/>
          <w:lang w:val="es-AR"/>
        </w:rPr>
        <w:t>Convention</w:t>
      </w:r>
      <w:proofErr w:type="spellEnd"/>
      <w:r w:rsidRPr="007B53D3">
        <w:rPr>
          <w:szCs w:val="16"/>
          <w:lang w:val="es-AR"/>
        </w:rPr>
        <w:t xml:space="preserve">, </w:t>
      </w:r>
      <w:r w:rsidRPr="007B53D3">
        <w:rPr>
          <w:i/>
          <w:szCs w:val="16"/>
          <w:lang w:val="es-AR"/>
        </w:rPr>
        <w:t>supra</w:t>
      </w:r>
      <w:r w:rsidRPr="007B53D3">
        <w:rPr>
          <w:szCs w:val="16"/>
          <w:lang w:val="es-AR"/>
        </w:rPr>
        <w:t xml:space="preserve"> note </w:t>
      </w:r>
      <w:r>
        <w:fldChar w:fldCharType="begin"/>
      </w:r>
      <w:r w:rsidRPr="007B53D3">
        <w:rPr>
          <w:lang w:val="es-AR"/>
        </w:rPr>
        <w:instrText xml:space="preserve"> NOTEREF _Ref266973019 \h  \* MERGEFORMAT </w:instrText>
      </w:r>
      <w:r>
        <w:fldChar w:fldCharType="separate"/>
      </w:r>
      <w:r w:rsidRPr="00E045AC">
        <w:rPr>
          <w:szCs w:val="16"/>
          <w:lang w:val="es-AR"/>
        </w:rPr>
        <w:t>238</w:t>
      </w:r>
      <w:r>
        <w:fldChar w:fldCharType="end"/>
      </w:r>
      <w:r w:rsidRPr="007B53D3">
        <w:rPr>
          <w:szCs w:val="16"/>
          <w:lang w:val="es-AR"/>
        </w:rPr>
        <w:t>.</w:t>
      </w:r>
    </w:p>
  </w:footnote>
  <w:footnote w:id="241">
    <w:p w14:paraId="79AF33F5" w14:textId="77777777" w:rsidR="00356280" w:rsidRPr="007B53D3" w:rsidRDefault="00356280" w:rsidP="0040644D">
      <w:pPr>
        <w:pStyle w:val="FootnoteText"/>
        <w:spacing w:after="0" w:line="240" w:lineRule="auto"/>
        <w:rPr>
          <w:szCs w:val="16"/>
          <w:lang w:val="es-AR"/>
        </w:rPr>
      </w:pPr>
      <w:r w:rsidRPr="00793101">
        <w:rPr>
          <w:rStyle w:val="FootnoteReference"/>
          <w:szCs w:val="16"/>
        </w:rPr>
        <w:footnoteRef/>
      </w:r>
      <w:r w:rsidRPr="007B53D3">
        <w:rPr>
          <w:szCs w:val="16"/>
          <w:lang w:val="es-AR"/>
        </w:rPr>
        <w:t xml:space="preserve"> </w:t>
      </w:r>
      <w:r w:rsidRPr="007B53D3">
        <w:rPr>
          <w:i/>
          <w:szCs w:val="16"/>
          <w:lang w:val="es-AR"/>
        </w:rPr>
        <w:t>Ibid.</w:t>
      </w:r>
    </w:p>
  </w:footnote>
  <w:footnote w:id="242">
    <w:p w14:paraId="10768765" w14:textId="79DE5742" w:rsidR="00356280" w:rsidRPr="00356280" w:rsidRDefault="00356280" w:rsidP="00D50090">
      <w:pPr>
        <w:pStyle w:val="FootnoteText"/>
        <w:spacing w:after="0" w:line="240" w:lineRule="auto"/>
        <w:jc w:val="both"/>
        <w:rPr>
          <w:color w:val="auto"/>
          <w:szCs w:val="16"/>
          <w:lang w:val="es-AR"/>
        </w:rPr>
      </w:pPr>
      <w:r w:rsidRPr="00793101">
        <w:rPr>
          <w:rStyle w:val="FootnoteReference"/>
          <w:color w:val="auto"/>
          <w:szCs w:val="16"/>
          <w:lang w:val="en-CA"/>
        </w:rPr>
        <w:footnoteRef/>
      </w:r>
      <w:r w:rsidRPr="00356280">
        <w:rPr>
          <w:color w:val="auto"/>
          <w:szCs w:val="16"/>
          <w:lang w:val="es-AR"/>
        </w:rPr>
        <w:t xml:space="preserve"> </w:t>
      </w:r>
      <w:r w:rsidRPr="00356280">
        <w:rPr>
          <w:i/>
          <w:color w:val="auto"/>
          <w:szCs w:val="16"/>
          <w:lang w:val="es-AR"/>
        </w:rPr>
        <w:t xml:space="preserve">Criminal </w:t>
      </w:r>
      <w:proofErr w:type="spellStart"/>
      <w:r w:rsidRPr="00356280">
        <w:rPr>
          <w:i/>
          <w:color w:val="auto"/>
          <w:szCs w:val="16"/>
          <w:lang w:val="es-AR"/>
        </w:rPr>
        <w:t>Code</w:t>
      </w:r>
      <w:proofErr w:type="spellEnd"/>
      <w:r w:rsidRPr="00356280">
        <w:rPr>
          <w:color w:val="auto"/>
          <w:szCs w:val="16"/>
          <w:lang w:val="es-AR"/>
        </w:rPr>
        <w:t xml:space="preserve">, </w:t>
      </w:r>
      <w:r w:rsidRPr="00356280">
        <w:rPr>
          <w:i/>
          <w:color w:val="auto"/>
          <w:szCs w:val="16"/>
          <w:lang w:val="es-AR"/>
        </w:rPr>
        <w:t>supra</w:t>
      </w:r>
      <w:r w:rsidRPr="00356280">
        <w:rPr>
          <w:color w:val="auto"/>
          <w:szCs w:val="16"/>
          <w:lang w:val="es-AR"/>
        </w:rPr>
        <w:t xml:space="preserve"> note </w:t>
      </w:r>
      <w:r>
        <w:fldChar w:fldCharType="begin"/>
      </w:r>
      <w:r w:rsidRPr="00356280">
        <w:rPr>
          <w:lang w:val="es-AR"/>
        </w:rPr>
        <w:instrText xml:space="preserve"> NOTEREF _Ref266965463 \h  \* MERGEFORMAT </w:instrText>
      </w:r>
      <w:r>
        <w:fldChar w:fldCharType="separate"/>
      </w:r>
      <w:r w:rsidRPr="00356280">
        <w:rPr>
          <w:lang w:val="es-AR"/>
        </w:rPr>
        <w:t>10</w:t>
      </w:r>
      <w:r>
        <w:fldChar w:fldCharType="end"/>
      </w:r>
      <w:r w:rsidRPr="00356280">
        <w:rPr>
          <w:color w:val="auto"/>
          <w:szCs w:val="16"/>
          <w:lang w:val="es-AR"/>
        </w:rPr>
        <w:t>, s. 318.</w:t>
      </w:r>
    </w:p>
  </w:footnote>
  <w:footnote w:id="243">
    <w:p w14:paraId="49CFB3AE" w14:textId="77777777" w:rsidR="00356280" w:rsidRPr="00356280" w:rsidRDefault="00356280" w:rsidP="0040644D">
      <w:pPr>
        <w:pStyle w:val="FootnoteText"/>
        <w:spacing w:after="0" w:line="240" w:lineRule="auto"/>
        <w:rPr>
          <w:szCs w:val="16"/>
          <w:lang w:val="es-AR"/>
        </w:rPr>
      </w:pPr>
      <w:r w:rsidRPr="00793101">
        <w:rPr>
          <w:rStyle w:val="FootnoteReference"/>
          <w:szCs w:val="16"/>
        </w:rPr>
        <w:footnoteRef/>
      </w:r>
      <w:r w:rsidRPr="00356280">
        <w:rPr>
          <w:szCs w:val="16"/>
          <w:lang w:val="es-AR"/>
        </w:rPr>
        <w:t xml:space="preserve"> </w:t>
      </w:r>
      <w:r w:rsidRPr="00356280">
        <w:rPr>
          <w:i/>
          <w:szCs w:val="16"/>
          <w:lang w:val="es-AR"/>
        </w:rPr>
        <w:t>Ibid.</w:t>
      </w:r>
    </w:p>
  </w:footnote>
  <w:footnote w:id="244">
    <w:p w14:paraId="402CE570" w14:textId="14779727" w:rsidR="00356280" w:rsidRPr="00AA6144" w:rsidRDefault="00356280" w:rsidP="0040644D">
      <w:pPr>
        <w:pStyle w:val="FootnoteText"/>
        <w:spacing w:after="0" w:line="240" w:lineRule="auto"/>
        <w:rPr>
          <w:szCs w:val="16"/>
          <w:lang w:val="en-CA"/>
        </w:rPr>
      </w:pPr>
      <w:r w:rsidRPr="00793101">
        <w:rPr>
          <w:rStyle w:val="FootnoteReference"/>
          <w:szCs w:val="16"/>
        </w:rPr>
        <w:footnoteRef/>
      </w:r>
      <w:r w:rsidRPr="00AA6144">
        <w:rPr>
          <w:szCs w:val="16"/>
          <w:lang w:val="en-CA"/>
        </w:rPr>
        <w:t xml:space="preserve"> Lafontaine, </w:t>
      </w:r>
      <w:r w:rsidRPr="00AA6144">
        <w:rPr>
          <w:i/>
          <w:szCs w:val="16"/>
          <w:lang w:val="en-CA"/>
        </w:rPr>
        <w:t>supra</w:t>
      </w:r>
      <w:r w:rsidRPr="00AA6144">
        <w:rPr>
          <w:szCs w:val="16"/>
          <w:lang w:val="en-CA"/>
        </w:rPr>
        <w:t xml:space="preserve"> note </w:t>
      </w:r>
      <w:r>
        <w:fldChar w:fldCharType="begin"/>
      </w:r>
      <w:r w:rsidRPr="00AA6144">
        <w:rPr>
          <w:lang w:val="en-CA"/>
        </w:rPr>
        <w:instrText xml:space="preserve"> NOTEREF _Ref265358056 \h  \* MERGEFORMAT </w:instrText>
      </w:r>
      <w:r>
        <w:fldChar w:fldCharType="separate"/>
      </w:r>
      <w:r w:rsidRPr="00E045AC">
        <w:rPr>
          <w:szCs w:val="16"/>
          <w:lang w:val="en-CA"/>
        </w:rPr>
        <w:t>98</w:t>
      </w:r>
      <w:r>
        <w:fldChar w:fldCharType="end"/>
      </w:r>
      <w:r w:rsidRPr="00AA6144">
        <w:rPr>
          <w:szCs w:val="16"/>
          <w:lang w:val="en-CA"/>
        </w:rPr>
        <w:t xml:space="preserve"> at 217.</w:t>
      </w:r>
    </w:p>
  </w:footnote>
  <w:footnote w:id="245">
    <w:p w14:paraId="156AE19E"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Ibid.</w:t>
      </w:r>
    </w:p>
  </w:footnote>
  <w:footnote w:id="246">
    <w:p w14:paraId="405E1B67"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 xml:space="preserve">Ibid </w:t>
      </w:r>
      <w:r w:rsidRPr="000C692A">
        <w:rPr>
          <w:szCs w:val="16"/>
          <w:lang w:val="en-US"/>
        </w:rPr>
        <w:t>at 227-228.</w:t>
      </w:r>
    </w:p>
  </w:footnote>
  <w:footnote w:id="247">
    <w:p w14:paraId="754E1050" w14:textId="369CBCD9" w:rsidR="00356280" w:rsidRPr="00356280" w:rsidRDefault="00356280" w:rsidP="0040644D">
      <w:pPr>
        <w:pStyle w:val="FootnoteText"/>
        <w:spacing w:after="0" w:line="240" w:lineRule="auto"/>
        <w:jc w:val="both"/>
        <w:rPr>
          <w:color w:val="auto"/>
          <w:szCs w:val="16"/>
          <w:lang w:val="es-AR"/>
        </w:rPr>
      </w:pPr>
      <w:r w:rsidRPr="00793101">
        <w:rPr>
          <w:rStyle w:val="FootnoteReference"/>
          <w:color w:val="auto"/>
          <w:szCs w:val="16"/>
          <w:lang w:val="en-CA"/>
        </w:rPr>
        <w:footnoteRef/>
      </w:r>
      <w:r w:rsidRPr="00356280">
        <w:rPr>
          <w:color w:val="auto"/>
          <w:szCs w:val="16"/>
          <w:lang w:val="es-AR"/>
        </w:rPr>
        <w:t xml:space="preserve"> </w:t>
      </w:r>
      <w:proofErr w:type="spellStart"/>
      <w:r w:rsidRPr="00356280">
        <w:rPr>
          <w:i/>
          <w:color w:val="auto"/>
          <w:szCs w:val="16"/>
          <w:lang w:val="es-AR"/>
        </w:rPr>
        <w:t>Mugesera</w:t>
      </w:r>
      <w:proofErr w:type="spellEnd"/>
      <w:r w:rsidRPr="00356280">
        <w:rPr>
          <w:i/>
          <w:color w:val="auto"/>
          <w:szCs w:val="16"/>
          <w:lang w:val="es-AR"/>
        </w:rPr>
        <w:t xml:space="preserve">, supra </w:t>
      </w:r>
      <w:r w:rsidRPr="00356280">
        <w:rPr>
          <w:color w:val="auto"/>
          <w:szCs w:val="16"/>
          <w:lang w:val="es-AR"/>
        </w:rPr>
        <w:t xml:space="preserve">note </w:t>
      </w:r>
      <w:r>
        <w:fldChar w:fldCharType="begin"/>
      </w:r>
      <w:r w:rsidRPr="00356280">
        <w:rPr>
          <w:lang w:val="es-AR"/>
        </w:rPr>
        <w:instrText xml:space="preserve"> NOTEREF _Ref266972936 \h  \* MERGEFORMAT </w:instrText>
      </w:r>
      <w:r>
        <w:fldChar w:fldCharType="separate"/>
      </w:r>
      <w:r w:rsidRPr="00356280">
        <w:rPr>
          <w:color w:val="auto"/>
          <w:szCs w:val="16"/>
          <w:lang w:val="es-AR"/>
        </w:rPr>
        <w:t>217</w:t>
      </w:r>
      <w:r>
        <w:fldChar w:fldCharType="end"/>
      </w:r>
      <w:r w:rsidRPr="00356280">
        <w:rPr>
          <w:color w:val="auto"/>
          <w:szCs w:val="16"/>
          <w:lang w:val="es-AR"/>
        </w:rPr>
        <w:t>.</w:t>
      </w:r>
      <w:r w:rsidRPr="00356280">
        <w:rPr>
          <w:i/>
          <w:color w:val="auto"/>
          <w:szCs w:val="16"/>
          <w:lang w:val="es-AR"/>
        </w:rPr>
        <w:t xml:space="preserve"> </w:t>
      </w:r>
    </w:p>
  </w:footnote>
  <w:footnote w:id="248">
    <w:p w14:paraId="4ED4BB5B" w14:textId="77777777" w:rsidR="00356280" w:rsidRPr="00356280" w:rsidRDefault="00356280" w:rsidP="0040644D">
      <w:pPr>
        <w:pStyle w:val="FootnoteText"/>
        <w:spacing w:after="0" w:line="240" w:lineRule="auto"/>
        <w:jc w:val="both"/>
        <w:rPr>
          <w:color w:val="auto"/>
          <w:szCs w:val="16"/>
          <w:lang w:val="es-AR"/>
        </w:rPr>
      </w:pPr>
      <w:r w:rsidRPr="00793101">
        <w:rPr>
          <w:rStyle w:val="FootnoteReference"/>
          <w:color w:val="auto"/>
          <w:szCs w:val="16"/>
          <w:lang w:val="en-CA"/>
        </w:rPr>
        <w:footnoteRef/>
      </w:r>
      <w:r w:rsidRPr="00356280">
        <w:rPr>
          <w:color w:val="auto"/>
          <w:szCs w:val="16"/>
          <w:lang w:val="es-AR"/>
        </w:rPr>
        <w:t xml:space="preserve"> </w:t>
      </w:r>
      <w:proofErr w:type="spellStart"/>
      <w:r w:rsidRPr="00356280">
        <w:rPr>
          <w:i/>
          <w:color w:val="auto"/>
          <w:szCs w:val="16"/>
          <w:lang w:val="es-AR"/>
        </w:rPr>
        <w:t>Ibid</w:t>
      </w:r>
      <w:proofErr w:type="spellEnd"/>
      <w:r w:rsidRPr="00356280">
        <w:rPr>
          <w:color w:val="auto"/>
          <w:szCs w:val="16"/>
          <w:lang w:val="es-AR"/>
        </w:rPr>
        <w:t xml:space="preserve"> at para 87.</w:t>
      </w:r>
    </w:p>
  </w:footnote>
  <w:footnote w:id="249">
    <w:p w14:paraId="52247A48"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Ibid </w:t>
      </w:r>
      <w:r w:rsidRPr="00793101">
        <w:rPr>
          <w:color w:val="auto"/>
          <w:szCs w:val="16"/>
          <w:lang w:val="en-CA"/>
        </w:rPr>
        <w:t xml:space="preserve">at para 88, referring to </w:t>
      </w:r>
      <w:r w:rsidRPr="00793101">
        <w:rPr>
          <w:i/>
          <w:iCs/>
          <w:color w:val="auto"/>
          <w:szCs w:val="16"/>
          <w:lang w:val="en-CA"/>
        </w:rPr>
        <w:t xml:space="preserve">Prosecutor v </w:t>
      </w:r>
      <w:proofErr w:type="spellStart"/>
      <w:r w:rsidRPr="00793101">
        <w:rPr>
          <w:i/>
          <w:iCs/>
          <w:color w:val="auto"/>
          <w:szCs w:val="16"/>
          <w:lang w:val="en-CA"/>
        </w:rPr>
        <w:t>Akayesu</w:t>
      </w:r>
      <w:proofErr w:type="spellEnd"/>
      <w:r w:rsidRPr="00793101">
        <w:rPr>
          <w:color w:val="auto"/>
          <w:szCs w:val="16"/>
          <w:lang w:val="en-CA"/>
        </w:rPr>
        <w:t>, [1998] 9 IHRR 608 at para 560.</w:t>
      </w:r>
    </w:p>
  </w:footnote>
  <w:footnote w:id="250">
    <w:p w14:paraId="5C740F65" w14:textId="669B9F18"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spellStart"/>
      <w:r w:rsidRPr="00793101">
        <w:rPr>
          <w:i/>
          <w:color w:val="auto"/>
          <w:szCs w:val="16"/>
          <w:lang w:val="en-CA"/>
        </w:rPr>
        <w:t>Mugesera</w:t>
      </w:r>
      <w:proofErr w:type="spellEnd"/>
      <w:r w:rsidRPr="00793101">
        <w:rPr>
          <w:i/>
          <w:color w:val="auto"/>
          <w:szCs w:val="16"/>
          <w:lang w:val="en-CA"/>
        </w:rPr>
        <w:t>, supra</w:t>
      </w:r>
      <w:r w:rsidRPr="00793101">
        <w:rPr>
          <w:color w:val="auto"/>
          <w:szCs w:val="16"/>
          <w:lang w:val="en-CA"/>
        </w:rPr>
        <w:t xml:space="preserve"> note </w:t>
      </w:r>
      <w:r>
        <w:fldChar w:fldCharType="begin"/>
      </w:r>
      <w:r>
        <w:instrText xml:space="preserve"> NOTEREF _Ref266972936 \h  \* MERGEFORMAT </w:instrText>
      </w:r>
      <w:r>
        <w:fldChar w:fldCharType="separate"/>
      </w:r>
      <w:r w:rsidRPr="00E045AC">
        <w:rPr>
          <w:color w:val="auto"/>
          <w:szCs w:val="16"/>
          <w:lang w:val="en-CA"/>
        </w:rPr>
        <w:t>217</w:t>
      </w:r>
      <w:r>
        <w:fldChar w:fldCharType="end"/>
      </w:r>
      <w:r w:rsidRPr="00793101">
        <w:rPr>
          <w:i/>
          <w:color w:val="auto"/>
          <w:szCs w:val="16"/>
          <w:lang w:val="en-CA"/>
        </w:rPr>
        <w:t xml:space="preserve"> </w:t>
      </w:r>
      <w:r w:rsidRPr="00793101">
        <w:rPr>
          <w:color w:val="auto"/>
          <w:szCs w:val="16"/>
          <w:lang w:val="en-CA"/>
        </w:rPr>
        <w:t xml:space="preserve">at para 89; and </w:t>
      </w:r>
      <w:r w:rsidRPr="00793101">
        <w:rPr>
          <w:i/>
          <w:color w:val="auto"/>
          <w:szCs w:val="16"/>
          <w:lang w:val="en-CA"/>
        </w:rPr>
        <w:t xml:space="preserve">Criminal Code, supra </w:t>
      </w:r>
      <w:r w:rsidRPr="00793101">
        <w:rPr>
          <w:color w:val="auto"/>
          <w:szCs w:val="16"/>
          <w:lang w:val="en-CA"/>
        </w:rPr>
        <w:t xml:space="preserve">note </w:t>
      </w:r>
      <w:r>
        <w:fldChar w:fldCharType="begin"/>
      </w:r>
      <w:r>
        <w:instrText xml:space="preserve"> NOTEREF _Ref266965463 \h  \* MERGEFORMAT </w:instrText>
      </w:r>
      <w:r>
        <w:fldChar w:fldCharType="separate"/>
      </w:r>
      <w:r>
        <w:t>10</w:t>
      </w:r>
      <w:r>
        <w:fldChar w:fldCharType="end"/>
      </w:r>
      <w:r w:rsidRPr="00793101">
        <w:rPr>
          <w:color w:val="auto"/>
          <w:szCs w:val="16"/>
          <w:lang w:val="en-CA"/>
        </w:rPr>
        <w:t>, ss 318(2) and (4).</w:t>
      </w:r>
    </w:p>
  </w:footnote>
  <w:footnote w:id="251">
    <w:p w14:paraId="6B7F7D77" w14:textId="7C23A0DC"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Crimes Against Humanity and War Crimes Act, supra </w:t>
      </w:r>
      <w:r w:rsidRPr="00793101">
        <w:rPr>
          <w:szCs w:val="16"/>
          <w:lang w:val="en-US"/>
        </w:rPr>
        <w:t xml:space="preserve">note </w:t>
      </w:r>
      <w:r>
        <w:fldChar w:fldCharType="begin"/>
      </w:r>
      <w:r>
        <w:instrText xml:space="preserve"> NOTEREF _Ref266965596 \h  \* MERGEFORMAT </w:instrText>
      </w:r>
      <w:r>
        <w:fldChar w:fldCharType="separate"/>
      </w:r>
      <w:r>
        <w:t>12</w:t>
      </w:r>
      <w:r>
        <w:fldChar w:fldCharType="end"/>
      </w:r>
      <w:r w:rsidRPr="00793101">
        <w:rPr>
          <w:szCs w:val="16"/>
          <w:lang w:val="en-US"/>
        </w:rPr>
        <w:t>, art 4(3).</w:t>
      </w:r>
    </w:p>
  </w:footnote>
  <w:footnote w:id="252">
    <w:p w14:paraId="14FD2E07"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R v </w:t>
      </w:r>
      <w:proofErr w:type="spellStart"/>
      <w:r w:rsidRPr="00793101">
        <w:rPr>
          <w:i/>
          <w:color w:val="auto"/>
          <w:szCs w:val="16"/>
          <w:lang w:val="en-CA"/>
        </w:rPr>
        <w:t>Munyaneza</w:t>
      </w:r>
      <w:proofErr w:type="spellEnd"/>
      <w:r w:rsidRPr="00793101">
        <w:rPr>
          <w:color w:val="auto"/>
          <w:szCs w:val="16"/>
          <w:lang w:val="en-CA"/>
        </w:rPr>
        <w:t>, (2009) QCCS 2201.</w:t>
      </w:r>
    </w:p>
  </w:footnote>
  <w:footnote w:id="253">
    <w:p w14:paraId="4FDB7651"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gramStart"/>
      <w:r w:rsidRPr="00793101">
        <w:rPr>
          <w:i/>
          <w:color w:val="auto"/>
          <w:szCs w:val="16"/>
          <w:lang w:val="en-CA"/>
        </w:rPr>
        <w:t>Ibid;</w:t>
      </w:r>
      <w:proofErr w:type="gramEnd"/>
      <w:r w:rsidRPr="00793101">
        <w:rPr>
          <w:color w:val="auto"/>
          <w:szCs w:val="16"/>
          <w:lang w:val="en-CA"/>
        </w:rPr>
        <w:t xml:space="preserve"> the genocide definition of the court relies on the </w:t>
      </w:r>
      <w:r w:rsidRPr="00793101">
        <w:rPr>
          <w:i/>
          <w:color w:val="auto"/>
          <w:szCs w:val="16"/>
          <w:lang w:val="en-CA"/>
        </w:rPr>
        <w:t>Genocide Convention</w:t>
      </w:r>
      <w:r w:rsidRPr="00793101">
        <w:rPr>
          <w:color w:val="auto"/>
          <w:szCs w:val="16"/>
          <w:lang w:val="en-CA"/>
        </w:rPr>
        <w:t xml:space="preserve">, the </w:t>
      </w:r>
      <w:r w:rsidRPr="00793101">
        <w:rPr>
          <w:i/>
          <w:color w:val="auto"/>
          <w:szCs w:val="16"/>
          <w:lang w:val="en-CA"/>
        </w:rPr>
        <w:t>ad hoc</w:t>
      </w:r>
      <w:r w:rsidRPr="00793101">
        <w:rPr>
          <w:color w:val="auto"/>
          <w:szCs w:val="16"/>
          <w:lang w:val="en-CA"/>
        </w:rPr>
        <w:t xml:space="preserve"> tribunal jurisprudence, the </w:t>
      </w:r>
      <w:proofErr w:type="spellStart"/>
      <w:r w:rsidRPr="00793101">
        <w:rPr>
          <w:i/>
          <w:color w:val="auto"/>
          <w:szCs w:val="16"/>
          <w:lang w:val="en-CA"/>
        </w:rPr>
        <w:t>Mugesera</w:t>
      </w:r>
      <w:proofErr w:type="spellEnd"/>
      <w:r w:rsidRPr="00793101">
        <w:rPr>
          <w:color w:val="auto"/>
          <w:szCs w:val="16"/>
          <w:lang w:val="en-CA"/>
        </w:rPr>
        <w:t xml:space="preserve"> </w:t>
      </w:r>
      <w:r w:rsidRPr="00793101">
        <w:rPr>
          <w:i/>
          <w:color w:val="auto"/>
          <w:szCs w:val="16"/>
          <w:lang w:val="en-CA"/>
        </w:rPr>
        <w:t>case</w:t>
      </w:r>
      <w:r w:rsidRPr="00793101">
        <w:rPr>
          <w:color w:val="auto"/>
          <w:szCs w:val="16"/>
          <w:lang w:val="en-CA"/>
        </w:rPr>
        <w:t xml:space="preserve"> and the decision of the International Court of Justice in the </w:t>
      </w:r>
      <w:r w:rsidRPr="00793101">
        <w:rPr>
          <w:i/>
          <w:color w:val="auto"/>
          <w:szCs w:val="16"/>
          <w:lang w:val="en-CA"/>
        </w:rPr>
        <w:t>Serbian Genocide Case</w:t>
      </w:r>
      <w:r w:rsidRPr="00793101">
        <w:rPr>
          <w:color w:val="auto"/>
          <w:szCs w:val="16"/>
          <w:lang w:val="en-CA"/>
        </w:rPr>
        <w:t>.</w:t>
      </w:r>
    </w:p>
  </w:footnote>
  <w:footnote w:id="254">
    <w:p w14:paraId="3156EEF9" w14:textId="77777777" w:rsidR="00356280" w:rsidRPr="00793101" w:rsidRDefault="00356280" w:rsidP="0040644D">
      <w:pPr>
        <w:pStyle w:val="AIBodyText"/>
        <w:spacing w:after="0" w:line="240" w:lineRule="auto"/>
        <w:jc w:val="both"/>
        <w:rPr>
          <w:color w:val="auto"/>
          <w:sz w:val="16"/>
          <w:szCs w:val="16"/>
          <w:highlight w:val="green"/>
          <w:lang w:val="en-CA"/>
        </w:rPr>
      </w:pPr>
      <w:r w:rsidRPr="00793101">
        <w:rPr>
          <w:rStyle w:val="FootnoteReference"/>
          <w:color w:val="auto"/>
          <w:sz w:val="16"/>
          <w:szCs w:val="16"/>
          <w:lang w:val="en-CA"/>
        </w:rPr>
        <w:footnoteRef/>
      </w:r>
      <w:r w:rsidRPr="00793101">
        <w:rPr>
          <w:color w:val="auto"/>
          <w:sz w:val="16"/>
          <w:szCs w:val="16"/>
          <w:lang w:val="en-CA"/>
        </w:rPr>
        <w:t xml:space="preserve"> </w:t>
      </w:r>
      <w:r w:rsidRPr="00793101">
        <w:rPr>
          <w:i/>
          <w:sz w:val="16"/>
          <w:szCs w:val="16"/>
          <w:lang w:val="en-CA"/>
        </w:rPr>
        <w:t>Convention on the Elimination of All Convention Against Torture and Other Cruel, Inhuman or Degrading Treatment or Punishment</w:t>
      </w:r>
      <w:r w:rsidRPr="00793101">
        <w:rPr>
          <w:sz w:val="16"/>
          <w:szCs w:val="16"/>
          <w:lang w:val="en-CA"/>
        </w:rPr>
        <w:t>, 10 December 1984, 1465 UNTS 85 (entered into force 26 June 1987) [</w:t>
      </w:r>
      <w:r w:rsidRPr="00793101">
        <w:rPr>
          <w:i/>
          <w:sz w:val="16"/>
          <w:szCs w:val="16"/>
          <w:lang w:val="en-CA"/>
        </w:rPr>
        <w:t>Convention Against Torture</w:t>
      </w:r>
      <w:r w:rsidRPr="00793101">
        <w:rPr>
          <w:sz w:val="16"/>
          <w:szCs w:val="16"/>
          <w:lang w:val="en-CA"/>
        </w:rPr>
        <w:t xml:space="preserve">]. </w:t>
      </w:r>
    </w:p>
  </w:footnote>
  <w:footnote w:id="255">
    <w:p w14:paraId="4F33A57A" w14:textId="2DC5F7D7" w:rsidR="00356280" w:rsidRPr="00FD1463" w:rsidRDefault="00356280">
      <w:pPr>
        <w:pStyle w:val="FootnoteText"/>
        <w:rPr>
          <w:lang w:val="en-CA"/>
        </w:rPr>
      </w:pPr>
      <w:r>
        <w:rPr>
          <w:rStyle w:val="FootnoteReference"/>
        </w:rPr>
        <w:footnoteRef/>
      </w:r>
      <w:r>
        <w:t xml:space="preserve"> See, International Court of Justice, Obligation to prosecute or extradite (Belgium v Senegal), Judgment, 20 July 2012, para.95, (‘Extradition is an option offered to the State by the Convention, whereas prosecution is an international obligation under the Convention, the violation of which is a wrongful act engaging the responsibility of the State’).</w:t>
      </w:r>
    </w:p>
  </w:footnote>
  <w:footnote w:id="256">
    <w:p w14:paraId="6F1A8F5C"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eastAsia="en-US"/>
        </w:rPr>
        <w:t xml:space="preserve">Inter-American Convention to Prevent and Punish Torture, </w:t>
      </w:r>
      <w:r w:rsidRPr="00793101">
        <w:rPr>
          <w:color w:val="auto"/>
          <w:szCs w:val="16"/>
          <w:lang w:val="en-CA" w:eastAsia="en-US"/>
        </w:rPr>
        <w:t>9 December 1985, OAS TS 67 (entered into force 28 February 1987).</w:t>
      </w:r>
    </w:p>
  </w:footnote>
  <w:footnote w:id="257">
    <w:p w14:paraId="68FAB282" w14:textId="72DB534D"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 xml:space="preserve">Criminal Code, supra </w:t>
      </w:r>
      <w:r w:rsidRPr="000C692A">
        <w:rPr>
          <w:szCs w:val="16"/>
          <w:lang w:val="en-US"/>
        </w:rPr>
        <w:t xml:space="preserve">note </w:t>
      </w:r>
      <w:r>
        <w:fldChar w:fldCharType="begin"/>
      </w:r>
      <w:r>
        <w:instrText xml:space="preserve"> NOTEREF _Ref266965463 \h  \* MERGEFORMAT </w:instrText>
      </w:r>
      <w:r>
        <w:fldChar w:fldCharType="separate"/>
      </w:r>
      <w:r>
        <w:t>10</w:t>
      </w:r>
      <w:r>
        <w:fldChar w:fldCharType="end"/>
      </w:r>
      <w:r w:rsidRPr="000C692A">
        <w:rPr>
          <w:szCs w:val="16"/>
          <w:lang w:val="en-US"/>
        </w:rPr>
        <w:t>, s 269.1(1).</w:t>
      </w:r>
    </w:p>
  </w:footnote>
  <w:footnote w:id="258">
    <w:p w14:paraId="749F0941"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Ibid</w:t>
      </w:r>
      <w:r w:rsidRPr="000C692A">
        <w:rPr>
          <w:szCs w:val="16"/>
          <w:lang w:val="en-US"/>
        </w:rPr>
        <w:t>, s 269.1(2).</w:t>
      </w:r>
    </w:p>
  </w:footnote>
  <w:footnote w:id="259">
    <w:p w14:paraId="1432EF43" w14:textId="1BD0014F"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See </w:t>
      </w:r>
      <w:r w:rsidRPr="00793101">
        <w:rPr>
          <w:i/>
          <w:szCs w:val="16"/>
          <w:lang w:val="en-US"/>
        </w:rPr>
        <w:t xml:space="preserve">Crimes Against Humanity and War Crimes Act, supra </w:t>
      </w:r>
      <w:r w:rsidRPr="00793101">
        <w:rPr>
          <w:szCs w:val="16"/>
          <w:lang w:val="en-US"/>
        </w:rPr>
        <w:t xml:space="preserve">note </w:t>
      </w:r>
      <w:r>
        <w:fldChar w:fldCharType="begin"/>
      </w:r>
      <w:r>
        <w:instrText xml:space="preserve"> NOTEREF _Ref266965596 \h  \* MERGEFORMAT </w:instrText>
      </w:r>
      <w:r>
        <w:fldChar w:fldCharType="separate"/>
      </w:r>
      <w:r>
        <w:t>12</w:t>
      </w:r>
      <w:r>
        <w:fldChar w:fldCharType="end"/>
      </w:r>
      <w:r w:rsidRPr="00793101">
        <w:rPr>
          <w:szCs w:val="16"/>
          <w:lang w:val="en-US"/>
        </w:rPr>
        <w:t>, ss 6(3) and 4(3).</w:t>
      </w:r>
    </w:p>
  </w:footnote>
  <w:footnote w:id="260">
    <w:p w14:paraId="01119F81" w14:textId="3EF48A98" w:rsidR="00356280" w:rsidRPr="00793101" w:rsidRDefault="00356280" w:rsidP="00AF0FD5">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Lafontaine, </w:t>
      </w:r>
      <w:r w:rsidRPr="00793101">
        <w:rPr>
          <w:i/>
          <w:szCs w:val="16"/>
          <w:lang w:val="en-CA"/>
        </w:rPr>
        <w:t>supra</w:t>
      </w:r>
      <w:r w:rsidRPr="00793101">
        <w:rPr>
          <w:szCs w:val="16"/>
          <w:lang w:val="en-CA"/>
        </w:rPr>
        <w:t xml:space="preserve"> note </w:t>
      </w:r>
      <w:r>
        <w:fldChar w:fldCharType="begin"/>
      </w:r>
      <w:r>
        <w:instrText xml:space="preserve"> NOTEREF _Ref265358056 \h  \* MERGEFORMAT </w:instrText>
      </w:r>
      <w:r>
        <w:fldChar w:fldCharType="separate"/>
      </w:r>
      <w:r w:rsidRPr="00E045AC">
        <w:rPr>
          <w:szCs w:val="16"/>
          <w:lang w:val="en-CA"/>
        </w:rPr>
        <w:t>98</w:t>
      </w:r>
      <w:r>
        <w:fldChar w:fldCharType="end"/>
      </w:r>
      <w:r w:rsidRPr="00793101">
        <w:rPr>
          <w:szCs w:val="16"/>
          <w:lang w:val="en-CA"/>
        </w:rPr>
        <w:t xml:space="preserve"> at 176.</w:t>
      </w:r>
    </w:p>
  </w:footnote>
  <w:footnote w:id="261">
    <w:p w14:paraId="45A9ADCD" w14:textId="00F9B7FA" w:rsidR="00356280" w:rsidRPr="00EF3CB5" w:rsidRDefault="00356280" w:rsidP="00AA6144">
      <w:pPr>
        <w:pStyle w:val="FootnoteText"/>
        <w:spacing w:after="0" w:line="240" w:lineRule="auto"/>
      </w:pPr>
      <w:r>
        <w:rPr>
          <w:rStyle w:val="FootnoteReference"/>
        </w:rPr>
        <w:footnoteRef/>
      </w:r>
      <w:r>
        <w:t xml:space="preserve"> </w:t>
      </w:r>
      <w:r w:rsidRPr="00AA6144">
        <w:rPr>
          <w:i/>
        </w:rPr>
        <w:t>Rome Statue</w:t>
      </w:r>
      <w:r>
        <w:rPr>
          <w:i/>
        </w:rPr>
        <w:t>,</w:t>
      </w:r>
      <w:r w:rsidRPr="006A222A">
        <w:rPr>
          <w:i/>
        </w:rPr>
        <w:t xml:space="preserve"> </w:t>
      </w:r>
      <w:r w:rsidRPr="00AA6144">
        <w:rPr>
          <w:i/>
        </w:rPr>
        <w:t>supra</w:t>
      </w:r>
      <w:r>
        <w:t xml:space="preserve"> note 96, art 7(2)(e); it can also be prosecuted as genocide under the rubric of 6(b) of the Rome Statute, causing serious bodily harm, etc.</w:t>
      </w:r>
    </w:p>
  </w:footnote>
  <w:footnote w:id="262">
    <w:p w14:paraId="1C20DA41" w14:textId="30C5B13B" w:rsidR="00356280" w:rsidRPr="00793101" w:rsidRDefault="00356280" w:rsidP="00AF0FD5">
      <w:pPr>
        <w:pStyle w:val="AIBodyText"/>
        <w:spacing w:after="0" w:line="240" w:lineRule="auto"/>
        <w:rPr>
          <w:sz w:val="16"/>
          <w:szCs w:val="16"/>
          <w:highlight w:val="green"/>
          <w:lang w:val="en-CA"/>
        </w:rPr>
      </w:pPr>
      <w:r w:rsidRPr="00793101">
        <w:rPr>
          <w:rStyle w:val="FootnoteReference"/>
          <w:sz w:val="16"/>
          <w:szCs w:val="16"/>
          <w:lang w:val="en-CA"/>
        </w:rPr>
        <w:footnoteRef/>
      </w:r>
      <w:r w:rsidRPr="00793101">
        <w:rPr>
          <w:sz w:val="16"/>
          <w:szCs w:val="16"/>
          <w:lang w:val="en-CA"/>
        </w:rPr>
        <w:t xml:space="preserve"> Amnesty International, </w:t>
      </w:r>
      <w:r w:rsidRPr="00793101">
        <w:rPr>
          <w:i/>
          <w:sz w:val="16"/>
          <w:szCs w:val="16"/>
          <w:lang w:val="en-CA"/>
        </w:rPr>
        <w:t>14-Point Program for the Prevention of Extrajudicial Executions</w:t>
      </w:r>
      <w:r w:rsidRPr="00793101">
        <w:rPr>
          <w:sz w:val="16"/>
          <w:szCs w:val="16"/>
          <w:lang w:val="en-CA"/>
        </w:rPr>
        <w:t xml:space="preserve">, AI Index: POL 35/002/1993 (Amnesty International, 1993); Amnesty International, </w:t>
      </w:r>
      <w:r w:rsidRPr="00793101">
        <w:rPr>
          <w:i/>
          <w:sz w:val="16"/>
          <w:szCs w:val="16"/>
          <w:lang w:val="en-CA"/>
        </w:rPr>
        <w:t>“Disappearances” and Political Killings – Human Rights Crisis of the 1990s: A Manual for Action</w:t>
      </w:r>
      <w:r w:rsidRPr="00793101">
        <w:rPr>
          <w:sz w:val="16"/>
          <w:szCs w:val="16"/>
          <w:lang w:val="en-CA"/>
        </w:rPr>
        <w:t xml:space="preserve">, AI Index: ACT 33/01/94 (Amnesty International: 1994) at 86.  For a discussion of universal jurisdiction over extrajudicial executions, see Amnesty International, </w:t>
      </w:r>
      <w:r w:rsidRPr="00793101">
        <w:rPr>
          <w:i/>
          <w:sz w:val="16"/>
          <w:szCs w:val="16"/>
          <w:lang w:val="en-CA"/>
        </w:rPr>
        <w:t>Universal jurisdiction: The duty of states to enact and implement legislation</w:t>
      </w:r>
      <w:r w:rsidRPr="00793101">
        <w:rPr>
          <w:sz w:val="16"/>
          <w:szCs w:val="16"/>
          <w:lang w:val="en-CA"/>
        </w:rPr>
        <w:t xml:space="preserve">, </w:t>
      </w:r>
      <w:r w:rsidRPr="00793101">
        <w:rPr>
          <w:i/>
          <w:sz w:val="16"/>
          <w:szCs w:val="16"/>
          <w:lang w:val="en-CA"/>
        </w:rPr>
        <w:t>supra</w:t>
      </w:r>
      <w:r w:rsidRPr="00793101">
        <w:rPr>
          <w:sz w:val="16"/>
          <w:szCs w:val="16"/>
          <w:lang w:val="en-CA"/>
        </w:rPr>
        <w:t xml:space="preserve"> note </w:t>
      </w:r>
      <w:r>
        <w:fldChar w:fldCharType="begin"/>
      </w:r>
      <w:r>
        <w:instrText xml:space="preserve"> NOTEREF _Ref266968928 \h  \* MERGEFORMAT </w:instrText>
      </w:r>
      <w:r>
        <w:fldChar w:fldCharType="separate"/>
      </w:r>
      <w:r>
        <w:t>6</w:t>
      </w:r>
      <w:r>
        <w:fldChar w:fldCharType="end"/>
      </w:r>
      <w:r w:rsidRPr="00793101">
        <w:rPr>
          <w:sz w:val="16"/>
          <w:szCs w:val="16"/>
          <w:lang w:val="en-CA"/>
        </w:rPr>
        <w:t>, c 11.</w:t>
      </w:r>
    </w:p>
  </w:footnote>
  <w:footnote w:id="263">
    <w:p w14:paraId="3361A08B" w14:textId="77777777" w:rsidR="00356280" w:rsidRPr="00793101" w:rsidRDefault="00356280" w:rsidP="0040644D">
      <w:pPr>
        <w:pStyle w:val="Style4"/>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Principles on the Effective Prevention and Investigation of Extra-Legal, Arbitrary and Summary Executions</w:t>
      </w:r>
      <w:r w:rsidRPr="00793101">
        <w:rPr>
          <w:szCs w:val="16"/>
          <w:lang w:val="en-CA"/>
        </w:rPr>
        <w:t xml:space="preserve">, recommended by Economic and Social Council Resolution 1989/65, 24 May 1989. Principle 18 declares: </w:t>
      </w:r>
    </w:p>
    <w:p w14:paraId="4358CAED" w14:textId="77777777" w:rsidR="00356280" w:rsidRPr="00793101" w:rsidRDefault="00356280" w:rsidP="0040644D">
      <w:pPr>
        <w:pStyle w:val="Style4"/>
        <w:spacing w:after="0" w:line="240" w:lineRule="auto"/>
        <w:ind w:right="134"/>
        <w:rPr>
          <w:szCs w:val="16"/>
          <w:lang w:val="en-CA"/>
        </w:rPr>
      </w:pPr>
      <w:r w:rsidRPr="00793101">
        <w:rPr>
          <w:szCs w:val="16"/>
          <w:lang w:val="en-CA"/>
        </w:rPr>
        <w:t xml:space="preserve">Governments shall ensure that persons identified by the investigation as having participated in extra-legal, </w:t>
      </w:r>
      <w:proofErr w:type="gramStart"/>
      <w:r w:rsidRPr="00793101">
        <w:rPr>
          <w:szCs w:val="16"/>
          <w:lang w:val="en-CA"/>
        </w:rPr>
        <w:t>arbitrary</w:t>
      </w:r>
      <w:proofErr w:type="gramEnd"/>
      <w:r w:rsidRPr="00793101">
        <w:rPr>
          <w:szCs w:val="16"/>
          <w:lang w:val="en-CA"/>
        </w:rPr>
        <w:t xml:space="preserve"> or summary executions in any territory under their jurisdiction are brought to justice. Governments shall either bring such persons to justice or cooperate to extradite any such persons to other countries wishing to exercise jurisdiction. This principle shall apply irrespective of who and where the perpetrators or the victims are, their nationalities or where the offence was committed.</w:t>
      </w:r>
    </w:p>
  </w:footnote>
  <w:footnote w:id="264">
    <w:p w14:paraId="406DC0CC" w14:textId="77FE36C8"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Crimes Against Humanity and War Crimes Act</w:t>
      </w:r>
      <w:r w:rsidRPr="00793101">
        <w:rPr>
          <w:color w:val="auto"/>
          <w:szCs w:val="16"/>
          <w:lang w:val="en-CA"/>
        </w:rPr>
        <w:t xml:space="preserv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_Ref266965596 \h  \* MERGEFORMAT </w:instrText>
      </w:r>
      <w:r>
        <w:fldChar w:fldCharType="separate"/>
      </w:r>
      <w:r>
        <w:t>12</w:t>
      </w:r>
      <w:r>
        <w:fldChar w:fldCharType="end"/>
      </w:r>
      <w:r w:rsidRPr="00793101">
        <w:rPr>
          <w:color w:val="auto"/>
          <w:szCs w:val="16"/>
          <w:lang w:val="en-CA"/>
        </w:rPr>
        <w:t>, ss 6 and 8.</w:t>
      </w:r>
    </w:p>
  </w:footnote>
  <w:footnote w:id="265">
    <w:p w14:paraId="4CC45EE7" w14:textId="6C7B2C64" w:rsidR="00356280" w:rsidRPr="00EF3CB5" w:rsidRDefault="00356280" w:rsidP="00AA6144">
      <w:pPr>
        <w:pStyle w:val="FootnoteText"/>
        <w:spacing w:after="0" w:line="240" w:lineRule="auto"/>
      </w:pPr>
      <w:r>
        <w:rPr>
          <w:rStyle w:val="FootnoteReference"/>
        </w:rPr>
        <w:footnoteRef/>
      </w:r>
      <w:r>
        <w:t xml:space="preserve"> </w:t>
      </w:r>
      <w:r w:rsidRPr="00AA6144">
        <w:rPr>
          <w:i/>
        </w:rPr>
        <w:t xml:space="preserve">Rome Statue, supra </w:t>
      </w:r>
      <w:r>
        <w:t>note 96, art.7 (2)(e); is can also be prosecuted as genocide under the rubric of 6(b) of the Rome Statute, causing serious bodily harm, etc.</w:t>
      </w:r>
    </w:p>
  </w:footnote>
  <w:footnote w:id="266">
    <w:p w14:paraId="4D8A3A69" w14:textId="0586D056" w:rsidR="00356280" w:rsidRPr="00793101" w:rsidRDefault="00356280" w:rsidP="00366317">
      <w:pPr>
        <w:pStyle w:val="AIBodyText"/>
        <w:spacing w:after="0" w:line="240" w:lineRule="auto"/>
        <w:jc w:val="both"/>
        <w:rPr>
          <w:color w:val="auto"/>
          <w:sz w:val="16"/>
          <w:szCs w:val="16"/>
          <w:highlight w:val="green"/>
          <w:lang w:val="en-CA"/>
        </w:rPr>
      </w:pPr>
      <w:r w:rsidRPr="00793101">
        <w:rPr>
          <w:rStyle w:val="FootnoteReference"/>
          <w:color w:val="auto"/>
          <w:sz w:val="16"/>
          <w:szCs w:val="16"/>
          <w:lang w:val="en-CA"/>
        </w:rPr>
        <w:footnoteRef/>
      </w:r>
      <w:r w:rsidRPr="00793101">
        <w:rPr>
          <w:color w:val="auto"/>
          <w:sz w:val="16"/>
          <w:szCs w:val="16"/>
          <w:lang w:val="en-CA"/>
        </w:rPr>
        <w:t xml:space="preserve"> </w:t>
      </w:r>
      <w:proofErr w:type="gramStart"/>
      <w:r w:rsidRPr="00793101">
        <w:rPr>
          <w:i/>
          <w:color w:val="auto"/>
          <w:sz w:val="16"/>
          <w:szCs w:val="16"/>
          <w:lang w:val="en-CA"/>
        </w:rPr>
        <w:t>Disappearance Convention,</w:t>
      </w:r>
      <w:proofErr w:type="gramEnd"/>
      <w:r w:rsidRPr="00793101">
        <w:rPr>
          <w:i/>
          <w:color w:val="auto"/>
          <w:sz w:val="16"/>
          <w:szCs w:val="16"/>
          <w:lang w:val="en-CA"/>
        </w:rPr>
        <w:t xml:space="preserve"> supra</w:t>
      </w:r>
      <w:r w:rsidRPr="00793101">
        <w:rPr>
          <w:color w:val="auto"/>
          <w:sz w:val="16"/>
          <w:szCs w:val="16"/>
          <w:lang w:val="en-CA"/>
        </w:rPr>
        <w:t xml:space="preserve"> note </w:t>
      </w:r>
      <w:r>
        <w:fldChar w:fldCharType="begin"/>
      </w:r>
      <w:r>
        <w:instrText xml:space="preserve"> NOTEREF _Ref266973218 \h  \* MERGEFORMAT </w:instrText>
      </w:r>
      <w:r>
        <w:fldChar w:fldCharType="separate"/>
      </w:r>
      <w:r w:rsidRPr="00E045AC">
        <w:rPr>
          <w:color w:val="auto"/>
          <w:sz w:val="16"/>
          <w:szCs w:val="16"/>
          <w:lang w:val="en-CA"/>
        </w:rPr>
        <w:t>227</w:t>
      </w:r>
      <w:r>
        <w:fldChar w:fldCharType="end"/>
      </w:r>
      <w:r w:rsidRPr="00793101">
        <w:rPr>
          <w:color w:val="auto"/>
          <w:sz w:val="16"/>
          <w:szCs w:val="16"/>
          <w:lang w:val="en-CA"/>
        </w:rPr>
        <w:t>.</w:t>
      </w:r>
    </w:p>
  </w:footnote>
  <w:footnote w:id="267">
    <w:p w14:paraId="4AEFA1FD" w14:textId="77777777" w:rsidR="00356280" w:rsidRPr="00793101" w:rsidRDefault="00356280" w:rsidP="0040644D">
      <w:pPr>
        <w:pStyle w:val="AIBodyText"/>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The Convention has defined enforced disappearance in Article 2 as </w:t>
      </w:r>
    </w:p>
    <w:p w14:paraId="66264A90" w14:textId="1257D756" w:rsidR="00356280" w:rsidRPr="007B53D3" w:rsidRDefault="00356280" w:rsidP="0040644D">
      <w:pPr>
        <w:pStyle w:val="AIBodyText"/>
        <w:spacing w:after="0" w:line="240" w:lineRule="auto"/>
        <w:jc w:val="both"/>
        <w:rPr>
          <w:color w:val="auto"/>
          <w:sz w:val="16"/>
          <w:szCs w:val="16"/>
          <w:lang w:val="en-US"/>
        </w:rPr>
      </w:pPr>
      <w:r w:rsidRPr="00793101">
        <w:rPr>
          <w:color w:val="auto"/>
          <w:sz w:val="16"/>
          <w:szCs w:val="16"/>
          <w:lang w:val="en-CA"/>
        </w:rPr>
        <w:t>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r>
        <w:rPr>
          <w:color w:val="auto"/>
          <w:sz w:val="16"/>
          <w:szCs w:val="16"/>
          <w:lang w:val="en-CA"/>
        </w:rPr>
        <w:t xml:space="preserve"> The Convention also imposes to states parties the obligation to ‘</w:t>
      </w:r>
      <w:r w:rsidRPr="004328EA">
        <w:rPr>
          <w:color w:val="auto"/>
          <w:sz w:val="16"/>
          <w:szCs w:val="16"/>
          <w:lang w:val="en-CA"/>
        </w:rPr>
        <w:t>take appropriate measures to investigate acts defined in article 2 committed by persons or groups of persons acting without the authorization, support or acquiescence of the State and to bring those responsible to justice</w:t>
      </w:r>
      <w:r>
        <w:rPr>
          <w:color w:val="auto"/>
          <w:sz w:val="16"/>
          <w:szCs w:val="16"/>
          <w:lang w:val="en-CA"/>
        </w:rPr>
        <w:t>’.</w:t>
      </w:r>
    </w:p>
  </w:footnote>
  <w:footnote w:id="268">
    <w:p w14:paraId="6607667A" w14:textId="4D243DE5"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Rome Statute</w:t>
      </w:r>
      <w:r w:rsidRPr="00793101">
        <w:rPr>
          <w:szCs w:val="16"/>
          <w:lang w:val="en-US"/>
        </w:rPr>
        <w:t xml:space="preserve">, </w:t>
      </w:r>
      <w:r w:rsidRPr="00793101">
        <w:rPr>
          <w:i/>
          <w:szCs w:val="16"/>
          <w:lang w:val="en-US"/>
        </w:rPr>
        <w:t>supra</w:t>
      </w:r>
      <w:r w:rsidRPr="00793101">
        <w:rPr>
          <w:szCs w:val="16"/>
          <w:lang w:val="en-US"/>
        </w:rPr>
        <w:t xml:space="preserve"> note </w:t>
      </w:r>
      <w:r>
        <w:fldChar w:fldCharType="begin"/>
      </w:r>
      <w:r>
        <w:instrText xml:space="preserve"> NOTEREF _Ref266968903 \h  \* MERGEFORMAT </w:instrText>
      </w:r>
      <w:r>
        <w:fldChar w:fldCharType="separate"/>
      </w:r>
      <w:r w:rsidRPr="00E045AC">
        <w:rPr>
          <w:szCs w:val="16"/>
          <w:lang w:val="en-US"/>
        </w:rPr>
        <w:t>97</w:t>
      </w:r>
      <w:r>
        <w:fldChar w:fldCharType="end"/>
      </w:r>
      <w:r w:rsidRPr="00793101">
        <w:rPr>
          <w:szCs w:val="16"/>
          <w:lang w:val="en-US"/>
        </w:rPr>
        <w:t>, art 7(2)(</w:t>
      </w:r>
      <w:proofErr w:type="spellStart"/>
      <w:r w:rsidRPr="00793101">
        <w:rPr>
          <w:szCs w:val="16"/>
          <w:lang w:val="en-US"/>
        </w:rPr>
        <w:t>i</w:t>
      </w:r>
      <w:proofErr w:type="spellEnd"/>
      <w:r w:rsidRPr="00793101">
        <w:rPr>
          <w:szCs w:val="16"/>
          <w:lang w:val="en-US"/>
        </w:rPr>
        <w:t>).</w:t>
      </w:r>
    </w:p>
  </w:footnote>
  <w:footnote w:id="269">
    <w:p w14:paraId="44F3534D" w14:textId="53992B59"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color w:val="auto"/>
          <w:szCs w:val="16"/>
          <w:lang w:val="en-CA"/>
        </w:rPr>
        <w:t>Criminal Code</w:t>
      </w:r>
      <w:r w:rsidRPr="00793101">
        <w:rPr>
          <w:color w:val="auto"/>
          <w:szCs w:val="16"/>
          <w:lang w:val="en-CA"/>
        </w:rPr>
        <w:t xml:space="preserve">, </w:t>
      </w:r>
      <w:r w:rsidRPr="00793101">
        <w:rPr>
          <w:i/>
          <w:color w:val="auto"/>
          <w:szCs w:val="16"/>
          <w:lang w:val="en-CA"/>
        </w:rPr>
        <w:t xml:space="preserve">supra </w:t>
      </w:r>
      <w:r w:rsidRPr="00793101">
        <w:rPr>
          <w:color w:val="auto"/>
          <w:szCs w:val="16"/>
          <w:lang w:val="en-CA"/>
        </w:rPr>
        <w:t xml:space="preserve">note </w:t>
      </w:r>
      <w:r>
        <w:fldChar w:fldCharType="begin"/>
      </w:r>
      <w:r>
        <w:instrText xml:space="preserve"> NOTEREF _Ref266965463 \h  \* MERGEFORMAT </w:instrText>
      </w:r>
      <w:r>
        <w:fldChar w:fldCharType="separate"/>
      </w:r>
      <w:r>
        <w:t>10</w:t>
      </w:r>
      <w:r>
        <w:fldChar w:fldCharType="end"/>
      </w:r>
      <w:r w:rsidRPr="00793101">
        <w:rPr>
          <w:color w:val="auto"/>
          <w:szCs w:val="16"/>
          <w:lang w:val="en-CA"/>
        </w:rPr>
        <w:t>, s 279(1).</w:t>
      </w:r>
    </w:p>
  </w:footnote>
  <w:footnote w:id="270">
    <w:p w14:paraId="45CF89EA" w14:textId="721178F6"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Lafontaine, </w:t>
      </w:r>
      <w:r w:rsidRPr="00793101">
        <w:rPr>
          <w:i/>
          <w:color w:val="auto"/>
          <w:szCs w:val="16"/>
          <w:lang w:val="en-CA"/>
        </w:rPr>
        <w:t xml:space="preserve">supra </w:t>
      </w:r>
      <w:r w:rsidRPr="00793101">
        <w:rPr>
          <w:color w:val="auto"/>
          <w:szCs w:val="16"/>
          <w:lang w:val="en-CA"/>
        </w:rPr>
        <w:t xml:space="preserve">note </w:t>
      </w:r>
      <w:r>
        <w:fldChar w:fldCharType="begin"/>
      </w:r>
      <w:r>
        <w:instrText xml:space="preserve"> NOTEREF _Ref265358056 \h  \* MERGEFORMAT </w:instrText>
      </w:r>
      <w:r>
        <w:fldChar w:fldCharType="separate"/>
      </w:r>
      <w:r w:rsidRPr="00E045AC">
        <w:rPr>
          <w:color w:val="auto"/>
          <w:szCs w:val="16"/>
          <w:lang w:val="en-CA"/>
        </w:rPr>
        <w:t>98</w:t>
      </w:r>
      <w:r>
        <w:fldChar w:fldCharType="end"/>
      </w:r>
      <w:r w:rsidRPr="00793101">
        <w:rPr>
          <w:color w:val="auto"/>
          <w:szCs w:val="16"/>
          <w:lang w:val="en-CA"/>
        </w:rPr>
        <w:t xml:space="preserve"> at 188; Currie, </w:t>
      </w:r>
      <w:r w:rsidRPr="00793101">
        <w:rPr>
          <w:i/>
          <w:color w:val="auto"/>
          <w:szCs w:val="16"/>
          <w:lang w:val="en-CA"/>
        </w:rPr>
        <w:t xml:space="preserve">supra </w:t>
      </w:r>
      <w:r w:rsidRPr="00793101">
        <w:rPr>
          <w:color w:val="auto"/>
          <w:szCs w:val="16"/>
          <w:lang w:val="en-CA"/>
        </w:rPr>
        <w:t xml:space="preserve">note </w:t>
      </w:r>
      <w:r>
        <w:fldChar w:fldCharType="begin"/>
      </w:r>
      <w:r>
        <w:instrText xml:space="preserve"> NOTEREF _Ref266966189 \h  \* MERGEFORMAT </w:instrText>
      </w:r>
      <w:r>
        <w:fldChar w:fldCharType="separate"/>
      </w:r>
      <w:r w:rsidRPr="00E045AC">
        <w:rPr>
          <w:color w:val="auto"/>
          <w:szCs w:val="16"/>
          <w:lang w:val="en-CA"/>
        </w:rPr>
        <w:t>72</w:t>
      </w:r>
      <w:r>
        <w:fldChar w:fldCharType="end"/>
      </w:r>
      <w:r w:rsidRPr="00793101">
        <w:rPr>
          <w:color w:val="auto"/>
          <w:szCs w:val="16"/>
          <w:lang w:val="en-CA"/>
        </w:rPr>
        <w:t xml:space="preserve"> at </w:t>
      </w:r>
      <w:r>
        <w:rPr>
          <w:color w:val="auto"/>
          <w:szCs w:val="16"/>
          <w:lang w:val="en-CA"/>
        </w:rPr>
        <w:t>158</w:t>
      </w:r>
      <w:r w:rsidRPr="00793101">
        <w:rPr>
          <w:color w:val="auto"/>
          <w:szCs w:val="16"/>
          <w:lang w:val="en-CA"/>
        </w:rPr>
        <w:t xml:space="preserve">. See also </w:t>
      </w:r>
      <w:r w:rsidRPr="00793101">
        <w:rPr>
          <w:i/>
          <w:color w:val="auto"/>
          <w:szCs w:val="16"/>
          <w:lang w:val="en-CA"/>
        </w:rPr>
        <w:t xml:space="preserve">Crimes Against Humanity and War Crimes Act, supra </w:t>
      </w:r>
      <w:r w:rsidRPr="00793101">
        <w:rPr>
          <w:color w:val="auto"/>
          <w:szCs w:val="16"/>
          <w:lang w:val="en-CA"/>
        </w:rPr>
        <w:t xml:space="preserve">note </w:t>
      </w:r>
      <w:r>
        <w:fldChar w:fldCharType="begin"/>
      </w:r>
      <w:r>
        <w:instrText xml:space="preserve"> NOTEREF _Ref266965596 \h  \* MERGEFORMAT </w:instrText>
      </w:r>
      <w:r>
        <w:fldChar w:fldCharType="separate"/>
      </w:r>
      <w:r>
        <w:t>12</w:t>
      </w:r>
      <w:r>
        <w:fldChar w:fldCharType="end"/>
      </w:r>
      <w:r w:rsidRPr="00793101">
        <w:rPr>
          <w:color w:val="auto"/>
          <w:szCs w:val="16"/>
          <w:lang w:val="en-CA"/>
        </w:rPr>
        <w:t xml:space="preserve"> at s 8(3).</w:t>
      </w:r>
    </w:p>
  </w:footnote>
  <w:footnote w:id="271">
    <w:p w14:paraId="5D25748D" w14:textId="154F28F2" w:rsidR="00356280" w:rsidRPr="00EF3CB5" w:rsidRDefault="00356280" w:rsidP="00AA6144">
      <w:pPr>
        <w:pStyle w:val="FootnoteText"/>
        <w:spacing w:after="0" w:line="240" w:lineRule="auto"/>
      </w:pPr>
      <w:r>
        <w:rPr>
          <w:rStyle w:val="FootnoteReference"/>
        </w:rPr>
        <w:footnoteRef/>
      </w:r>
      <w:r>
        <w:t xml:space="preserve"> </w:t>
      </w:r>
      <w:r w:rsidRPr="00AA6144">
        <w:rPr>
          <w:i/>
        </w:rPr>
        <w:t>Rome Statue, supra</w:t>
      </w:r>
      <w:r>
        <w:t xml:space="preserve"> note 127, art 7(2)(e); is can also be prosecuted as genocide under the rubric of 6(b) of the Rome Statute, causing serious bodily harm etc. </w:t>
      </w:r>
    </w:p>
  </w:footnote>
  <w:footnote w:id="272">
    <w:p w14:paraId="45EAA0C9" w14:textId="77777777" w:rsidR="00356280" w:rsidRPr="00793101" w:rsidRDefault="00356280" w:rsidP="00AF0FD5">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Charter of the International Military Tribunal, Annex to the Agreement for the Prosecution and Punishment of the Major War Criminals of the European Axis</w:t>
      </w:r>
      <w:r w:rsidRPr="00793101">
        <w:rPr>
          <w:sz w:val="16"/>
          <w:szCs w:val="16"/>
          <w:lang w:val="en-CA"/>
        </w:rPr>
        <w:t>, London,</w:t>
      </w:r>
      <w:r w:rsidRPr="00793101">
        <w:rPr>
          <w:i/>
          <w:sz w:val="16"/>
          <w:szCs w:val="16"/>
          <w:lang w:val="en-CA"/>
        </w:rPr>
        <w:t xml:space="preserve"> </w:t>
      </w:r>
      <w:r w:rsidRPr="00793101">
        <w:rPr>
          <w:sz w:val="16"/>
          <w:szCs w:val="16"/>
          <w:lang w:val="en-CA"/>
        </w:rPr>
        <w:t>8 August 1945 [</w:t>
      </w:r>
      <w:r w:rsidRPr="00793101">
        <w:rPr>
          <w:i/>
          <w:sz w:val="16"/>
          <w:szCs w:val="16"/>
          <w:lang w:val="en-CA"/>
        </w:rPr>
        <w:t>Nuremberg Charter</w:t>
      </w:r>
      <w:r w:rsidRPr="00793101">
        <w:rPr>
          <w:sz w:val="16"/>
          <w:szCs w:val="16"/>
          <w:lang w:val="en-CA"/>
        </w:rPr>
        <w:t>], art 6(a): “CRIMES AGAINST PEACE: namely, planning, preparation, initiation or waging of a war of aggression, or a war in violation of international treaties, agreements or assurances, or participation in a common plan or conspiracy for the accomplishment of any of the foregoing[.]”</w:t>
      </w:r>
    </w:p>
  </w:footnote>
  <w:footnote w:id="273">
    <w:p w14:paraId="5527237F" w14:textId="60BC1AFB"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Rome Statute</w:t>
      </w:r>
      <w:r w:rsidRPr="00793101">
        <w:rPr>
          <w:sz w:val="16"/>
          <w:szCs w:val="16"/>
          <w:lang w:val="en-CA"/>
        </w:rPr>
        <w:t xml:space="preserve">, </w:t>
      </w:r>
      <w:r w:rsidRPr="00793101">
        <w:rPr>
          <w:i/>
          <w:sz w:val="16"/>
          <w:szCs w:val="16"/>
          <w:lang w:val="en-CA"/>
        </w:rPr>
        <w:t>supra</w:t>
      </w:r>
      <w:r w:rsidRPr="00793101">
        <w:rPr>
          <w:sz w:val="16"/>
          <w:szCs w:val="16"/>
          <w:lang w:val="en-CA"/>
        </w:rPr>
        <w:t xml:space="preserve"> note </w:t>
      </w:r>
      <w:r>
        <w:fldChar w:fldCharType="begin"/>
      </w:r>
      <w:r>
        <w:instrText xml:space="preserve"> NOTEREF _Ref266968903 \h  \* MERGEFORMAT </w:instrText>
      </w:r>
      <w:r>
        <w:fldChar w:fldCharType="separate"/>
      </w:r>
      <w:r w:rsidRPr="00E045AC">
        <w:rPr>
          <w:sz w:val="16"/>
          <w:szCs w:val="16"/>
          <w:lang w:val="en-CA"/>
        </w:rPr>
        <w:t>97</w:t>
      </w:r>
      <w:r>
        <w:fldChar w:fldCharType="end"/>
      </w:r>
      <w:r w:rsidRPr="00793101">
        <w:rPr>
          <w:sz w:val="16"/>
          <w:szCs w:val="16"/>
          <w:lang w:val="en-CA"/>
        </w:rPr>
        <w:t xml:space="preserve">, art 5 (2). </w:t>
      </w:r>
    </w:p>
  </w:footnote>
  <w:footnote w:id="274">
    <w:p w14:paraId="5989AF3A" w14:textId="77777777" w:rsidR="00356280" w:rsidRPr="00793101" w:rsidRDefault="00356280" w:rsidP="0040644D">
      <w:pPr>
        <w:pStyle w:val="FootnoteText"/>
        <w:spacing w:after="0" w:line="240" w:lineRule="auto"/>
        <w:jc w:val="both"/>
        <w:rPr>
          <w:szCs w:val="16"/>
          <w:lang w:val="en-CA"/>
        </w:rPr>
      </w:pPr>
      <w:r w:rsidRPr="00793101">
        <w:rPr>
          <w:rStyle w:val="FootnoteReference"/>
          <w:szCs w:val="16"/>
          <w:lang w:val="en-CA"/>
        </w:rPr>
        <w:footnoteRef/>
      </w:r>
      <w:r w:rsidRPr="00793101">
        <w:rPr>
          <w:szCs w:val="16"/>
          <w:lang w:val="en-CA"/>
        </w:rPr>
        <w:t xml:space="preserve"> </w:t>
      </w:r>
      <w:r w:rsidRPr="00793101">
        <w:rPr>
          <w:i/>
          <w:color w:val="auto"/>
          <w:szCs w:val="16"/>
          <w:lang w:val="en-CA"/>
        </w:rPr>
        <w:t xml:space="preserve">Amendments on the crime of aggression to the Rome Statute of the International Criminal Court, </w:t>
      </w:r>
      <w:r w:rsidRPr="00793101">
        <w:rPr>
          <w:iCs/>
          <w:color w:val="auto"/>
          <w:szCs w:val="16"/>
          <w:lang w:val="en-CA"/>
        </w:rPr>
        <w:t>11 June 2010, RC/ Res 6.</w:t>
      </w:r>
    </w:p>
  </w:footnote>
  <w:footnote w:id="275">
    <w:p w14:paraId="12143A16" w14:textId="3553A14E"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With regard to war crimes, see, for example, </w:t>
      </w:r>
      <w:r w:rsidRPr="00793101">
        <w:rPr>
          <w:i/>
          <w:szCs w:val="16"/>
          <w:lang w:val="en-CA"/>
        </w:rPr>
        <w:t>1907 Hague Convention IV Respecting the Laws and Customs of War on Land</w:t>
      </w:r>
      <w:r w:rsidRPr="00793101">
        <w:rPr>
          <w:szCs w:val="16"/>
          <w:lang w:val="en-CA"/>
        </w:rPr>
        <w:t xml:space="preserve">, reprinted in Adam Roberts &amp; Richard </w:t>
      </w:r>
      <w:proofErr w:type="spellStart"/>
      <w:r w:rsidRPr="00793101">
        <w:rPr>
          <w:szCs w:val="16"/>
          <w:lang w:val="en-CA"/>
        </w:rPr>
        <w:t>Guelff</w:t>
      </w:r>
      <w:proofErr w:type="spellEnd"/>
      <w:r w:rsidRPr="00793101">
        <w:rPr>
          <w:szCs w:val="16"/>
          <w:lang w:val="en-CA"/>
        </w:rPr>
        <w:t xml:space="preserve">, </w:t>
      </w:r>
      <w:r w:rsidRPr="00793101">
        <w:rPr>
          <w:i/>
          <w:szCs w:val="16"/>
          <w:lang w:val="en-CA"/>
        </w:rPr>
        <w:t>Documents on the Laws of War</w:t>
      </w:r>
      <w:r w:rsidRPr="00793101">
        <w:rPr>
          <w:szCs w:val="16"/>
          <w:lang w:val="en-CA"/>
        </w:rPr>
        <w:t xml:space="preserve"> 67, 3</w:t>
      </w:r>
      <w:r w:rsidRPr="00793101">
        <w:rPr>
          <w:szCs w:val="16"/>
          <w:vertAlign w:val="superscript"/>
          <w:lang w:val="en-CA"/>
        </w:rPr>
        <w:t>rd</w:t>
      </w:r>
      <w:r w:rsidRPr="00793101">
        <w:rPr>
          <w:szCs w:val="16"/>
          <w:lang w:val="en-CA"/>
        </w:rPr>
        <w:t xml:space="preserve"> ed (Oxford: Oxford University Press, 2000). See also </w:t>
      </w:r>
      <w:proofErr w:type="spellStart"/>
      <w:r w:rsidRPr="00793101">
        <w:rPr>
          <w:szCs w:val="16"/>
          <w:lang w:val="en-CA"/>
        </w:rPr>
        <w:t>Hisakazu</w:t>
      </w:r>
      <w:proofErr w:type="spellEnd"/>
      <w:r w:rsidRPr="00793101">
        <w:rPr>
          <w:szCs w:val="16"/>
          <w:lang w:val="en-CA"/>
        </w:rPr>
        <w:t xml:space="preserve"> Fujita, </w:t>
      </w:r>
      <w:proofErr w:type="spellStart"/>
      <w:r w:rsidRPr="00793101">
        <w:rPr>
          <w:szCs w:val="16"/>
          <w:lang w:val="en-CA"/>
        </w:rPr>
        <w:t>Isomi</w:t>
      </w:r>
      <w:proofErr w:type="spellEnd"/>
      <w:r w:rsidRPr="00793101">
        <w:rPr>
          <w:szCs w:val="16"/>
          <w:lang w:val="en-CA"/>
        </w:rPr>
        <w:t xml:space="preserve"> Suzuki &amp; </w:t>
      </w:r>
      <w:proofErr w:type="spellStart"/>
      <w:r w:rsidRPr="00793101">
        <w:rPr>
          <w:szCs w:val="16"/>
          <w:lang w:val="en-CA"/>
        </w:rPr>
        <w:t>Kantato</w:t>
      </w:r>
      <w:proofErr w:type="spellEnd"/>
      <w:r w:rsidRPr="00793101">
        <w:rPr>
          <w:szCs w:val="16"/>
          <w:lang w:val="en-CA"/>
        </w:rPr>
        <w:t xml:space="preserve"> Nagano, </w:t>
      </w:r>
      <w:r w:rsidRPr="00793101">
        <w:rPr>
          <w:i/>
          <w:szCs w:val="16"/>
          <w:lang w:val="en-CA"/>
        </w:rPr>
        <w:t>War and the Rights of Individuals, Renaissance of Individual Compensation</w:t>
      </w:r>
      <w:r w:rsidRPr="00793101">
        <w:rPr>
          <w:szCs w:val="16"/>
          <w:lang w:val="en-CA"/>
        </w:rPr>
        <w:t xml:space="preserve">, (Tokyo: Nippon </w:t>
      </w:r>
      <w:proofErr w:type="spellStart"/>
      <w:r w:rsidRPr="00793101">
        <w:rPr>
          <w:szCs w:val="16"/>
          <w:lang w:val="en-CA"/>
        </w:rPr>
        <w:t>Hyoron</w:t>
      </w:r>
      <w:proofErr w:type="spellEnd"/>
      <w:r w:rsidRPr="00793101">
        <w:rPr>
          <w:szCs w:val="16"/>
          <w:lang w:val="en-CA"/>
        </w:rPr>
        <w:t xml:space="preserve">-sha Co </w:t>
      </w:r>
      <w:proofErr w:type="spellStart"/>
      <w:r w:rsidRPr="00793101">
        <w:rPr>
          <w:szCs w:val="16"/>
          <w:lang w:val="en-CA"/>
        </w:rPr>
        <w:t>Ltd.Publishers</w:t>
      </w:r>
      <w:proofErr w:type="spellEnd"/>
      <w:r w:rsidRPr="00793101">
        <w:rPr>
          <w:szCs w:val="16"/>
          <w:lang w:val="en-CA"/>
        </w:rPr>
        <w:t xml:space="preserve">, 1999), expert opinions by Frits </w:t>
      </w:r>
      <w:proofErr w:type="spellStart"/>
      <w:r w:rsidRPr="00793101">
        <w:rPr>
          <w:szCs w:val="16"/>
          <w:lang w:val="en-CA"/>
        </w:rPr>
        <w:t>Kalshoven</w:t>
      </w:r>
      <w:proofErr w:type="spellEnd"/>
      <w:r w:rsidRPr="00793101">
        <w:rPr>
          <w:szCs w:val="16"/>
          <w:lang w:val="en-CA"/>
        </w:rPr>
        <w:t xml:space="preserve"> at 31; Eric David at 49; Christopher Greenwood at 59; </w:t>
      </w:r>
      <w:r w:rsidRPr="00793101">
        <w:rPr>
          <w:i/>
          <w:szCs w:val="16"/>
          <w:lang w:val="en-CA"/>
        </w:rPr>
        <w:t>Protocol I, supra</w:t>
      </w:r>
      <w:r w:rsidRPr="00793101">
        <w:rPr>
          <w:szCs w:val="16"/>
          <w:lang w:val="en-CA"/>
        </w:rPr>
        <w:t xml:space="preserve"> note </w:t>
      </w:r>
      <w:r>
        <w:fldChar w:fldCharType="begin"/>
      </w:r>
      <w:r>
        <w:instrText xml:space="preserve"> NOTEREF _Ref266969551 \h  \* MERGEFORMAT </w:instrText>
      </w:r>
      <w:r>
        <w:fldChar w:fldCharType="separate"/>
      </w:r>
      <w:r w:rsidRPr="00E045AC">
        <w:rPr>
          <w:szCs w:val="16"/>
          <w:lang w:val="en-CA"/>
        </w:rPr>
        <w:t>93</w:t>
      </w:r>
      <w:r>
        <w:fldChar w:fldCharType="end"/>
      </w:r>
      <w:r w:rsidRPr="00793101">
        <w:rPr>
          <w:szCs w:val="16"/>
          <w:lang w:val="en-CA"/>
        </w:rPr>
        <w:t xml:space="preserve"> at art 91 (Responsibility). With regard to crimes under international law and other human rights violations and abuses, see, for example, Human Rights Committee, </w:t>
      </w:r>
      <w:r w:rsidRPr="00793101">
        <w:rPr>
          <w:i/>
          <w:szCs w:val="16"/>
          <w:lang w:val="en-CA"/>
        </w:rPr>
        <w:t>General Comment 31, Nature of the Legal Obligation on States Parties to the Covenant,</w:t>
      </w:r>
      <w:r w:rsidRPr="00793101">
        <w:rPr>
          <w:szCs w:val="16"/>
          <w:lang w:val="en-CA"/>
        </w:rPr>
        <w:t xml:space="preserve"> UN Doc CCPR/C/21/Rev1/Add13 (2004) (scope of Article 2 of the ICCPR); </w:t>
      </w:r>
      <w:r w:rsidRPr="00793101">
        <w:rPr>
          <w:i/>
          <w:szCs w:val="16"/>
          <w:lang w:val="en-CA"/>
        </w:rPr>
        <w:t>Convention Against Torture</w:t>
      </w:r>
      <w:r w:rsidRPr="00793101">
        <w:rPr>
          <w:szCs w:val="16"/>
          <w:lang w:val="en-CA"/>
        </w:rPr>
        <w:t xml:space="preserve">, </w:t>
      </w:r>
      <w:r w:rsidRPr="00793101">
        <w:rPr>
          <w:i/>
          <w:szCs w:val="16"/>
          <w:lang w:val="en-CA"/>
        </w:rPr>
        <w:t xml:space="preserve">supra </w:t>
      </w:r>
      <w:r w:rsidRPr="00793101">
        <w:rPr>
          <w:szCs w:val="16"/>
          <w:lang w:val="en-CA"/>
        </w:rPr>
        <w:t xml:space="preserve">note 222, at art 14; </w:t>
      </w:r>
      <w:r w:rsidRPr="00793101">
        <w:rPr>
          <w:i/>
          <w:szCs w:val="16"/>
          <w:lang w:val="en-CA"/>
        </w:rPr>
        <w:t>Declaration of Basic Principles of Justice for Victims of Crime and Abuse of Power</w:t>
      </w:r>
      <w:r w:rsidRPr="00793101">
        <w:rPr>
          <w:szCs w:val="16"/>
          <w:lang w:val="en-CA"/>
        </w:rPr>
        <w:t xml:space="preserve">, A/RES/40/34 (1985); </w:t>
      </w:r>
      <w:r w:rsidRPr="00793101">
        <w:rPr>
          <w:i/>
          <w:szCs w:val="16"/>
          <w:lang w:val="en-CA"/>
        </w:rPr>
        <w:t xml:space="preserve">Basic Principles and Guidelines on the Right to a Remedy and Reparation for Victims of Gross Violations of International Human Rights Law and Serious Violations of International Humanitarian Law,  </w:t>
      </w:r>
      <w:r w:rsidRPr="00793101">
        <w:rPr>
          <w:szCs w:val="16"/>
          <w:lang w:val="en-CA"/>
        </w:rPr>
        <w:t>GA Res A/RES/60/147, UN Doc E/CN4/2005/35 (2005) [</w:t>
      </w:r>
      <w:r w:rsidRPr="00793101">
        <w:rPr>
          <w:i/>
          <w:szCs w:val="16"/>
          <w:lang w:val="en-CA"/>
        </w:rPr>
        <w:t>Van Boven-</w:t>
      </w:r>
      <w:proofErr w:type="spellStart"/>
      <w:r w:rsidRPr="00793101">
        <w:rPr>
          <w:i/>
          <w:szCs w:val="16"/>
          <w:lang w:val="en-CA"/>
        </w:rPr>
        <w:t>Bassiouni</w:t>
      </w:r>
      <w:proofErr w:type="spellEnd"/>
      <w:r w:rsidRPr="00793101">
        <w:rPr>
          <w:i/>
          <w:szCs w:val="16"/>
          <w:lang w:val="en-CA"/>
        </w:rPr>
        <w:t xml:space="preserve"> Principles</w:t>
      </w:r>
      <w:r w:rsidRPr="00793101">
        <w:rPr>
          <w:szCs w:val="16"/>
          <w:lang w:val="en-CA"/>
        </w:rPr>
        <w:t xml:space="preserve">]; </w:t>
      </w:r>
      <w:r w:rsidRPr="00793101">
        <w:rPr>
          <w:i/>
          <w:szCs w:val="16"/>
          <w:lang w:val="en-CA"/>
        </w:rPr>
        <w:t>Updated Set of principles for the protection and promotion of human rights through action to combat impunity</w:t>
      </w:r>
      <w:r w:rsidRPr="00793101">
        <w:rPr>
          <w:szCs w:val="16"/>
          <w:lang w:val="en-CA"/>
        </w:rPr>
        <w:t>, E/CN4/2005/102/Add1 (2005) [</w:t>
      </w:r>
      <w:proofErr w:type="spellStart"/>
      <w:r w:rsidRPr="00793101">
        <w:rPr>
          <w:szCs w:val="16"/>
          <w:lang w:val="en-CA"/>
        </w:rPr>
        <w:t>Joinet-Orentlicher</w:t>
      </w:r>
      <w:proofErr w:type="spellEnd"/>
      <w:r w:rsidRPr="00793101">
        <w:rPr>
          <w:szCs w:val="16"/>
          <w:lang w:val="en-CA"/>
        </w:rPr>
        <w:t xml:space="preserve"> Principles]. </w:t>
      </w:r>
    </w:p>
    <w:p w14:paraId="2D0514B1" w14:textId="77777777" w:rsidR="00356280" w:rsidRPr="00793101" w:rsidRDefault="00356280" w:rsidP="0040644D">
      <w:pPr>
        <w:pStyle w:val="FootnoteText"/>
        <w:spacing w:after="0" w:line="240" w:lineRule="auto"/>
        <w:rPr>
          <w:szCs w:val="16"/>
          <w:lang w:val="en-CA"/>
        </w:rPr>
      </w:pPr>
      <w:r w:rsidRPr="006D2974">
        <w:rPr>
          <w:szCs w:val="16"/>
          <w:lang w:val="en-CA"/>
        </w:rPr>
        <w:t>For a more complete discussion of the right to reparation, see Amnesty International paper XXX.</w:t>
      </w:r>
    </w:p>
  </w:footnote>
  <w:footnote w:id="276">
    <w:p w14:paraId="36F794B5" w14:textId="77777777"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See, for example, Amnesty International, </w:t>
      </w:r>
      <w:r w:rsidRPr="00793101">
        <w:rPr>
          <w:i/>
          <w:sz w:val="16"/>
          <w:szCs w:val="16"/>
          <w:lang w:val="en-CA"/>
        </w:rPr>
        <w:t>Universal jurisdiction: The scope of universal civil jurisdiction</w:t>
      </w:r>
      <w:r w:rsidRPr="00793101">
        <w:rPr>
          <w:sz w:val="16"/>
          <w:szCs w:val="16"/>
          <w:lang w:val="en-CA"/>
        </w:rPr>
        <w:t>, IOR 53/008/2007 (Amnesty International, 2007) noting legislative provisions in 25 countries with universal civil jurisdiction, including: Argentina, Austria, Belgium, Bolivia, China, Colombia, Costa Rica, Denmark, Finland, France, Germany, Greece, Italy, Luxembourg, Myanmar, the Netherlands, Panama, Poland, Portugal, Romania, Senegal, Spain, Sweden, United States and Venezuela).</w:t>
      </w:r>
    </w:p>
  </w:footnote>
  <w:footnote w:id="277">
    <w:p w14:paraId="5310A564"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See V Black &amp; E </w:t>
      </w:r>
      <w:proofErr w:type="spellStart"/>
      <w:r w:rsidRPr="00793101">
        <w:rPr>
          <w:szCs w:val="16"/>
          <w:lang w:val="en-US"/>
        </w:rPr>
        <w:t>Babin</w:t>
      </w:r>
      <w:proofErr w:type="spellEnd"/>
      <w:r w:rsidRPr="00793101">
        <w:rPr>
          <w:szCs w:val="16"/>
          <w:lang w:val="en-US"/>
        </w:rPr>
        <w:t>, “</w:t>
      </w:r>
      <w:proofErr w:type="spellStart"/>
      <w:r w:rsidRPr="00793101">
        <w:rPr>
          <w:szCs w:val="16"/>
          <w:lang w:val="en-US"/>
        </w:rPr>
        <w:t>Mareva</w:t>
      </w:r>
      <w:proofErr w:type="spellEnd"/>
      <w:r w:rsidRPr="00793101">
        <w:rPr>
          <w:szCs w:val="16"/>
          <w:lang w:val="en-US"/>
        </w:rPr>
        <w:t xml:space="preserve"> Injunctions in Canada: Territorial Aspects” (1997) 28 Can Bus LJ 431.</w:t>
      </w:r>
    </w:p>
  </w:footnote>
  <w:footnote w:id="278">
    <w:p w14:paraId="33830689" w14:textId="1C8DD6BC" w:rsidR="00356280" w:rsidRPr="008A0F11" w:rsidRDefault="00356280" w:rsidP="008A0F11">
      <w:pPr>
        <w:pStyle w:val="FootnoteText"/>
        <w:spacing w:after="0" w:line="240" w:lineRule="auto"/>
        <w:rPr>
          <w:szCs w:val="16"/>
          <w:lang w:val="en-US"/>
        </w:rPr>
      </w:pPr>
      <w:r w:rsidRPr="00793101">
        <w:rPr>
          <w:rStyle w:val="FootnoteReference"/>
          <w:szCs w:val="16"/>
        </w:rPr>
        <w:footnoteRef/>
      </w:r>
      <w:r w:rsidRPr="00793101">
        <w:rPr>
          <w:szCs w:val="16"/>
        </w:rPr>
        <w:t xml:space="preserve"> Jennifer </w:t>
      </w:r>
      <w:proofErr w:type="spellStart"/>
      <w:r w:rsidRPr="008A0F11">
        <w:rPr>
          <w:szCs w:val="16"/>
        </w:rPr>
        <w:t>Besner</w:t>
      </w:r>
      <w:proofErr w:type="spellEnd"/>
      <w:r w:rsidRPr="008A0F11">
        <w:rPr>
          <w:szCs w:val="16"/>
        </w:rPr>
        <w:t xml:space="preserve"> &amp; Amir Attaran, “</w:t>
      </w:r>
      <w:r w:rsidRPr="008A0F11">
        <w:rPr>
          <w:bCs/>
          <w:szCs w:val="16"/>
          <w:lang w:val="en-US"/>
        </w:rPr>
        <w:t>Civil liability in Canada’s courts for torture committed abroad: The unsatisfactory interpretation of the State Immunity Act 1985” (2008) 16 Tort L Rev 150.</w:t>
      </w:r>
    </w:p>
  </w:footnote>
  <w:footnote w:id="279">
    <w:p w14:paraId="3815D925" w14:textId="7A2189C2" w:rsidR="00356280" w:rsidRPr="00AA6144" w:rsidRDefault="00356280" w:rsidP="00AA6144">
      <w:pPr>
        <w:widowControl/>
        <w:suppressAutoHyphens w:val="0"/>
        <w:spacing w:after="0" w:line="240" w:lineRule="auto"/>
        <w:rPr>
          <w:rFonts w:ascii="Times New Roman" w:hAnsi="Times New Roman"/>
          <w:color w:val="auto"/>
          <w:szCs w:val="16"/>
          <w:lang w:val="en-CA" w:eastAsia="en-US"/>
        </w:rPr>
      </w:pPr>
      <w:r w:rsidRPr="00AA6144">
        <w:rPr>
          <w:rStyle w:val="FootnoteReference"/>
          <w:sz w:val="16"/>
          <w:szCs w:val="16"/>
        </w:rPr>
        <w:footnoteRef/>
      </w:r>
      <w:r w:rsidRPr="00AA6144">
        <w:rPr>
          <w:sz w:val="16"/>
          <w:szCs w:val="16"/>
        </w:rPr>
        <w:t xml:space="preserve"> </w:t>
      </w:r>
      <w:r w:rsidRPr="000C2340">
        <w:rPr>
          <w:i/>
          <w:iCs/>
          <w:sz w:val="16"/>
          <w:szCs w:val="16"/>
          <w:lang w:val="en-CA"/>
        </w:rPr>
        <w:t xml:space="preserve">Araya v. </w:t>
      </w:r>
      <w:proofErr w:type="spellStart"/>
      <w:r w:rsidRPr="000C2340">
        <w:rPr>
          <w:i/>
          <w:iCs/>
          <w:sz w:val="16"/>
          <w:szCs w:val="16"/>
          <w:lang w:val="en-CA"/>
        </w:rPr>
        <w:t>Nevsun</w:t>
      </w:r>
      <w:proofErr w:type="spellEnd"/>
      <w:r w:rsidRPr="000C2340">
        <w:rPr>
          <w:i/>
          <w:iCs/>
          <w:sz w:val="16"/>
          <w:szCs w:val="16"/>
          <w:lang w:val="en-CA"/>
        </w:rPr>
        <w:t xml:space="preserve"> Resources Ltd</w:t>
      </w:r>
      <w:r w:rsidRPr="000C2340">
        <w:rPr>
          <w:sz w:val="16"/>
          <w:szCs w:val="16"/>
          <w:lang w:val="en-CA"/>
        </w:rPr>
        <w:t>., 2016 BCSC 1856 [</w:t>
      </w:r>
      <w:proofErr w:type="spellStart"/>
      <w:r w:rsidRPr="000C2340">
        <w:rPr>
          <w:sz w:val="16"/>
          <w:szCs w:val="16"/>
          <w:lang w:val="en-CA"/>
        </w:rPr>
        <w:t>Nevsun</w:t>
      </w:r>
      <w:proofErr w:type="spellEnd"/>
      <w:r w:rsidRPr="000C2340">
        <w:rPr>
          <w:sz w:val="16"/>
          <w:szCs w:val="16"/>
          <w:lang w:val="en-CA"/>
        </w:rPr>
        <w:t>].</w:t>
      </w:r>
    </w:p>
  </w:footnote>
  <w:footnote w:id="280">
    <w:p w14:paraId="278AE747" w14:textId="43516E6E" w:rsidR="00356280" w:rsidRPr="007B53D3" w:rsidRDefault="00356280" w:rsidP="00AA6144">
      <w:pPr>
        <w:widowControl/>
        <w:suppressAutoHyphens w:val="0"/>
        <w:spacing w:after="0" w:line="240" w:lineRule="auto"/>
        <w:rPr>
          <w:rFonts w:ascii="Times New Roman" w:hAnsi="Times New Roman"/>
          <w:color w:val="auto"/>
          <w:szCs w:val="16"/>
          <w:lang w:val="es-AR" w:eastAsia="en-US"/>
        </w:rPr>
      </w:pPr>
      <w:r w:rsidRPr="00AA6144">
        <w:rPr>
          <w:rStyle w:val="FootnoteReference"/>
          <w:sz w:val="16"/>
          <w:szCs w:val="16"/>
        </w:rPr>
        <w:footnoteRef/>
      </w:r>
      <w:r w:rsidRPr="007B53D3">
        <w:rPr>
          <w:i/>
          <w:sz w:val="16"/>
          <w:szCs w:val="16"/>
          <w:lang w:val="es-AR"/>
        </w:rPr>
        <w:t xml:space="preserve"> </w:t>
      </w:r>
      <w:proofErr w:type="spellStart"/>
      <w:r w:rsidRPr="007B53D3">
        <w:rPr>
          <w:i/>
          <w:sz w:val="16"/>
          <w:szCs w:val="16"/>
          <w:lang w:val="es-AR"/>
        </w:rPr>
        <w:t>Hape</w:t>
      </w:r>
      <w:proofErr w:type="spellEnd"/>
      <w:r w:rsidRPr="007B53D3">
        <w:rPr>
          <w:i/>
          <w:sz w:val="16"/>
          <w:szCs w:val="16"/>
          <w:lang w:val="es-AR"/>
        </w:rPr>
        <w:t>, supra</w:t>
      </w:r>
      <w:r w:rsidRPr="007B53D3">
        <w:rPr>
          <w:sz w:val="16"/>
          <w:szCs w:val="16"/>
          <w:lang w:val="es-AR"/>
        </w:rPr>
        <w:t xml:space="preserve"> note 7</w:t>
      </w:r>
      <w:r w:rsidRPr="007B53D3">
        <w:rPr>
          <w:rFonts w:ascii="Times New Roman" w:hAnsi="Times New Roman"/>
          <w:sz w:val="16"/>
          <w:szCs w:val="16"/>
          <w:shd w:val="clear" w:color="auto" w:fill="FFFFFF"/>
          <w:lang w:val="es-AR" w:eastAsia="en-US"/>
        </w:rPr>
        <w:t>.</w:t>
      </w:r>
    </w:p>
  </w:footnote>
  <w:footnote w:id="281">
    <w:p w14:paraId="6EA277BC" w14:textId="7F914167" w:rsidR="00356280" w:rsidRPr="00FD1463" w:rsidRDefault="00356280" w:rsidP="00AA6144">
      <w:pPr>
        <w:pStyle w:val="FootnoteText"/>
        <w:spacing w:after="0" w:line="240" w:lineRule="auto"/>
        <w:rPr>
          <w:szCs w:val="16"/>
          <w:lang w:val="es-AR"/>
        </w:rPr>
      </w:pPr>
      <w:r w:rsidRPr="001B3575">
        <w:rPr>
          <w:rStyle w:val="FootnoteReference"/>
          <w:szCs w:val="16"/>
        </w:rPr>
        <w:footnoteRef/>
      </w:r>
      <w:r w:rsidRPr="00FD1463">
        <w:rPr>
          <w:szCs w:val="16"/>
          <w:lang w:val="es-AR"/>
        </w:rPr>
        <w:t xml:space="preserve"> </w:t>
      </w:r>
      <w:proofErr w:type="spellStart"/>
      <w:r w:rsidRPr="00FD1463">
        <w:rPr>
          <w:i/>
          <w:szCs w:val="16"/>
          <w:lang w:val="es-AR"/>
        </w:rPr>
        <w:t>Nevsun</w:t>
      </w:r>
      <w:proofErr w:type="spellEnd"/>
      <w:r w:rsidRPr="00FD1463">
        <w:rPr>
          <w:szCs w:val="16"/>
          <w:lang w:val="es-AR"/>
        </w:rPr>
        <w:t>, supra note 275.</w:t>
      </w:r>
    </w:p>
  </w:footnote>
  <w:footnote w:id="282">
    <w:p w14:paraId="7869D59D" w14:textId="1D704869" w:rsidR="00356280" w:rsidRPr="00AA6144" w:rsidRDefault="00356280" w:rsidP="00AA6144">
      <w:pPr>
        <w:widowControl/>
        <w:suppressAutoHyphens w:val="0"/>
        <w:spacing w:after="0" w:line="240" w:lineRule="auto"/>
        <w:rPr>
          <w:rFonts w:ascii="Times New Roman" w:hAnsi="Times New Roman"/>
          <w:color w:val="auto"/>
          <w:sz w:val="24"/>
          <w:lang w:val="en-CA" w:eastAsia="en-US"/>
        </w:rPr>
      </w:pPr>
      <w:r w:rsidRPr="00AA6144">
        <w:rPr>
          <w:rStyle w:val="FootnoteReference"/>
          <w:sz w:val="16"/>
          <w:szCs w:val="16"/>
        </w:rPr>
        <w:footnoteRef/>
      </w:r>
      <w:r w:rsidRPr="00AA6144">
        <w:rPr>
          <w:sz w:val="16"/>
          <w:szCs w:val="16"/>
        </w:rPr>
        <w:t xml:space="preserve"> </w:t>
      </w:r>
      <w:r w:rsidRPr="00356280">
        <w:rPr>
          <w:i/>
          <w:iCs/>
          <w:sz w:val="16"/>
          <w:szCs w:val="16"/>
          <w:lang w:val="en-US"/>
        </w:rPr>
        <w:t xml:space="preserve">Araya v. </w:t>
      </w:r>
      <w:proofErr w:type="spellStart"/>
      <w:r w:rsidRPr="00356280">
        <w:rPr>
          <w:i/>
          <w:iCs/>
          <w:sz w:val="16"/>
          <w:szCs w:val="16"/>
          <w:lang w:val="en-US"/>
        </w:rPr>
        <w:t>Nevsun</w:t>
      </w:r>
      <w:proofErr w:type="spellEnd"/>
      <w:r w:rsidRPr="00356280">
        <w:rPr>
          <w:i/>
          <w:iCs/>
          <w:sz w:val="16"/>
          <w:szCs w:val="16"/>
          <w:lang w:val="en-US"/>
        </w:rPr>
        <w:t xml:space="preserve"> Resources Ltd</w:t>
      </w:r>
      <w:r w:rsidRPr="00356280">
        <w:rPr>
          <w:sz w:val="16"/>
          <w:szCs w:val="16"/>
          <w:lang w:val="en-US"/>
        </w:rPr>
        <w:t>., 2017 BCCA 40.</w:t>
      </w:r>
    </w:p>
  </w:footnote>
  <w:footnote w:id="283">
    <w:p w14:paraId="449E7E13" w14:textId="539E33E8" w:rsidR="00356280" w:rsidRPr="000C692A" w:rsidRDefault="00356280" w:rsidP="0040644D">
      <w:pPr>
        <w:pStyle w:val="FootnoteText"/>
        <w:spacing w:after="0" w:line="240" w:lineRule="auto"/>
        <w:rPr>
          <w:i/>
          <w:szCs w:val="16"/>
          <w:lang w:val="en-US"/>
        </w:rPr>
      </w:pPr>
      <w:r w:rsidRPr="00793101">
        <w:rPr>
          <w:rStyle w:val="FootnoteReference"/>
          <w:szCs w:val="16"/>
        </w:rPr>
        <w:footnoteRef/>
      </w:r>
      <w:r w:rsidRPr="000C692A">
        <w:rPr>
          <w:szCs w:val="16"/>
          <w:lang w:val="en-US"/>
        </w:rPr>
        <w:t xml:space="preserve"> </w:t>
      </w:r>
      <w:r w:rsidRPr="000C692A">
        <w:rPr>
          <w:i/>
          <w:szCs w:val="16"/>
          <w:lang w:val="en-US"/>
        </w:rPr>
        <w:t xml:space="preserve">Criminal Code, supra </w:t>
      </w:r>
      <w:r w:rsidRPr="000C692A">
        <w:rPr>
          <w:szCs w:val="16"/>
          <w:lang w:val="en-US"/>
        </w:rPr>
        <w:t xml:space="preserve">note </w:t>
      </w:r>
      <w:r>
        <w:fldChar w:fldCharType="begin"/>
      </w:r>
      <w:r>
        <w:instrText xml:space="preserve"> NOTEREF _Ref266965463 \h  \* MERGEFORMAT </w:instrText>
      </w:r>
      <w:r>
        <w:fldChar w:fldCharType="separate"/>
      </w:r>
      <w:r>
        <w:t>10</w:t>
      </w:r>
      <w:r>
        <w:fldChar w:fldCharType="end"/>
      </w:r>
      <w:r w:rsidRPr="000C692A">
        <w:rPr>
          <w:szCs w:val="16"/>
          <w:lang w:val="en-US"/>
        </w:rPr>
        <w:t>, s 2.</w:t>
      </w:r>
      <w:r w:rsidRPr="000C692A">
        <w:rPr>
          <w:i/>
          <w:szCs w:val="16"/>
          <w:lang w:val="en-US"/>
        </w:rPr>
        <w:t xml:space="preserve"> </w:t>
      </w:r>
    </w:p>
  </w:footnote>
  <w:footnote w:id="284">
    <w:p w14:paraId="0F57839C" w14:textId="77777777" w:rsidR="00356280" w:rsidRPr="000C692A" w:rsidRDefault="00356280" w:rsidP="0040644D">
      <w:pPr>
        <w:pStyle w:val="FootnoteText"/>
        <w:spacing w:after="0" w:line="240" w:lineRule="auto"/>
        <w:jc w:val="both"/>
        <w:rPr>
          <w:color w:val="auto"/>
          <w:szCs w:val="16"/>
          <w:lang w:val="en-US"/>
        </w:rPr>
      </w:pPr>
      <w:r w:rsidRPr="00793101">
        <w:rPr>
          <w:rStyle w:val="FootnoteReference"/>
          <w:color w:val="auto"/>
          <w:szCs w:val="16"/>
          <w:lang w:val="en-CA"/>
        </w:rPr>
        <w:footnoteRef/>
      </w:r>
      <w:r w:rsidRPr="000C692A">
        <w:rPr>
          <w:color w:val="auto"/>
          <w:szCs w:val="16"/>
          <w:lang w:val="en-US"/>
        </w:rPr>
        <w:t xml:space="preserve"> </w:t>
      </w:r>
      <w:r w:rsidRPr="000C692A">
        <w:rPr>
          <w:i/>
          <w:color w:val="auto"/>
          <w:szCs w:val="16"/>
          <w:lang w:val="en-US"/>
        </w:rPr>
        <w:t>Ibid</w:t>
      </w:r>
      <w:r w:rsidRPr="000C692A">
        <w:rPr>
          <w:color w:val="auto"/>
          <w:szCs w:val="16"/>
          <w:lang w:val="en-US"/>
        </w:rPr>
        <w:t>, s 738(1)(a).</w:t>
      </w:r>
    </w:p>
  </w:footnote>
  <w:footnote w:id="285">
    <w:p w14:paraId="2B60AFF2"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w:t>
      </w:r>
    </w:p>
  </w:footnote>
  <w:footnote w:id="286">
    <w:p w14:paraId="374A9A33"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s 738(1)(b).</w:t>
      </w:r>
    </w:p>
  </w:footnote>
  <w:footnote w:id="287">
    <w:p w14:paraId="440A74B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Torture Prohibition Act</w:t>
      </w:r>
      <w:r w:rsidRPr="00793101">
        <w:rPr>
          <w:szCs w:val="16"/>
        </w:rPr>
        <w:t xml:space="preserve">, </w:t>
      </w:r>
      <w:r w:rsidRPr="00793101">
        <w:rPr>
          <w:szCs w:val="16"/>
          <w:lang w:val="en-US"/>
        </w:rPr>
        <w:t>RSY 2002, c 220, art 1.</w:t>
      </w:r>
    </w:p>
  </w:footnote>
  <w:footnote w:id="288">
    <w:p w14:paraId="602C5051"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For example, </w:t>
      </w:r>
      <w:r w:rsidRPr="00793101">
        <w:rPr>
          <w:i/>
          <w:szCs w:val="16"/>
          <w:lang w:val="en-CA"/>
        </w:rPr>
        <w:t xml:space="preserve">Crime Victim Assistance Act, </w:t>
      </w:r>
      <w:r w:rsidRPr="00793101">
        <w:rPr>
          <w:szCs w:val="16"/>
          <w:lang w:val="en-CA"/>
        </w:rPr>
        <w:t>SBC 2001, c 38</w:t>
      </w:r>
      <w:r w:rsidRPr="00793101">
        <w:rPr>
          <w:i/>
          <w:szCs w:val="16"/>
          <w:lang w:val="en-CA"/>
        </w:rPr>
        <w:t xml:space="preserve"> </w:t>
      </w:r>
      <w:r w:rsidRPr="00793101">
        <w:rPr>
          <w:szCs w:val="16"/>
          <w:lang w:val="en-CA"/>
        </w:rPr>
        <w:t>of the province of British Colombia provides at section 15 that a victim, an immediate family member, a witness or a legal representative can commence ‘‘an action against any person arising out of the prescribed offence or the event that resulted in the death or injury of the victim’’.</w:t>
      </w:r>
    </w:p>
  </w:footnote>
  <w:footnote w:id="289">
    <w:p w14:paraId="1F122A57" w14:textId="77777777" w:rsidR="00356280" w:rsidRPr="00793101" w:rsidRDefault="00356280" w:rsidP="0040644D">
      <w:pPr>
        <w:pStyle w:val="FootnoteText"/>
        <w:spacing w:after="0" w:line="240" w:lineRule="auto"/>
        <w:jc w:val="both"/>
        <w:rPr>
          <w:b/>
          <w:bCs/>
          <w:iCs/>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iCs/>
          <w:color w:val="auto"/>
          <w:szCs w:val="16"/>
          <w:lang w:val="en-CA"/>
        </w:rPr>
        <w:t>Victims of Crime Act</w:t>
      </w:r>
      <w:r w:rsidRPr="00793101">
        <w:rPr>
          <w:iCs/>
          <w:color w:val="auto"/>
          <w:szCs w:val="16"/>
          <w:lang w:val="en-CA"/>
        </w:rPr>
        <w:t xml:space="preserve">, </w:t>
      </w:r>
      <w:r w:rsidRPr="00793101">
        <w:rPr>
          <w:bCs/>
          <w:iCs/>
          <w:color w:val="auto"/>
          <w:szCs w:val="16"/>
          <w:lang w:val="en-CA"/>
        </w:rPr>
        <w:t xml:space="preserve">RSA 2000, c V3 for Alberta; </w:t>
      </w:r>
      <w:r w:rsidRPr="00793101">
        <w:rPr>
          <w:bCs/>
          <w:i/>
          <w:iCs/>
          <w:color w:val="auto"/>
          <w:szCs w:val="16"/>
          <w:lang w:val="en-CA"/>
        </w:rPr>
        <w:t>Victims of Crime Act</w:t>
      </w:r>
      <w:r w:rsidRPr="00793101">
        <w:rPr>
          <w:bCs/>
          <w:iCs/>
          <w:color w:val="auto"/>
          <w:szCs w:val="16"/>
          <w:lang w:val="en-CA"/>
        </w:rPr>
        <w:t xml:space="preserve">, RSBC 1996, c 478 for British Colombia; </w:t>
      </w:r>
      <w:r w:rsidRPr="00793101">
        <w:rPr>
          <w:bCs/>
          <w:i/>
          <w:iCs/>
          <w:color w:val="auto"/>
          <w:szCs w:val="16"/>
          <w:lang w:val="en-CA"/>
        </w:rPr>
        <w:t>Compensation for Victims of Crime Act</w:t>
      </w:r>
      <w:r w:rsidRPr="00793101">
        <w:rPr>
          <w:bCs/>
          <w:iCs/>
          <w:color w:val="auto"/>
          <w:szCs w:val="16"/>
          <w:lang w:val="en-CA"/>
        </w:rPr>
        <w:t xml:space="preserve">, RSO 1990, c C24 for Ontario; </w:t>
      </w:r>
      <w:r w:rsidRPr="00793101">
        <w:rPr>
          <w:bCs/>
          <w:i/>
          <w:iCs/>
          <w:color w:val="auto"/>
          <w:szCs w:val="16"/>
          <w:lang w:val="en-CA"/>
        </w:rPr>
        <w:t>Compensation for Victims of Crime Act</w:t>
      </w:r>
      <w:r w:rsidRPr="00793101">
        <w:rPr>
          <w:bCs/>
          <w:iCs/>
          <w:color w:val="auto"/>
          <w:szCs w:val="16"/>
          <w:lang w:val="en-CA"/>
        </w:rPr>
        <w:t xml:space="preserve">, LRQ, c I-6 for Quebec; </w:t>
      </w:r>
      <w:r w:rsidRPr="00793101">
        <w:rPr>
          <w:bCs/>
          <w:i/>
          <w:iCs/>
          <w:color w:val="auto"/>
          <w:szCs w:val="16"/>
          <w:lang w:val="en-CA"/>
        </w:rPr>
        <w:t>Victims of Crime Act</w:t>
      </w:r>
      <w:r w:rsidRPr="00793101">
        <w:rPr>
          <w:bCs/>
          <w:iCs/>
          <w:color w:val="auto"/>
          <w:szCs w:val="16"/>
          <w:lang w:val="en-CA"/>
        </w:rPr>
        <w:t>, c V-3.1 for Prince Edward Island.</w:t>
      </w:r>
    </w:p>
  </w:footnote>
  <w:footnote w:id="290">
    <w:p w14:paraId="16EF0933" w14:textId="0D24C2A2"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See Ontario’s </w:t>
      </w:r>
      <w:r w:rsidRPr="00793101">
        <w:rPr>
          <w:i/>
          <w:color w:val="auto"/>
          <w:szCs w:val="16"/>
          <w:lang w:val="en-CA"/>
        </w:rPr>
        <w:t xml:space="preserve">Compensation for of Crime Act, supra </w:t>
      </w:r>
      <w:r w:rsidRPr="00793101">
        <w:rPr>
          <w:color w:val="auto"/>
          <w:szCs w:val="16"/>
          <w:lang w:val="en-CA"/>
        </w:rPr>
        <w:t xml:space="preserve">note </w:t>
      </w:r>
      <w:r>
        <w:fldChar w:fldCharType="begin"/>
      </w:r>
      <w:r>
        <w:instrText xml:space="preserve"> NOTEREF _Ref267050757 \h  \* MERGEFORMAT </w:instrText>
      </w:r>
      <w:r>
        <w:fldChar w:fldCharType="separate"/>
      </w:r>
      <w:r w:rsidRPr="00E045AC">
        <w:rPr>
          <w:color w:val="auto"/>
          <w:szCs w:val="16"/>
          <w:lang w:val="en-CA"/>
        </w:rPr>
        <w:t>289</w:t>
      </w:r>
      <w:r>
        <w:fldChar w:fldCharType="end"/>
      </w:r>
      <w:r w:rsidRPr="00793101">
        <w:rPr>
          <w:color w:val="auto"/>
          <w:szCs w:val="16"/>
          <w:lang w:val="en-CA"/>
        </w:rPr>
        <w:t>, s 7 for legal grounds for compensation.</w:t>
      </w:r>
    </w:p>
  </w:footnote>
  <w:footnote w:id="291">
    <w:p w14:paraId="6B40A8D7"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Victims Fund</w:t>
      </w:r>
      <w:r w:rsidRPr="00793101">
        <w:rPr>
          <w:color w:val="auto"/>
          <w:szCs w:val="16"/>
          <w:lang w:val="en-CA"/>
        </w:rPr>
        <w:t>, online: Government of Canada, Department of Justice &lt;http://www.justice.gc.ca/eng/pi/pb-dgp/prog/vf-fv.html&gt;.</w:t>
      </w:r>
    </w:p>
  </w:footnote>
  <w:footnote w:id="292">
    <w:p w14:paraId="2A9A2C9A" w14:textId="77777777"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w:t>
      </w:r>
    </w:p>
  </w:footnote>
  <w:footnote w:id="293">
    <w:p w14:paraId="77ADEA61"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p>
  </w:footnote>
  <w:footnote w:id="294">
    <w:p w14:paraId="660594A8" w14:textId="2B18E564"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Crimes Against Humanity and War Crimes Act, supra</w:t>
      </w:r>
      <w:r w:rsidRPr="00793101">
        <w:rPr>
          <w:szCs w:val="16"/>
          <w:lang w:val="en-US"/>
        </w:rPr>
        <w:t xml:space="preserve"> note </w:t>
      </w:r>
      <w:r>
        <w:fldChar w:fldCharType="begin"/>
      </w:r>
      <w:r>
        <w:instrText xml:space="preserve"> NOTEREF _Ref266965596 \h  \* MERGEFORMAT </w:instrText>
      </w:r>
      <w:r>
        <w:fldChar w:fldCharType="separate"/>
      </w:r>
      <w:r>
        <w:t>12</w:t>
      </w:r>
      <w:r>
        <w:fldChar w:fldCharType="end"/>
      </w:r>
      <w:r w:rsidRPr="00793101">
        <w:rPr>
          <w:szCs w:val="16"/>
          <w:lang w:val="en-US"/>
        </w:rPr>
        <w:t>, s 30(1).</w:t>
      </w:r>
    </w:p>
  </w:footnote>
  <w:footnote w:id="295">
    <w:p w14:paraId="7F24CFF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Ibid,</w:t>
      </w:r>
      <w:r w:rsidRPr="00793101">
        <w:rPr>
          <w:szCs w:val="16"/>
          <w:lang w:val="en-US"/>
        </w:rPr>
        <w:t xml:space="preserve"> s 30(2).</w:t>
      </w:r>
    </w:p>
  </w:footnote>
  <w:footnote w:id="296">
    <w:p w14:paraId="424B15E4" w14:textId="27321E13"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Criminal Code</w:t>
      </w:r>
      <w:r w:rsidRPr="00793101">
        <w:rPr>
          <w:szCs w:val="16"/>
          <w:lang w:val="en-US"/>
        </w:rPr>
        <w:t>,</w:t>
      </w:r>
      <w:r w:rsidRPr="00793101">
        <w:rPr>
          <w:i/>
          <w:szCs w:val="16"/>
          <w:lang w:val="en-US"/>
        </w:rPr>
        <w:t xml:space="preserve"> supra</w:t>
      </w:r>
      <w:r w:rsidRPr="00793101">
        <w:rPr>
          <w:szCs w:val="16"/>
          <w:lang w:val="en-US"/>
        </w:rPr>
        <w:t xml:space="preserve"> note </w:t>
      </w:r>
      <w:r>
        <w:fldChar w:fldCharType="begin"/>
      </w:r>
      <w:r>
        <w:instrText xml:space="preserve"> NOTEREF _Ref266965463 \h  \* MERGEFORMAT </w:instrText>
      </w:r>
      <w:r>
        <w:fldChar w:fldCharType="separate"/>
      </w:r>
      <w:r>
        <w:t>10</w:t>
      </w:r>
      <w:r>
        <w:fldChar w:fldCharType="end"/>
      </w:r>
      <w:r w:rsidRPr="00793101">
        <w:rPr>
          <w:szCs w:val="16"/>
          <w:lang w:val="en-US"/>
        </w:rPr>
        <w:t xml:space="preserve">, s 737, as amended by </w:t>
      </w:r>
      <w:r w:rsidRPr="00793101">
        <w:rPr>
          <w:i/>
          <w:szCs w:val="16"/>
          <w:lang w:val="en-US"/>
        </w:rPr>
        <w:t>Increasing Offenders’ Accountability to Victims Act</w:t>
      </w:r>
      <w:r w:rsidRPr="00793101">
        <w:rPr>
          <w:szCs w:val="16"/>
          <w:lang w:val="en-US"/>
        </w:rPr>
        <w:t>, SC 2013, c11.</w:t>
      </w:r>
    </w:p>
  </w:footnote>
  <w:footnote w:id="297">
    <w:p w14:paraId="559399A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R v Cloud</w:t>
      </w:r>
      <w:r w:rsidRPr="00793101">
        <w:rPr>
          <w:szCs w:val="16"/>
        </w:rPr>
        <w:t xml:space="preserve"> (</w:t>
      </w:r>
      <w:r w:rsidRPr="00793101">
        <w:rPr>
          <w:szCs w:val="16"/>
          <w:lang w:val="en-US"/>
        </w:rPr>
        <w:t>2014), QCCQ 464 at para 22, 8 CR (7</w:t>
      </w:r>
      <w:r w:rsidRPr="00793101">
        <w:rPr>
          <w:szCs w:val="16"/>
          <w:vertAlign w:val="superscript"/>
          <w:lang w:val="en-US"/>
        </w:rPr>
        <w:t>th</w:t>
      </w:r>
      <w:r w:rsidRPr="00793101">
        <w:rPr>
          <w:szCs w:val="16"/>
          <w:lang w:val="en-US"/>
        </w:rPr>
        <w:t xml:space="preserve">) 364. </w:t>
      </w:r>
    </w:p>
  </w:footnote>
  <w:footnote w:id="298">
    <w:p w14:paraId="1A7B777D" w14:textId="5AE3C06F"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As noted above in </w:t>
      </w:r>
      <w:r w:rsidRPr="000C2340">
        <w:rPr>
          <w:szCs w:val="16"/>
          <w:lang w:val="en-CA"/>
        </w:rPr>
        <w:t>footnote 2,</w:t>
      </w:r>
      <w:r w:rsidRPr="00793101">
        <w:rPr>
          <w:szCs w:val="16"/>
          <w:lang w:val="en-CA"/>
        </w:rPr>
        <w:t xml:space="preserve"> this report does not address a whole range of other types of obstacles to justice, including poverty and discrimination, that are not specific to universal jurisdiction.</w:t>
      </w:r>
    </w:p>
  </w:footnote>
  <w:footnote w:id="299">
    <w:p w14:paraId="0DA3B0A2" w14:textId="77777777"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 xml:space="preserve">Prosecutor v </w:t>
      </w:r>
      <w:proofErr w:type="spellStart"/>
      <w:r w:rsidRPr="00793101">
        <w:rPr>
          <w:i/>
          <w:sz w:val="16"/>
          <w:szCs w:val="16"/>
          <w:lang w:val="en-CA"/>
        </w:rPr>
        <w:t>Bagaragaza</w:t>
      </w:r>
      <w:proofErr w:type="spellEnd"/>
      <w:r w:rsidRPr="00793101">
        <w:rPr>
          <w:sz w:val="16"/>
          <w:szCs w:val="16"/>
          <w:lang w:val="en-CA"/>
        </w:rPr>
        <w:t xml:space="preserve">, Decision on the Prosecution Motion for Referral to the Kingdom of Norway – Rule 11 </w:t>
      </w:r>
      <w:r w:rsidRPr="00793101">
        <w:rPr>
          <w:i/>
          <w:sz w:val="16"/>
          <w:szCs w:val="16"/>
          <w:lang w:val="en-CA"/>
        </w:rPr>
        <w:t>bis</w:t>
      </w:r>
      <w:r w:rsidRPr="00793101">
        <w:rPr>
          <w:sz w:val="16"/>
          <w:szCs w:val="16"/>
          <w:lang w:val="en-CA"/>
        </w:rPr>
        <w:t xml:space="preserve"> of the Rules of Procedure and Evidence, ICTR-2005-86-11 </w:t>
      </w:r>
      <w:r w:rsidRPr="00793101">
        <w:rPr>
          <w:i/>
          <w:sz w:val="16"/>
          <w:szCs w:val="16"/>
          <w:lang w:val="en-CA"/>
        </w:rPr>
        <w:t>bis</w:t>
      </w:r>
      <w:r w:rsidRPr="00793101">
        <w:rPr>
          <w:sz w:val="16"/>
          <w:szCs w:val="16"/>
          <w:lang w:val="en-CA"/>
        </w:rPr>
        <w:t xml:space="preserve">, Trial Chamber (19 May 2006) at para. 16, </w:t>
      </w:r>
      <w:r w:rsidRPr="00793101">
        <w:rPr>
          <w:i/>
          <w:sz w:val="16"/>
          <w:szCs w:val="16"/>
          <w:lang w:val="en-CA"/>
        </w:rPr>
        <w:t>aff’d</w:t>
      </w:r>
      <w:r w:rsidRPr="00793101">
        <w:rPr>
          <w:sz w:val="16"/>
          <w:szCs w:val="16"/>
          <w:lang w:val="en-CA"/>
        </w:rPr>
        <w:t xml:space="preserve">, </w:t>
      </w:r>
      <w:r w:rsidRPr="00793101">
        <w:rPr>
          <w:i/>
          <w:sz w:val="16"/>
          <w:szCs w:val="16"/>
          <w:lang w:val="en-CA"/>
        </w:rPr>
        <w:t xml:space="preserve">Prosecutor v </w:t>
      </w:r>
      <w:proofErr w:type="spellStart"/>
      <w:r w:rsidRPr="00793101">
        <w:rPr>
          <w:i/>
          <w:sz w:val="16"/>
          <w:szCs w:val="16"/>
          <w:lang w:val="en-CA"/>
        </w:rPr>
        <w:t>Bagaragaza</w:t>
      </w:r>
      <w:proofErr w:type="spellEnd"/>
      <w:r w:rsidRPr="00793101">
        <w:rPr>
          <w:sz w:val="16"/>
          <w:szCs w:val="16"/>
          <w:lang w:val="en-CA"/>
        </w:rPr>
        <w:t xml:space="preserve">, Decision on Rule 11 </w:t>
      </w:r>
      <w:r w:rsidRPr="00793101">
        <w:rPr>
          <w:i/>
          <w:sz w:val="16"/>
          <w:szCs w:val="16"/>
          <w:lang w:val="en-CA"/>
        </w:rPr>
        <w:t>bis</w:t>
      </w:r>
      <w:r w:rsidRPr="00793101">
        <w:rPr>
          <w:sz w:val="16"/>
          <w:szCs w:val="16"/>
          <w:lang w:val="en-CA"/>
        </w:rPr>
        <w:t xml:space="preserve"> Appeal, ICTR-05-86- AR11 </w:t>
      </w:r>
      <w:r w:rsidRPr="00793101">
        <w:rPr>
          <w:i/>
          <w:sz w:val="16"/>
          <w:szCs w:val="16"/>
          <w:lang w:val="en-CA"/>
        </w:rPr>
        <w:t>bis</w:t>
      </w:r>
      <w:r w:rsidRPr="00793101">
        <w:rPr>
          <w:sz w:val="16"/>
          <w:szCs w:val="16"/>
          <w:lang w:val="en-CA"/>
        </w:rPr>
        <w:t>, Appeals Chamber (30 August 2006) at para. 16.</w:t>
      </w:r>
    </w:p>
  </w:footnote>
  <w:footnote w:id="300">
    <w:p w14:paraId="5BBBEF7F" w14:textId="6792BEB3" w:rsidR="00356280" w:rsidRPr="00793101" w:rsidRDefault="00356280" w:rsidP="0040644D">
      <w:pPr>
        <w:pStyle w:val="AIBodyText"/>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w:t>
      </w:r>
      <w:r w:rsidRPr="00793101">
        <w:rPr>
          <w:i/>
          <w:color w:val="auto"/>
          <w:sz w:val="16"/>
          <w:szCs w:val="16"/>
          <w:lang w:val="en-CA"/>
        </w:rPr>
        <w:t>Protocol I</w:t>
      </w:r>
      <w:r w:rsidRPr="00793101">
        <w:rPr>
          <w:color w:val="auto"/>
          <w:sz w:val="16"/>
          <w:szCs w:val="16"/>
          <w:lang w:val="en-CA"/>
        </w:rPr>
        <w:t>,</w:t>
      </w:r>
      <w:r w:rsidRPr="00793101">
        <w:rPr>
          <w:i/>
          <w:color w:val="auto"/>
          <w:sz w:val="16"/>
          <w:szCs w:val="16"/>
          <w:lang w:val="en-CA"/>
        </w:rPr>
        <w:t xml:space="preserve"> supra</w:t>
      </w:r>
      <w:r w:rsidRPr="00793101">
        <w:rPr>
          <w:color w:val="auto"/>
          <w:sz w:val="16"/>
          <w:szCs w:val="16"/>
          <w:lang w:val="en-CA"/>
        </w:rPr>
        <w:t xml:space="preserve"> note </w:t>
      </w:r>
      <w:r>
        <w:fldChar w:fldCharType="begin"/>
      </w:r>
      <w:r>
        <w:instrText xml:space="preserve"> NOTEREF _Ref266969551 \h  \* MERGEFORMAT </w:instrText>
      </w:r>
      <w:r>
        <w:fldChar w:fldCharType="separate"/>
      </w:r>
      <w:r w:rsidRPr="00E045AC">
        <w:rPr>
          <w:color w:val="auto"/>
          <w:sz w:val="16"/>
          <w:szCs w:val="16"/>
          <w:lang w:val="en-CA"/>
        </w:rPr>
        <w:t>93</w:t>
      </w:r>
      <w:r>
        <w:fldChar w:fldCharType="end"/>
      </w:r>
      <w:r w:rsidRPr="00793101">
        <w:rPr>
          <w:color w:val="auto"/>
          <w:sz w:val="16"/>
          <w:szCs w:val="16"/>
          <w:lang w:val="en-CA"/>
        </w:rPr>
        <w:t>, art 86 (Failure to act) reads:</w:t>
      </w:r>
    </w:p>
    <w:p w14:paraId="53DFC143" w14:textId="08E2C1CC" w:rsidR="00356280" w:rsidRPr="00793101" w:rsidRDefault="00356280" w:rsidP="0040644D">
      <w:pPr>
        <w:pStyle w:val="AIBodyText"/>
        <w:spacing w:after="0" w:line="240" w:lineRule="auto"/>
        <w:jc w:val="both"/>
        <w:rPr>
          <w:rFonts w:cs="Arial"/>
          <w:color w:val="auto"/>
          <w:sz w:val="16"/>
          <w:szCs w:val="16"/>
          <w:lang w:val="en-CA"/>
        </w:rPr>
      </w:pPr>
      <w:r w:rsidRPr="00793101">
        <w:rPr>
          <w:color w:val="auto"/>
          <w:sz w:val="16"/>
          <w:szCs w:val="16"/>
          <w:lang w:val="en-CA"/>
        </w:rPr>
        <w:t>“</w:t>
      </w:r>
      <w:r w:rsidRPr="00793101">
        <w:rPr>
          <w:rFonts w:cs="Arial"/>
          <w:color w:val="auto"/>
          <w:sz w:val="16"/>
          <w:szCs w:val="16"/>
          <w:lang w:val="en-CA"/>
        </w:rPr>
        <w:t>1. The High Contracting Parties and the Parties to the conflict shall repress grave breaches, and take measures necessary to suppress all other breaches, of the Conventions or of this Protocol which result from a failure to act when under a duty to do so.</w:t>
      </w:r>
      <w:r w:rsidRPr="00793101">
        <w:rPr>
          <w:rFonts w:cs="Arial"/>
          <w:color w:val="auto"/>
          <w:sz w:val="16"/>
          <w:szCs w:val="16"/>
          <w:lang w:val="en-CA"/>
        </w:rPr>
        <w:br/>
        <w:t>2. The fact that a breach of the Conventions or of this Protocol was committed by a subordinate does not absolve his superiors from penal or disciplinary responsibility, as the case may be, if they knew, or had information which should have enabled them to conclude in the circumstances at the time, that he was committing or was going to commit such a breach and if they did not take all feasible measures within their power to prevent or repress the breach.”</w:t>
      </w:r>
    </w:p>
    <w:p w14:paraId="4A061748" w14:textId="77777777" w:rsidR="00356280" w:rsidRPr="00793101" w:rsidRDefault="00356280" w:rsidP="0040644D">
      <w:pPr>
        <w:pStyle w:val="AIBodyText"/>
        <w:spacing w:after="0" w:line="240" w:lineRule="auto"/>
        <w:jc w:val="both"/>
        <w:rPr>
          <w:color w:val="auto"/>
          <w:sz w:val="16"/>
          <w:szCs w:val="16"/>
          <w:lang w:val="en-CA"/>
        </w:rPr>
      </w:pPr>
      <w:r w:rsidRPr="00793101">
        <w:rPr>
          <w:rFonts w:cs="Arial"/>
          <w:color w:val="auto"/>
          <w:sz w:val="16"/>
          <w:szCs w:val="16"/>
          <w:lang w:val="en-CA"/>
        </w:rPr>
        <w:t>See also art 87 (Duty of commanders).</w:t>
      </w:r>
    </w:p>
  </w:footnote>
  <w:footnote w:id="301">
    <w:p w14:paraId="66B80D3B" w14:textId="77777777" w:rsidR="00356280" w:rsidRPr="00793101" w:rsidRDefault="00356280" w:rsidP="0040644D">
      <w:pPr>
        <w:pStyle w:val="AIBodyText"/>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w:t>
      </w:r>
      <w:r w:rsidRPr="00793101">
        <w:rPr>
          <w:i/>
          <w:color w:val="auto"/>
          <w:sz w:val="16"/>
          <w:szCs w:val="16"/>
          <w:lang w:val="en-CA"/>
        </w:rPr>
        <w:t>Draft Code of Crimes against the Peace and Security of Mankind</w:t>
      </w:r>
      <w:r w:rsidRPr="00793101">
        <w:rPr>
          <w:color w:val="auto"/>
          <w:sz w:val="16"/>
          <w:szCs w:val="16"/>
          <w:lang w:val="en-CA"/>
        </w:rPr>
        <w:t>, 51 UN GAOR Supp (No 10) at 14, UN Doc A/CN4/L532, corr1, corr3 (1996) [</w:t>
      </w:r>
      <w:r w:rsidRPr="00793101">
        <w:rPr>
          <w:i/>
          <w:color w:val="auto"/>
          <w:sz w:val="16"/>
          <w:szCs w:val="16"/>
          <w:lang w:val="en-CA"/>
        </w:rPr>
        <w:t>1996 Draft Code of Crimes</w:t>
      </w:r>
      <w:r w:rsidRPr="00793101">
        <w:rPr>
          <w:color w:val="auto"/>
          <w:sz w:val="16"/>
          <w:szCs w:val="16"/>
          <w:lang w:val="en-CA"/>
        </w:rPr>
        <w:t>], which was intended to apply both to international and national courts, art 6 (Responsibility of superiors) states:</w:t>
      </w:r>
    </w:p>
    <w:p w14:paraId="3DE075BD" w14:textId="77777777" w:rsidR="00356280" w:rsidRPr="00793101" w:rsidRDefault="00356280" w:rsidP="0040644D">
      <w:pPr>
        <w:pStyle w:val="AIBodyText"/>
        <w:spacing w:after="0" w:line="240" w:lineRule="auto"/>
        <w:jc w:val="both"/>
        <w:rPr>
          <w:color w:val="auto"/>
          <w:sz w:val="16"/>
          <w:szCs w:val="16"/>
          <w:lang w:val="en-CA"/>
        </w:rPr>
      </w:pPr>
      <w:r w:rsidRPr="00793101">
        <w:rPr>
          <w:color w:val="auto"/>
          <w:sz w:val="16"/>
          <w:szCs w:val="16"/>
          <w:lang w:val="en-CA"/>
        </w:rPr>
        <w:t>“</w:t>
      </w:r>
      <w:r w:rsidRPr="00793101">
        <w:rPr>
          <w:rFonts w:eastAsia="SimSun"/>
          <w:color w:val="auto"/>
          <w:sz w:val="16"/>
          <w:szCs w:val="16"/>
          <w:lang w:val="en-CA" w:eastAsia="zh-CN"/>
        </w:rPr>
        <w:t>The fact that a crime against the peace and security of mankind was committed by a subordinate does not relieve his superiors of criminal responsibility, if they knew or had reason to know, in the circumstances at the time, that the subordinate was committing or was going to commit such a crime and if they did not take all necessary measures within their power to prevent or repress the crime.”</w:t>
      </w:r>
    </w:p>
  </w:footnote>
  <w:footnote w:id="302">
    <w:p w14:paraId="67119D50" w14:textId="4B65493A" w:rsidR="00356280" w:rsidRPr="00793101" w:rsidRDefault="00356280" w:rsidP="0040644D">
      <w:pPr>
        <w:pStyle w:val="AIBodyText"/>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w:t>
      </w:r>
      <w:r w:rsidRPr="00793101">
        <w:rPr>
          <w:i/>
          <w:color w:val="auto"/>
          <w:sz w:val="16"/>
          <w:szCs w:val="16"/>
          <w:lang w:val="en-CA"/>
        </w:rPr>
        <w:t>Rome Statute</w:t>
      </w:r>
      <w:r w:rsidRPr="00793101">
        <w:rPr>
          <w:color w:val="auto"/>
          <w:sz w:val="16"/>
          <w:szCs w:val="16"/>
          <w:lang w:val="en-CA"/>
        </w:rPr>
        <w:t xml:space="preserve">, </w:t>
      </w:r>
      <w:r w:rsidRPr="00793101">
        <w:rPr>
          <w:i/>
          <w:color w:val="auto"/>
          <w:sz w:val="16"/>
          <w:szCs w:val="16"/>
          <w:lang w:val="en-CA"/>
        </w:rPr>
        <w:t>supra</w:t>
      </w:r>
      <w:r w:rsidRPr="00793101">
        <w:rPr>
          <w:color w:val="auto"/>
          <w:sz w:val="16"/>
          <w:szCs w:val="16"/>
          <w:lang w:val="en-CA"/>
        </w:rPr>
        <w:t xml:space="preserve"> note </w:t>
      </w:r>
      <w:r>
        <w:fldChar w:fldCharType="begin"/>
      </w:r>
      <w:r>
        <w:instrText xml:space="preserve"> NOTEREF _Ref266968903 \h  \* MERGEFORMAT </w:instrText>
      </w:r>
      <w:r>
        <w:fldChar w:fldCharType="separate"/>
      </w:r>
      <w:r w:rsidRPr="00E045AC">
        <w:rPr>
          <w:color w:val="auto"/>
          <w:sz w:val="16"/>
          <w:szCs w:val="16"/>
          <w:lang w:val="en-CA"/>
        </w:rPr>
        <w:t>97</w:t>
      </w:r>
      <w:r>
        <w:fldChar w:fldCharType="end"/>
      </w:r>
      <w:r w:rsidRPr="00793101">
        <w:rPr>
          <w:color w:val="auto"/>
          <w:sz w:val="16"/>
          <w:szCs w:val="16"/>
          <w:lang w:val="en-CA"/>
        </w:rPr>
        <w:t xml:space="preserve"> at art 28 (Responsibility of commanders and other superiors).</w:t>
      </w:r>
    </w:p>
    <w:p w14:paraId="29CCF51C" w14:textId="77777777" w:rsidR="00356280" w:rsidRPr="00793101" w:rsidRDefault="00356280" w:rsidP="0040644D">
      <w:pPr>
        <w:pStyle w:val="AIBodyText"/>
        <w:spacing w:after="0" w:line="240" w:lineRule="auto"/>
        <w:jc w:val="both"/>
        <w:rPr>
          <w:color w:val="auto"/>
          <w:sz w:val="16"/>
          <w:szCs w:val="16"/>
          <w:lang w:val="en-CA"/>
        </w:rPr>
      </w:pPr>
      <w:r w:rsidRPr="00793101">
        <w:rPr>
          <w:color w:val="auto"/>
          <w:sz w:val="16"/>
          <w:szCs w:val="16"/>
          <w:lang w:val="en-CA"/>
        </w:rPr>
        <w:t>Although Article 6 (1) (b) of the International Convention for the Protection of All Persons from Enforced Disappearance is modelled on the two-tiered Article 28 of the Rome Statute, Article 6 (1) (c) makes clear that this provision “is without prejudice to the higher standards of responsibility applicable under relevant international law to a military commander or to a person effectively acting as a military commander.”</w:t>
      </w:r>
    </w:p>
  </w:footnote>
  <w:footnote w:id="303">
    <w:p w14:paraId="36E3EDFE"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Committee against Torture, </w:t>
      </w:r>
      <w:r w:rsidRPr="00793101">
        <w:rPr>
          <w:i/>
          <w:color w:val="auto"/>
          <w:szCs w:val="16"/>
          <w:lang w:val="en-CA"/>
        </w:rPr>
        <w:t>General Comment 2 (Implementation of article 2 by States parties)</w:t>
      </w:r>
      <w:r w:rsidRPr="00793101">
        <w:rPr>
          <w:color w:val="auto"/>
          <w:szCs w:val="16"/>
          <w:lang w:val="en-CA"/>
        </w:rPr>
        <w:t>, 2008, UN Doc CAT/C/GC/2 [</w:t>
      </w:r>
      <w:r w:rsidRPr="00793101">
        <w:rPr>
          <w:i/>
          <w:color w:val="auto"/>
          <w:szCs w:val="16"/>
          <w:lang w:val="en-CA"/>
        </w:rPr>
        <w:t>CAT General Comment 2</w:t>
      </w:r>
      <w:r w:rsidRPr="00793101">
        <w:rPr>
          <w:color w:val="auto"/>
          <w:szCs w:val="16"/>
          <w:lang w:val="en-CA"/>
        </w:rPr>
        <w:t>] at para. 26.</w:t>
      </w:r>
    </w:p>
  </w:footnote>
  <w:footnote w:id="304">
    <w:p w14:paraId="612DF34D"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William A. Schabas, “Canadian Implementing Legislation for the Rome Statute” (2000) 3 YB Int’l Human L 337 at 342 [</w:t>
      </w:r>
      <w:r w:rsidRPr="00793101">
        <w:rPr>
          <w:i/>
          <w:color w:val="auto"/>
          <w:szCs w:val="16"/>
          <w:lang w:val="en-CA"/>
        </w:rPr>
        <w:t>Schabas</w:t>
      </w:r>
      <w:r w:rsidRPr="00793101">
        <w:rPr>
          <w:color w:val="auto"/>
          <w:szCs w:val="16"/>
          <w:lang w:val="en-CA"/>
        </w:rPr>
        <w:t>].</w:t>
      </w:r>
    </w:p>
  </w:footnote>
  <w:footnote w:id="305">
    <w:p w14:paraId="3ADBBC7F"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p>
  </w:footnote>
  <w:footnote w:id="306">
    <w:p w14:paraId="1ADB20B7" w14:textId="1637A051"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See also </w:t>
      </w:r>
      <w:r w:rsidRPr="00793101">
        <w:rPr>
          <w:i/>
          <w:szCs w:val="16"/>
          <w:lang w:val="en-US"/>
        </w:rPr>
        <w:t>Crimes Against Humanity and War Crimes Act</w:t>
      </w:r>
      <w:r w:rsidRPr="00793101">
        <w:rPr>
          <w:szCs w:val="16"/>
          <w:lang w:val="en-US"/>
        </w:rPr>
        <w:t xml:space="preserve">, supra note </w:t>
      </w:r>
      <w:r>
        <w:fldChar w:fldCharType="begin"/>
      </w:r>
      <w:r>
        <w:instrText xml:space="preserve"> NOTEREF _Ref266965596 \h  \* MERGEFORMAT </w:instrText>
      </w:r>
      <w:r>
        <w:fldChar w:fldCharType="separate"/>
      </w:r>
      <w:r>
        <w:t>12</w:t>
      </w:r>
      <w:r>
        <w:fldChar w:fldCharType="end"/>
      </w:r>
      <w:r w:rsidRPr="00793101">
        <w:rPr>
          <w:szCs w:val="16"/>
          <w:lang w:val="en-US"/>
        </w:rPr>
        <w:t xml:space="preserve"> at s 7(1) for offences committed outside Canada.</w:t>
      </w:r>
    </w:p>
  </w:footnote>
  <w:footnote w:id="307">
    <w:p w14:paraId="6382D862" w14:textId="08CDEAAD" w:rsidR="00356280" w:rsidRPr="00793101" w:rsidRDefault="00356280" w:rsidP="00DD6B93">
      <w:pPr>
        <w:pStyle w:val="FootnoteText"/>
        <w:spacing w:after="0" w:line="240" w:lineRule="auto"/>
        <w:rPr>
          <w:color w:val="auto"/>
          <w:szCs w:val="16"/>
          <w:lang w:val="en-CA"/>
        </w:rPr>
      </w:pPr>
      <w:r w:rsidRPr="00793101">
        <w:rPr>
          <w:rStyle w:val="FootnoteReference"/>
          <w:szCs w:val="16"/>
        </w:rPr>
        <w:footnoteRef/>
      </w:r>
      <w:r w:rsidRPr="00793101">
        <w:rPr>
          <w:szCs w:val="16"/>
        </w:rPr>
        <w:t xml:space="preserve"> </w:t>
      </w:r>
      <w:r w:rsidRPr="00793101">
        <w:rPr>
          <w:color w:val="auto"/>
          <w:szCs w:val="16"/>
          <w:lang w:val="en-CA"/>
        </w:rPr>
        <w:t xml:space="preserve">Schabas,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_Ref267050916 \h  \* MERGEFORMAT </w:instrText>
      </w:r>
      <w:r>
        <w:fldChar w:fldCharType="separate"/>
      </w:r>
      <w:r w:rsidRPr="00E045AC">
        <w:rPr>
          <w:color w:val="auto"/>
          <w:szCs w:val="16"/>
          <w:lang w:val="en-CA"/>
        </w:rPr>
        <w:t>304</w:t>
      </w:r>
      <w:r>
        <w:fldChar w:fldCharType="end"/>
      </w:r>
      <w:r w:rsidRPr="00793101">
        <w:rPr>
          <w:color w:val="auto"/>
          <w:szCs w:val="16"/>
          <w:lang w:val="en-CA"/>
        </w:rPr>
        <w:t xml:space="preserve"> at 342.</w:t>
      </w:r>
    </w:p>
  </w:footnote>
  <w:footnote w:id="308">
    <w:p w14:paraId="2DB40184" w14:textId="39391CDC" w:rsidR="00356280" w:rsidRPr="00793101" w:rsidRDefault="00356280" w:rsidP="00DD6B93">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color w:val="auto"/>
          <w:szCs w:val="16"/>
          <w:lang w:val="en-CA"/>
        </w:rPr>
        <w:t xml:space="preserve">Lafontaine,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_Ref265358056 \h  \* MERGEFORMAT </w:instrText>
      </w:r>
      <w:r>
        <w:fldChar w:fldCharType="separate"/>
      </w:r>
      <w:r w:rsidRPr="00E045AC">
        <w:rPr>
          <w:color w:val="auto"/>
          <w:szCs w:val="16"/>
          <w:lang w:val="en-CA"/>
        </w:rPr>
        <w:t>98</w:t>
      </w:r>
      <w:r>
        <w:fldChar w:fldCharType="end"/>
      </w:r>
      <w:r w:rsidRPr="00793101">
        <w:rPr>
          <w:color w:val="auto"/>
          <w:szCs w:val="16"/>
          <w:lang w:val="en-CA"/>
        </w:rPr>
        <w:t xml:space="preserve"> </w:t>
      </w:r>
      <w:r w:rsidRPr="00793101">
        <w:rPr>
          <w:szCs w:val="16"/>
          <w:lang w:val="en-US"/>
        </w:rPr>
        <w:t>at 194.</w:t>
      </w:r>
    </w:p>
  </w:footnote>
  <w:footnote w:id="309">
    <w:p w14:paraId="20CAA1D4" w14:textId="4277BD99" w:rsidR="00356280" w:rsidRPr="00AA6144" w:rsidRDefault="00356280" w:rsidP="00AA6144">
      <w:pPr>
        <w:pStyle w:val="FootnoteText"/>
        <w:spacing w:after="0" w:line="240" w:lineRule="auto"/>
        <w:rPr>
          <w:lang w:val="en-CA"/>
        </w:rPr>
      </w:pPr>
      <w:r>
        <w:rPr>
          <w:rStyle w:val="FootnoteReference"/>
        </w:rPr>
        <w:footnoteRef/>
      </w:r>
      <w:r>
        <w:t xml:space="preserve"> </w:t>
      </w:r>
      <w:r w:rsidRPr="00793101">
        <w:rPr>
          <w:i/>
          <w:szCs w:val="16"/>
          <w:lang w:val="en-US"/>
        </w:rPr>
        <w:t>Crimes Against Humanity and War Crimes Act</w:t>
      </w:r>
      <w:r w:rsidRPr="00793101">
        <w:rPr>
          <w:szCs w:val="16"/>
          <w:lang w:val="en-US"/>
        </w:rPr>
        <w:t xml:space="preserve">, supra note </w:t>
      </w:r>
      <w:r>
        <w:fldChar w:fldCharType="begin"/>
      </w:r>
      <w:r>
        <w:instrText xml:space="preserve"> NOTEREF _Ref266965596 \h  \* MERGEFORMAT </w:instrText>
      </w:r>
      <w:r>
        <w:fldChar w:fldCharType="separate"/>
      </w:r>
      <w:r>
        <w:t>12</w:t>
      </w:r>
      <w:r>
        <w:fldChar w:fldCharType="end"/>
      </w:r>
      <w:r>
        <w:rPr>
          <w:szCs w:val="16"/>
          <w:lang w:val="en-US"/>
        </w:rPr>
        <w:t>,</w:t>
      </w:r>
      <w:r w:rsidRPr="00793101">
        <w:rPr>
          <w:szCs w:val="16"/>
          <w:lang w:val="en-US"/>
        </w:rPr>
        <w:t xml:space="preserve"> s </w:t>
      </w:r>
      <w:r>
        <w:rPr>
          <w:szCs w:val="16"/>
          <w:lang w:val="en-US"/>
        </w:rPr>
        <w:t>4(1.1).</w:t>
      </w:r>
    </w:p>
  </w:footnote>
  <w:footnote w:id="310">
    <w:p w14:paraId="36B7549B" w14:textId="62D5EA5A" w:rsidR="00356280" w:rsidRPr="00AA6144" w:rsidRDefault="00356280" w:rsidP="00AA6144">
      <w:pPr>
        <w:pStyle w:val="FootnoteText"/>
        <w:spacing w:after="0" w:line="240" w:lineRule="auto"/>
        <w:rPr>
          <w:lang w:val="en-CA"/>
        </w:rPr>
      </w:pPr>
      <w:r>
        <w:rPr>
          <w:rStyle w:val="FootnoteReference"/>
        </w:rPr>
        <w:footnoteRef/>
      </w:r>
      <w:r>
        <w:t xml:space="preserve"> </w:t>
      </w:r>
      <w:r>
        <w:rPr>
          <w:i/>
          <w:szCs w:val="16"/>
          <w:lang w:val="en-US"/>
        </w:rPr>
        <w:t>Ibid,</w:t>
      </w:r>
      <w:r w:rsidRPr="00793101">
        <w:rPr>
          <w:szCs w:val="16"/>
          <w:lang w:val="en-US"/>
        </w:rPr>
        <w:t xml:space="preserve"> s </w:t>
      </w:r>
      <w:r>
        <w:rPr>
          <w:szCs w:val="16"/>
          <w:lang w:val="en-US"/>
        </w:rPr>
        <w:t>6(1.1).</w:t>
      </w:r>
    </w:p>
  </w:footnote>
  <w:footnote w:id="311">
    <w:p w14:paraId="6DAAFD97" w14:textId="624F1897" w:rsidR="00356280" w:rsidRPr="00793101" w:rsidRDefault="00356280" w:rsidP="00DD6B93">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color w:val="auto"/>
          <w:szCs w:val="16"/>
          <w:lang w:val="en-CA"/>
        </w:rPr>
        <w:t xml:space="preserve">Schabas,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_Ref267050916 \h  \* MERGEFORMAT </w:instrText>
      </w:r>
      <w:r>
        <w:fldChar w:fldCharType="separate"/>
      </w:r>
      <w:r w:rsidRPr="00E045AC">
        <w:rPr>
          <w:color w:val="auto"/>
          <w:szCs w:val="16"/>
          <w:lang w:val="en-CA"/>
        </w:rPr>
        <w:t>304</w:t>
      </w:r>
      <w:r>
        <w:fldChar w:fldCharType="end"/>
      </w:r>
      <w:r w:rsidRPr="00793101">
        <w:rPr>
          <w:color w:val="auto"/>
          <w:szCs w:val="16"/>
          <w:lang w:val="en-CA"/>
        </w:rPr>
        <w:t xml:space="preserve"> at 342.</w:t>
      </w:r>
    </w:p>
  </w:footnote>
  <w:footnote w:id="312">
    <w:p w14:paraId="53CF857C"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This section is not intended to cover the full range of defences to criminal charges under Canadian law, but simply to discuss some of the most significant features regarding defences that have implications for prosecutions for crimes under international law based on universal jurisdiction.</w:t>
      </w:r>
    </w:p>
  </w:footnote>
  <w:footnote w:id="313">
    <w:p w14:paraId="13C5CDD0" w14:textId="3C87B3D5" w:rsidR="00356280" w:rsidRPr="00793101" w:rsidRDefault="00356280" w:rsidP="006A6F7E">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Crimes Against Humanity and War Crimes Act, supra</w:t>
      </w:r>
      <w:r w:rsidRPr="00793101">
        <w:rPr>
          <w:szCs w:val="16"/>
          <w:lang w:val="en-US"/>
        </w:rPr>
        <w:t xml:space="preserve"> note </w:t>
      </w:r>
      <w:r>
        <w:fldChar w:fldCharType="begin"/>
      </w:r>
      <w:r>
        <w:instrText xml:space="preserve"> NOTEREF _Ref266965596 \h  \* MERGEFORMAT </w:instrText>
      </w:r>
      <w:r>
        <w:fldChar w:fldCharType="separate"/>
      </w:r>
      <w:r>
        <w:t>12</w:t>
      </w:r>
      <w:r>
        <w:fldChar w:fldCharType="end"/>
      </w:r>
      <w:r w:rsidRPr="00793101">
        <w:rPr>
          <w:szCs w:val="16"/>
          <w:lang w:val="en-US"/>
        </w:rPr>
        <w:t>,</w:t>
      </w:r>
      <w:r w:rsidRPr="00793101">
        <w:rPr>
          <w:i/>
          <w:szCs w:val="16"/>
          <w:lang w:val="en-US"/>
        </w:rPr>
        <w:t xml:space="preserve"> </w:t>
      </w:r>
      <w:r w:rsidRPr="00793101">
        <w:rPr>
          <w:szCs w:val="16"/>
          <w:lang w:val="en-US"/>
        </w:rPr>
        <w:t>s 11.</w:t>
      </w:r>
    </w:p>
  </w:footnote>
  <w:footnote w:id="314">
    <w:p w14:paraId="374D0EDF" w14:textId="5EB17B66" w:rsidR="00356280" w:rsidRPr="00793101" w:rsidRDefault="00356280" w:rsidP="00B46E9A">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Rome Statute</w:t>
      </w:r>
      <w:r w:rsidRPr="00793101">
        <w:rPr>
          <w:szCs w:val="16"/>
          <w:lang w:val="en-US"/>
        </w:rPr>
        <w:t xml:space="preserve">, supra note </w:t>
      </w:r>
      <w:r>
        <w:fldChar w:fldCharType="begin"/>
      </w:r>
      <w:r>
        <w:instrText xml:space="preserve"> NOTEREF _Ref266968903 \h  \* MERGEFORMAT </w:instrText>
      </w:r>
      <w:r>
        <w:fldChar w:fldCharType="separate"/>
      </w:r>
      <w:r w:rsidRPr="00E045AC">
        <w:rPr>
          <w:szCs w:val="16"/>
          <w:lang w:val="en-US"/>
        </w:rPr>
        <w:t>97</w:t>
      </w:r>
      <w:r>
        <w:fldChar w:fldCharType="end"/>
      </w:r>
      <w:r w:rsidRPr="00793101">
        <w:rPr>
          <w:szCs w:val="16"/>
          <w:lang w:val="en-US"/>
        </w:rPr>
        <w:t>, art 31(1)(d).</w:t>
      </w:r>
    </w:p>
  </w:footnote>
  <w:footnote w:id="315">
    <w:p w14:paraId="5B40DB29" w14:textId="49B2B7CF"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Crimes Against Humanity and War Crimes Act, supra </w:t>
      </w:r>
      <w:r w:rsidRPr="00793101">
        <w:rPr>
          <w:szCs w:val="16"/>
          <w:lang w:val="en-US"/>
        </w:rPr>
        <w:t xml:space="preserve">note </w:t>
      </w:r>
      <w:r>
        <w:fldChar w:fldCharType="begin"/>
      </w:r>
      <w:r>
        <w:instrText xml:space="preserve"> NOTEREF _Ref266965596 \h  \* MERGEFORMAT </w:instrText>
      </w:r>
      <w:r>
        <w:fldChar w:fldCharType="separate"/>
      </w:r>
      <w:r>
        <w:t>12</w:t>
      </w:r>
      <w:r>
        <w:fldChar w:fldCharType="end"/>
      </w:r>
      <w:r w:rsidRPr="00793101">
        <w:rPr>
          <w:szCs w:val="16"/>
          <w:lang w:val="en-US"/>
        </w:rPr>
        <w:t>,</w:t>
      </w:r>
      <w:r w:rsidRPr="00793101">
        <w:rPr>
          <w:i/>
          <w:szCs w:val="16"/>
          <w:lang w:val="en-US"/>
        </w:rPr>
        <w:t xml:space="preserve"> </w:t>
      </w:r>
      <w:r w:rsidRPr="00793101">
        <w:rPr>
          <w:szCs w:val="16"/>
          <w:lang w:val="en-US"/>
        </w:rPr>
        <w:t>s 14.</w:t>
      </w:r>
    </w:p>
  </w:footnote>
  <w:footnote w:id="316">
    <w:p w14:paraId="62248A0F"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w:t>
      </w:r>
      <w:r w:rsidRPr="00793101">
        <w:rPr>
          <w:i/>
          <w:szCs w:val="16"/>
        </w:rPr>
        <w:t xml:space="preserve"> </w:t>
      </w:r>
      <w:r w:rsidRPr="00793101">
        <w:rPr>
          <w:szCs w:val="16"/>
          <w:lang w:val="en-US"/>
        </w:rPr>
        <w:t>14(2).</w:t>
      </w:r>
    </w:p>
  </w:footnote>
  <w:footnote w:id="317">
    <w:p w14:paraId="2ED15D4F"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w:t>
      </w:r>
      <w:r w:rsidRPr="00793101">
        <w:rPr>
          <w:szCs w:val="16"/>
          <w:lang w:val="en-US"/>
        </w:rPr>
        <w:t>14(3).</w:t>
      </w:r>
    </w:p>
  </w:footnote>
  <w:footnote w:id="318">
    <w:p w14:paraId="30F55CD8" w14:textId="77777777" w:rsidR="00356280" w:rsidRPr="00793101" w:rsidRDefault="00356280" w:rsidP="0040644D">
      <w:pPr>
        <w:pStyle w:val="AIBodyText"/>
        <w:spacing w:after="0" w:line="240" w:lineRule="auto"/>
        <w:rPr>
          <w:sz w:val="16"/>
          <w:szCs w:val="16"/>
          <w:highlight w:val="green"/>
          <w:lang w:val="en-CA"/>
        </w:rPr>
      </w:pPr>
      <w:r w:rsidRPr="00793101">
        <w:rPr>
          <w:rStyle w:val="FootnoteReference"/>
          <w:sz w:val="16"/>
          <w:szCs w:val="16"/>
          <w:lang w:val="en-CA"/>
        </w:rPr>
        <w:footnoteRef/>
      </w:r>
      <w:r w:rsidRPr="00793101">
        <w:rPr>
          <w:sz w:val="16"/>
          <w:szCs w:val="16"/>
          <w:lang w:val="en-CA"/>
        </w:rPr>
        <w:t xml:space="preserve"> Amnesty International, </w:t>
      </w:r>
      <w:r w:rsidRPr="00793101">
        <w:rPr>
          <w:i/>
          <w:sz w:val="16"/>
          <w:szCs w:val="16"/>
          <w:lang w:val="en-CA"/>
        </w:rPr>
        <w:t>The International Criminal Court: Making the Right Choices – Part I: Defining the Crimes and Permissible Defences</w:t>
      </w:r>
      <w:r w:rsidRPr="00793101">
        <w:rPr>
          <w:sz w:val="16"/>
          <w:szCs w:val="16"/>
          <w:lang w:val="en-CA"/>
        </w:rPr>
        <w:t>, AI Index: IOR 40/01/1997, (Amnesty International, 1997), s VI E 6.</w:t>
      </w:r>
    </w:p>
  </w:footnote>
  <w:footnote w:id="319">
    <w:p w14:paraId="65E97019" w14:textId="7B4DB3F6" w:rsidR="00356280" w:rsidRPr="000C2340" w:rsidRDefault="00356280" w:rsidP="0040644D">
      <w:pPr>
        <w:widowControl/>
        <w:suppressAutoHyphens w:val="0"/>
        <w:autoSpaceDE w:val="0"/>
        <w:autoSpaceDN w:val="0"/>
        <w:adjustRightInd w:val="0"/>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Nuremberg Charter</w:t>
      </w:r>
      <w:r w:rsidRPr="00793101">
        <w:rPr>
          <w:sz w:val="16"/>
          <w:szCs w:val="16"/>
          <w:lang w:val="en-CA"/>
        </w:rPr>
        <w:t xml:space="preserve">, supra note </w:t>
      </w:r>
      <w:r>
        <w:fldChar w:fldCharType="begin"/>
      </w:r>
      <w:r>
        <w:instrText xml:space="preserve"> NOTEREF _Ref267051001 \h  \* MERGEFORMAT </w:instrText>
      </w:r>
      <w:r>
        <w:fldChar w:fldCharType="separate"/>
      </w:r>
      <w:r w:rsidRPr="00E045AC">
        <w:rPr>
          <w:sz w:val="16"/>
          <w:szCs w:val="16"/>
          <w:lang w:val="en-CA"/>
        </w:rPr>
        <w:t>272</w:t>
      </w:r>
      <w:r>
        <w:fldChar w:fldCharType="end"/>
      </w:r>
      <w:r w:rsidRPr="00793101">
        <w:rPr>
          <w:sz w:val="16"/>
          <w:szCs w:val="16"/>
          <w:lang w:val="en-CA"/>
        </w:rPr>
        <w:t xml:space="preserve">, art 8; </w:t>
      </w:r>
      <w:r w:rsidRPr="00793101">
        <w:rPr>
          <w:i/>
          <w:sz w:val="16"/>
          <w:szCs w:val="16"/>
          <w:lang w:val="en-CA"/>
        </w:rPr>
        <w:t>Allied Control Council Law No10, Punishment of persons guilty of war crimes, crimes against peace and against humanity</w:t>
      </w:r>
      <w:r w:rsidRPr="00793101">
        <w:rPr>
          <w:sz w:val="16"/>
          <w:szCs w:val="16"/>
          <w:lang w:val="en-CA"/>
        </w:rPr>
        <w:t>, 20 December 1945, published in the Official Gazette of the Control Council for Germany, No 3, Berlin, 31 January 1946 [</w:t>
      </w:r>
      <w:r w:rsidRPr="00793101">
        <w:rPr>
          <w:i/>
          <w:sz w:val="16"/>
          <w:szCs w:val="16"/>
          <w:lang w:val="en-CA"/>
        </w:rPr>
        <w:t>Allied Control Council Law No. 10</w:t>
      </w:r>
      <w:r w:rsidRPr="00793101">
        <w:rPr>
          <w:sz w:val="16"/>
          <w:szCs w:val="16"/>
          <w:lang w:val="en-CA"/>
        </w:rPr>
        <w:t>], art II(4)(b);</w:t>
      </w:r>
      <w:r w:rsidRPr="00793101">
        <w:rPr>
          <w:rFonts w:eastAsia="Times-Roman" w:cs="Times-Roman"/>
          <w:sz w:val="16"/>
          <w:szCs w:val="16"/>
          <w:lang w:val="en-CA"/>
        </w:rPr>
        <w:t xml:space="preserve"> </w:t>
      </w:r>
      <w:r w:rsidRPr="00793101">
        <w:rPr>
          <w:rFonts w:eastAsia="Times-Roman" w:cs="Times-Roman"/>
          <w:i/>
          <w:sz w:val="16"/>
          <w:szCs w:val="16"/>
          <w:lang w:val="en-CA"/>
        </w:rPr>
        <w:t>International Military Tribunal for the Far East Charter</w:t>
      </w:r>
      <w:r w:rsidRPr="00793101">
        <w:rPr>
          <w:rFonts w:eastAsia="Times-Roman" w:cs="Times-Roman"/>
          <w:sz w:val="16"/>
          <w:szCs w:val="16"/>
          <w:lang w:val="en-CA"/>
        </w:rPr>
        <w:t xml:space="preserve">, 19 January 1946 [Tokyo Charter], art 6; </w:t>
      </w:r>
      <w:r w:rsidRPr="00793101">
        <w:rPr>
          <w:rFonts w:eastAsia="Times-Roman" w:cs="Times-Roman"/>
          <w:i/>
          <w:sz w:val="16"/>
          <w:szCs w:val="16"/>
          <w:lang w:val="en-CA"/>
        </w:rPr>
        <w:t>Statute of the International Tribunal for the Prosecution of Persons Responsible for Serious Violations of International Humanitarian Law Committed in the Territory of the Former Yugoslavia since 1991</w:t>
      </w:r>
      <w:r w:rsidRPr="00793101">
        <w:rPr>
          <w:rFonts w:eastAsia="Times-Roman" w:cs="Times-Roman"/>
          <w:sz w:val="16"/>
          <w:szCs w:val="16"/>
          <w:lang w:val="en-CA"/>
        </w:rPr>
        <w:t>, UN Doc S/25704 at 36, annex (1993) and S/25704/Add.1 (1993), adopted by S/RES/827 (1993) [</w:t>
      </w:r>
      <w:r w:rsidRPr="00793101">
        <w:rPr>
          <w:rFonts w:eastAsia="Times-Roman" w:cs="Times-Roman"/>
          <w:i/>
          <w:sz w:val="16"/>
          <w:szCs w:val="16"/>
          <w:lang w:val="en-CA"/>
        </w:rPr>
        <w:t>ICTY Statute</w:t>
      </w:r>
      <w:r w:rsidRPr="00793101">
        <w:rPr>
          <w:rFonts w:eastAsia="Times-Roman" w:cs="Times-Roman"/>
          <w:sz w:val="16"/>
          <w:szCs w:val="16"/>
          <w:lang w:val="en-CA"/>
        </w:rPr>
        <w:t xml:space="preserve">], art 7(4); </w:t>
      </w:r>
      <w:r w:rsidRPr="00793101">
        <w:rPr>
          <w:i/>
          <w:sz w:val="16"/>
          <w:szCs w:val="16"/>
          <w:lang w:val="en-CA"/>
        </w:rPr>
        <w:t>Statute of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1 January 1994 and 31 December 1994</w:t>
      </w:r>
      <w:r w:rsidRPr="00793101">
        <w:rPr>
          <w:sz w:val="16"/>
          <w:szCs w:val="16"/>
          <w:lang w:val="en-CA"/>
        </w:rPr>
        <w:t xml:space="preserve">, adopted by S/RES/955 (1994) amended by S/RES/1165 (1998), S/RES/1329 (2000), 1411 (2002) and 1431 (2002) </w:t>
      </w:r>
      <w:r w:rsidRPr="00793101">
        <w:rPr>
          <w:rFonts w:eastAsia="Times-Roman" w:cs="Times-Roman"/>
          <w:sz w:val="16"/>
          <w:szCs w:val="16"/>
          <w:lang w:val="en-CA"/>
        </w:rPr>
        <w:t>[</w:t>
      </w:r>
      <w:r w:rsidRPr="00793101">
        <w:rPr>
          <w:rFonts w:eastAsia="Times-Roman" w:cs="Times-Roman"/>
          <w:i/>
          <w:sz w:val="16"/>
          <w:szCs w:val="16"/>
          <w:lang w:val="en-CA"/>
        </w:rPr>
        <w:t>ICTR Statute</w:t>
      </w:r>
      <w:r w:rsidRPr="00793101">
        <w:rPr>
          <w:rFonts w:eastAsia="Times-Roman" w:cs="Times-Roman"/>
          <w:sz w:val="16"/>
          <w:szCs w:val="16"/>
          <w:lang w:val="en-CA"/>
        </w:rPr>
        <w:t xml:space="preserve">], art 6(4); </w:t>
      </w:r>
      <w:r w:rsidRPr="00793101">
        <w:rPr>
          <w:rFonts w:eastAsia="Times-Roman" w:cs="Times-Roman"/>
          <w:i/>
          <w:sz w:val="16"/>
          <w:szCs w:val="16"/>
          <w:lang w:val="en-CA"/>
        </w:rPr>
        <w:t>1996 Draft Code of Crimes against the Peace and Security of Mankind</w:t>
      </w:r>
      <w:r w:rsidRPr="00793101">
        <w:rPr>
          <w:rFonts w:eastAsia="Times-Roman" w:cs="Times-Roman"/>
          <w:sz w:val="16"/>
          <w:szCs w:val="16"/>
          <w:lang w:val="en-CA"/>
        </w:rPr>
        <w:t xml:space="preserve">, </w:t>
      </w:r>
      <w:r w:rsidRPr="00793101">
        <w:rPr>
          <w:rFonts w:eastAsia="Times-Roman" w:cs="Times-Roman"/>
          <w:i/>
          <w:sz w:val="16"/>
          <w:szCs w:val="16"/>
          <w:lang w:val="en-CA"/>
        </w:rPr>
        <w:t>supra</w:t>
      </w:r>
      <w:r w:rsidRPr="00793101">
        <w:rPr>
          <w:rFonts w:eastAsia="Times-Roman" w:cs="Times-Roman"/>
          <w:sz w:val="16"/>
          <w:szCs w:val="16"/>
          <w:lang w:val="en-CA"/>
        </w:rPr>
        <w:t xml:space="preserve"> note </w:t>
      </w:r>
      <w:r>
        <w:fldChar w:fldCharType="begin"/>
      </w:r>
      <w:r>
        <w:instrText xml:space="preserve"> NOTEREF _Ref267051028 \h  \* MERGEFORMAT </w:instrText>
      </w:r>
      <w:r>
        <w:fldChar w:fldCharType="separate"/>
      </w:r>
      <w:r w:rsidRPr="00E045AC">
        <w:rPr>
          <w:rFonts w:eastAsia="Times-Roman" w:cs="Times-Roman"/>
          <w:sz w:val="16"/>
          <w:szCs w:val="16"/>
          <w:lang w:val="en-CA"/>
        </w:rPr>
        <w:t>301</w:t>
      </w:r>
      <w:r>
        <w:fldChar w:fldCharType="end"/>
      </w:r>
      <w:r w:rsidRPr="00793101">
        <w:rPr>
          <w:rFonts w:eastAsia="Times-Roman" w:cs="Times-Roman"/>
          <w:sz w:val="16"/>
          <w:szCs w:val="16"/>
          <w:lang w:val="en-CA"/>
        </w:rPr>
        <w:t xml:space="preserve">, art 5; </w:t>
      </w:r>
      <w:r w:rsidRPr="00793101">
        <w:rPr>
          <w:i/>
          <w:sz w:val="16"/>
          <w:szCs w:val="16"/>
          <w:lang w:val="en-CA"/>
        </w:rPr>
        <w:t>UNTAET, ‘On the Establishment of Panels with Executive Jurisdiction Over Serious Criminal Offences’, UN Doc UNTAET/Reg/2000/15 (6 June 2000)</w:t>
      </w:r>
      <w:r w:rsidRPr="00793101">
        <w:rPr>
          <w:sz w:val="16"/>
          <w:szCs w:val="16"/>
          <w:lang w:val="en-CA"/>
        </w:rPr>
        <w:t xml:space="preserve">, s 21; </w:t>
      </w:r>
      <w:r w:rsidRPr="00793101">
        <w:rPr>
          <w:i/>
          <w:sz w:val="16"/>
          <w:szCs w:val="16"/>
          <w:lang w:val="en-CA"/>
        </w:rPr>
        <w:t>Statute of the Special Court for Sierra Leone</w:t>
      </w:r>
      <w:r w:rsidRPr="00793101">
        <w:rPr>
          <w:sz w:val="16"/>
          <w:szCs w:val="16"/>
          <w:lang w:val="en-CA"/>
        </w:rPr>
        <w:t xml:space="preserve"> adopted by A/RES/1315 (14 august 2000) [</w:t>
      </w:r>
      <w:r w:rsidRPr="00793101">
        <w:rPr>
          <w:i/>
          <w:sz w:val="16"/>
          <w:szCs w:val="16"/>
          <w:lang w:val="en-CA"/>
        </w:rPr>
        <w:t>Sierra Leone Statute</w:t>
      </w:r>
      <w:r w:rsidRPr="00793101">
        <w:rPr>
          <w:sz w:val="16"/>
          <w:szCs w:val="16"/>
          <w:lang w:val="en-CA"/>
        </w:rPr>
        <w:t xml:space="preserve">], art 6(4); Cambodian </w:t>
      </w:r>
      <w:r w:rsidRPr="00793101">
        <w:rPr>
          <w:i/>
          <w:sz w:val="16"/>
          <w:szCs w:val="16"/>
          <w:lang w:val="en-CA"/>
        </w:rPr>
        <w:t>Law on the Establishment of the Extraordinary Chambers, with inclusion of amendments as promulgated on 27 October 2004</w:t>
      </w:r>
      <w:r w:rsidRPr="00793101">
        <w:rPr>
          <w:sz w:val="16"/>
          <w:szCs w:val="16"/>
          <w:lang w:val="en-CA"/>
        </w:rPr>
        <w:t xml:space="preserve"> (NS/RKM/1004/006) [</w:t>
      </w:r>
      <w:r w:rsidRPr="00793101">
        <w:rPr>
          <w:rFonts w:eastAsia="Times-Roman" w:cs="Times-Roman"/>
          <w:i/>
          <w:sz w:val="16"/>
          <w:szCs w:val="16"/>
          <w:lang w:val="en-CA"/>
        </w:rPr>
        <w:t>Cambodian Extraordinary Chambers Law</w:t>
      </w:r>
      <w:r w:rsidRPr="00793101">
        <w:rPr>
          <w:sz w:val="16"/>
          <w:szCs w:val="16"/>
          <w:lang w:val="en-CA"/>
        </w:rPr>
        <w:t>], art</w:t>
      </w:r>
      <w:r w:rsidRPr="00793101">
        <w:rPr>
          <w:rFonts w:eastAsia="Times-Roman" w:cs="Times-Roman"/>
          <w:sz w:val="16"/>
          <w:szCs w:val="16"/>
          <w:lang w:val="en-CA"/>
        </w:rPr>
        <w:t xml:space="preserve"> 29; </w:t>
      </w:r>
      <w:r w:rsidRPr="00793101">
        <w:rPr>
          <w:rFonts w:eastAsia="Times-Roman" w:cs="Times-Roman"/>
          <w:i/>
          <w:sz w:val="16"/>
          <w:szCs w:val="16"/>
          <w:lang w:val="en-CA"/>
        </w:rPr>
        <w:t>Disappearance Convention, supra</w:t>
      </w:r>
      <w:r w:rsidRPr="00793101">
        <w:rPr>
          <w:rFonts w:eastAsia="Times-Roman" w:cs="Times-Roman"/>
          <w:sz w:val="16"/>
          <w:szCs w:val="16"/>
          <w:lang w:val="en-CA"/>
        </w:rPr>
        <w:t xml:space="preserve"> note </w:t>
      </w:r>
      <w:r>
        <w:fldChar w:fldCharType="begin"/>
      </w:r>
      <w:r>
        <w:instrText xml:space="preserve"> NOTEREF _Ref266973218 \h  \* MERGEFORMAT </w:instrText>
      </w:r>
      <w:r>
        <w:fldChar w:fldCharType="separate"/>
      </w:r>
      <w:r w:rsidRPr="00E045AC">
        <w:rPr>
          <w:rFonts w:eastAsia="Times-Roman" w:cs="Times-Roman"/>
          <w:sz w:val="16"/>
          <w:szCs w:val="16"/>
          <w:lang w:val="en-CA"/>
        </w:rPr>
        <w:t>227</w:t>
      </w:r>
      <w:r>
        <w:fldChar w:fldCharType="end"/>
      </w:r>
      <w:r w:rsidRPr="00793101">
        <w:rPr>
          <w:rFonts w:eastAsia="Times-Roman" w:cs="Times-Roman"/>
          <w:sz w:val="16"/>
          <w:szCs w:val="16"/>
          <w:lang w:val="en-CA"/>
        </w:rPr>
        <w:t xml:space="preserve">, </w:t>
      </w:r>
      <w:r w:rsidRPr="00793101">
        <w:rPr>
          <w:sz w:val="16"/>
          <w:szCs w:val="16"/>
          <w:lang w:val="en-CA"/>
        </w:rPr>
        <w:t>art 6(2)</w:t>
      </w:r>
      <w:r w:rsidRPr="00793101">
        <w:rPr>
          <w:rFonts w:eastAsia="Times-Roman" w:cs="Times-Roman"/>
          <w:sz w:val="16"/>
          <w:szCs w:val="16"/>
          <w:lang w:val="en-CA"/>
        </w:rPr>
        <w:t>.</w:t>
      </w:r>
    </w:p>
    <w:p w14:paraId="477E6DA3" w14:textId="1AAFC3F6" w:rsidR="00356280" w:rsidRPr="00793101" w:rsidRDefault="00356280" w:rsidP="0040644D">
      <w:pPr>
        <w:pStyle w:val="Style4"/>
        <w:spacing w:after="0" w:line="240" w:lineRule="auto"/>
        <w:rPr>
          <w:szCs w:val="16"/>
          <w:lang w:val="en-CA"/>
        </w:rPr>
      </w:pPr>
      <w:r w:rsidRPr="00793101">
        <w:rPr>
          <w:rFonts w:eastAsia="Times-Roman" w:cs="Times-Roman"/>
          <w:i/>
          <w:szCs w:val="16"/>
          <w:lang w:val="en-CA"/>
        </w:rPr>
        <w:t>Rome Statute, supra</w:t>
      </w:r>
      <w:r w:rsidRPr="00793101">
        <w:rPr>
          <w:rFonts w:eastAsia="Times-Roman" w:cs="Times-Roman"/>
          <w:szCs w:val="16"/>
          <w:lang w:val="en-CA"/>
        </w:rPr>
        <w:t xml:space="preserve"> note </w:t>
      </w:r>
      <w:r>
        <w:fldChar w:fldCharType="begin"/>
      </w:r>
      <w:r>
        <w:instrText xml:space="preserve"> NOTEREF _Ref266968903 \h  \* MERGEFORMAT </w:instrText>
      </w:r>
      <w:r>
        <w:fldChar w:fldCharType="separate"/>
      </w:r>
      <w:r w:rsidRPr="00E045AC">
        <w:rPr>
          <w:rFonts w:eastAsia="Times-Roman" w:cs="Times-Roman"/>
          <w:szCs w:val="16"/>
          <w:lang w:val="en-CA"/>
        </w:rPr>
        <w:t>97</w:t>
      </w:r>
      <w:r>
        <w:fldChar w:fldCharType="end"/>
      </w:r>
      <w:r w:rsidRPr="00793101">
        <w:rPr>
          <w:rFonts w:eastAsia="Times-Roman" w:cs="Times-Roman"/>
          <w:szCs w:val="16"/>
          <w:lang w:val="en-CA"/>
        </w:rPr>
        <w:t>, art 33 permits the defence of superior orders to war crimes, but it is narrowly circumscribed, applicable only to trials in the International Criminal Court and contrary to every other international instrument adopted concerning crimes under international law, including instruments subsequently adopted, such as the Statute of the Special Court for Sierra Leone and the Cambodian Extraordinary Chambers Law.</w:t>
      </w:r>
    </w:p>
  </w:footnote>
  <w:footnote w:id="320">
    <w:p w14:paraId="5840D809" w14:textId="0E87F87C" w:rsidR="00356280" w:rsidRPr="00793101" w:rsidRDefault="00356280" w:rsidP="001D4016">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CAT General Comment 2, supra</w:t>
      </w:r>
      <w:r w:rsidRPr="00793101">
        <w:rPr>
          <w:szCs w:val="16"/>
          <w:lang w:val="en-CA"/>
        </w:rPr>
        <w:t xml:space="preserve"> note </w:t>
      </w:r>
      <w:r>
        <w:fldChar w:fldCharType="begin"/>
      </w:r>
      <w:r>
        <w:instrText xml:space="preserve"> NOTEREF _Ref267051086 \h  \* MERGEFORMAT </w:instrText>
      </w:r>
      <w:r>
        <w:fldChar w:fldCharType="separate"/>
      </w:r>
      <w:r w:rsidRPr="00E045AC">
        <w:rPr>
          <w:szCs w:val="16"/>
          <w:lang w:val="en-CA"/>
        </w:rPr>
        <w:t>303</w:t>
      </w:r>
      <w:r>
        <w:fldChar w:fldCharType="end"/>
      </w:r>
      <w:r w:rsidRPr="00793101">
        <w:rPr>
          <w:szCs w:val="16"/>
          <w:lang w:val="en-CA"/>
        </w:rPr>
        <w:t xml:space="preserve"> at para 26.</w:t>
      </w:r>
    </w:p>
  </w:footnote>
  <w:footnote w:id="321">
    <w:p w14:paraId="7CBD16C5" w14:textId="59BE961A" w:rsidR="00356280" w:rsidRPr="00AA6144" w:rsidRDefault="00356280" w:rsidP="00AA6144">
      <w:pPr>
        <w:pStyle w:val="FootnoteText"/>
        <w:spacing w:after="0" w:line="240" w:lineRule="auto"/>
        <w:rPr>
          <w:lang w:val="en-CA"/>
        </w:rPr>
      </w:pPr>
      <w:r>
        <w:rPr>
          <w:rStyle w:val="FootnoteReference"/>
        </w:rPr>
        <w:footnoteRef/>
      </w:r>
      <w:r>
        <w:t xml:space="preserve"> The Rome Statute allows this defence (if all the criteria are met) only for war crimes and continues the tradition of excluding it for crimes against humanity and genocide, which was followed by Canada.</w:t>
      </w:r>
    </w:p>
  </w:footnote>
  <w:footnote w:id="322">
    <w:p w14:paraId="4AACB898" w14:textId="77777777" w:rsidR="00356280" w:rsidRPr="00793101" w:rsidRDefault="00356280" w:rsidP="001D4016">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R</w:t>
      </w:r>
      <w:r w:rsidRPr="00793101">
        <w:rPr>
          <w:color w:val="auto"/>
          <w:szCs w:val="16"/>
          <w:lang w:val="en-CA"/>
        </w:rPr>
        <w:t xml:space="preserve"> v </w:t>
      </w:r>
      <w:r w:rsidRPr="00793101">
        <w:rPr>
          <w:i/>
          <w:color w:val="auto"/>
          <w:szCs w:val="16"/>
          <w:lang w:val="en-CA"/>
        </w:rPr>
        <w:t>Bulmer</w:t>
      </w:r>
      <w:r w:rsidRPr="00793101">
        <w:rPr>
          <w:color w:val="auto"/>
          <w:szCs w:val="16"/>
          <w:lang w:val="en-CA"/>
        </w:rPr>
        <w:t>, [1987] 1 SCR 782.</w:t>
      </w:r>
    </w:p>
  </w:footnote>
  <w:footnote w:id="323">
    <w:p w14:paraId="5F328B90" w14:textId="6E2CF928"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See </w:t>
      </w:r>
      <w:r w:rsidRPr="00793101">
        <w:rPr>
          <w:i/>
          <w:color w:val="auto"/>
          <w:szCs w:val="16"/>
          <w:lang w:val="en-CA"/>
        </w:rPr>
        <w:t>Criminal Code, supra</w:t>
      </w:r>
      <w:r w:rsidRPr="00793101">
        <w:rPr>
          <w:color w:val="auto"/>
          <w:szCs w:val="16"/>
          <w:lang w:val="en-CA"/>
        </w:rPr>
        <w:t xml:space="preserve"> note </w:t>
      </w:r>
      <w:r>
        <w:fldChar w:fldCharType="begin"/>
      </w:r>
      <w:r>
        <w:instrText xml:space="preserve"> NOTEREF _Ref266965463 \h  \* MERGEFORMAT </w:instrText>
      </w:r>
      <w:r>
        <w:fldChar w:fldCharType="separate"/>
      </w:r>
      <w:r>
        <w:t>10</w:t>
      </w:r>
      <w:r>
        <w:fldChar w:fldCharType="end"/>
      </w:r>
      <w:r w:rsidRPr="00793101">
        <w:rPr>
          <w:color w:val="auto"/>
          <w:szCs w:val="16"/>
          <w:lang w:val="en-CA"/>
        </w:rPr>
        <w:t>, ss 150.1(4),(5), 163.1(5), 273.2b) and 290(2).</w:t>
      </w:r>
    </w:p>
  </w:footnote>
  <w:footnote w:id="324">
    <w:p w14:paraId="3121062E"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R v </w:t>
      </w:r>
      <w:proofErr w:type="spellStart"/>
      <w:r w:rsidRPr="00793101">
        <w:rPr>
          <w:i/>
          <w:szCs w:val="16"/>
        </w:rPr>
        <w:t>Pappajohn</w:t>
      </w:r>
      <w:proofErr w:type="spellEnd"/>
      <w:r w:rsidRPr="00793101">
        <w:rPr>
          <w:i/>
          <w:szCs w:val="16"/>
        </w:rPr>
        <w:t>,</w:t>
      </w:r>
      <w:r w:rsidRPr="00793101">
        <w:rPr>
          <w:szCs w:val="16"/>
        </w:rPr>
        <w:t xml:space="preserve"> </w:t>
      </w:r>
      <w:r w:rsidRPr="00793101">
        <w:rPr>
          <w:szCs w:val="16"/>
          <w:lang w:val="en-US"/>
        </w:rPr>
        <w:t>[1980] 2 SCR 120.</w:t>
      </w:r>
    </w:p>
  </w:footnote>
  <w:footnote w:id="325">
    <w:p w14:paraId="5AF6D7A5" w14:textId="77777777" w:rsidR="00356280" w:rsidRPr="00793101" w:rsidRDefault="00356280" w:rsidP="0040644D">
      <w:pPr>
        <w:pStyle w:val="FootnoteText"/>
        <w:spacing w:after="0" w:line="240" w:lineRule="auto"/>
        <w:rPr>
          <w:szCs w:val="16"/>
          <w:highlight w:val="green"/>
          <w:lang w:val="en-US"/>
        </w:rPr>
      </w:pPr>
      <w:r w:rsidRPr="00793101">
        <w:rPr>
          <w:rStyle w:val="FootnoteReference"/>
          <w:szCs w:val="16"/>
        </w:rPr>
        <w:footnoteRef/>
      </w:r>
      <w:r w:rsidRPr="00793101">
        <w:rPr>
          <w:szCs w:val="16"/>
        </w:rPr>
        <w:t xml:space="preserve"> </w:t>
      </w:r>
      <w:r w:rsidRPr="00793101">
        <w:rPr>
          <w:szCs w:val="16"/>
          <w:lang w:val="en-US"/>
        </w:rPr>
        <w:t xml:space="preserve"> </w:t>
      </w:r>
      <w:r w:rsidRPr="00793101">
        <w:rPr>
          <w:i/>
          <w:szCs w:val="16"/>
          <w:lang w:val="en-US"/>
        </w:rPr>
        <w:t>Ibid</w:t>
      </w:r>
      <w:r w:rsidRPr="00793101">
        <w:rPr>
          <w:szCs w:val="16"/>
          <w:lang w:val="en-US"/>
        </w:rPr>
        <w:t xml:space="preserve"> at para 148.</w:t>
      </w:r>
    </w:p>
  </w:footnote>
  <w:footnote w:id="326">
    <w:p w14:paraId="4ABBB2FA" w14:textId="3F15C2FA" w:rsidR="00356280" w:rsidRPr="00793101" w:rsidRDefault="00356280" w:rsidP="0040644D">
      <w:pPr>
        <w:pStyle w:val="AIBodyText"/>
        <w:spacing w:after="0" w:line="240" w:lineRule="auto"/>
        <w:jc w:val="both"/>
        <w:rPr>
          <w:color w:val="auto"/>
          <w:sz w:val="16"/>
          <w:szCs w:val="16"/>
          <w:highlight w:val="green"/>
          <w:lang w:val="en-CA"/>
        </w:rPr>
      </w:pPr>
      <w:r w:rsidRPr="00793101">
        <w:rPr>
          <w:rStyle w:val="FootnoteReference"/>
          <w:color w:val="auto"/>
          <w:sz w:val="16"/>
          <w:szCs w:val="16"/>
          <w:lang w:val="en-CA"/>
        </w:rPr>
        <w:footnoteRef/>
      </w:r>
      <w:r w:rsidRPr="00793101">
        <w:rPr>
          <w:color w:val="auto"/>
          <w:sz w:val="16"/>
          <w:szCs w:val="16"/>
          <w:lang w:val="en-CA"/>
        </w:rPr>
        <w:t xml:space="preserve"> For </w:t>
      </w:r>
      <w:r w:rsidRPr="00793101">
        <w:rPr>
          <w:rFonts w:eastAsia="Times-Roman" w:cs="Times-Roman"/>
          <w:color w:val="auto"/>
          <w:sz w:val="16"/>
          <w:szCs w:val="16"/>
          <w:lang w:val="en-CA"/>
        </w:rPr>
        <w:t>Amnesty International’s view on the scope of this defence, see ‘</w:t>
      </w:r>
      <w:r w:rsidRPr="00793101">
        <w:rPr>
          <w:i/>
          <w:color w:val="auto"/>
          <w:sz w:val="16"/>
          <w:szCs w:val="16"/>
          <w:lang w:val="en-CA"/>
        </w:rPr>
        <w:t>Making the Right Choices’</w:t>
      </w:r>
      <w:r w:rsidRPr="00793101">
        <w:rPr>
          <w:color w:val="auto"/>
          <w:sz w:val="16"/>
          <w:szCs w:val="16"/>
          <w:lang w:val="en-CA"/>
        </w:rPr>
        <w:t xml:space="preserve">, </w:t>
      </w:r>
      <w:r w:rsidRPr="00793101">
        <w:rPr>
          <w:i/>
          <w:color w:val="auto"/>
          <w:sz w:val="16"/>
          <w:szCs w:val="16"/>
          <w:lang w:val="en-CA"/>
        </w:rPr>
        <w:t>supra</w:t>
      </w:r>
      <w:r w:rsidRPr="00793101">
        <w:rPr>
          <w:color w:val="auto"/>
          <w:sz w:val="16"/>
          <w:szCs w:val="16"/>
          <w:lang w:val="en-CA"/>
        </w:rPr>
        <w:t xml:space="preserve"> note </w:t>
      </w:r>
      <w:r>
        <w:fldChar w:fldCharType="begin"/>
      </w:r>
      <w:r>
        <w:instrText xml:space="preserve"> NOTEREF _Ref267051196 \h  \* MERGEFORMAT </w:instrText>
      </w:r>
      <w:r>
        <w:fldChar w:fldCharType="separate"/>
      </w:r>
      <w:r w:rsidRPr="00E045AC">
        <w:rPr>
          <w:color w:val="auto"/>
          <w:sz w:val="16"/>
          <w:szCs w:val="16"/>
          <w:lang w:val="en-CA"/>
        </w:rPr>
        <w:t>318</w:t>
      </w:r>
      <w:r>
        <w:fldChar w:fldCharType="end"/>
      </w:r>
      <w:r w:rsidRPr="00793101">
        <w:rPr>
          <w:color w:val="auto"/>
          <w:sz w:val="16"/>
          <w:szCs w:val="16"/>
          <w:lang w:val="en-CA"/>
        </w:rPr>
        <w:t>, s VI E 6.</w:t>
      </w:r>
    </w:p>
  </w:footnote>
  <w:footnote w:id="327">
    <w:p w14:paraId="1DCDF917" w14:textId="77777777" w:rsidR="00356280" w:rsidRPr="00793101" w:rsidRDefault="00356280" w:rsidP="0040644D">
      <w:pPr>
        <w:pStyle w:val="FootnoteText"/>
        <w:spacing w:after="0" w:line="240" w:lineRule="auto"/>
        <w:rPr>
          <w:szCs w:val="16"/>
          <w:highlight w:val="green"/>
          <w:lang w:val="en-US"/>
        </w:rPr>
      </w:pPr>
      <w:r w:rsidRPr="00793101">
        <w:rPr>
          <w:rStyle w:val="FootnoteReference"/>
          <w:szCs w:val="16"/>
        </w:rPr>
        <w:footnoteRef/>
      </w:r>
      <w:r w:rsidRPr="00793101">
        <w:rPr>
          <w:szCs w:val="16"/>
        </w:rPr>
        <w:t xml:space="preserve"> </w:t>
      </w:r>
      <w:r w:rsidRPr="00793101">
        <w:rPr>
          <w:i/>
          <w:szCs w:val="16"/>
        </w:rPr>
        <w:t>R v Forster</w:t>
      </w:r>
      <w:r w:rsidRPr="00793101">
        <w:rPr>
          <w:szCs w:val="16"/>
        </w:rPr>
        <w:t xml:space="preserve">, </w:t>
      </w:r>
      <w:r w:rsidRPr="00793101">
        <w:rPr>
          <w:szCs w:val="16"/>
          <w:lang w:val="en-US"/>
        </w:rPr>
        <w:t xml:space="preserve">[1992] 1 SCR 339 at 346. </w:t>
      </w:r>
    </w:p>
  </w:footnote>
  <w:footnote w:id="328">
    <w:p w14:paraId="01D999C9"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rFonts w:eastAsia="Times-Roman" w:cs="Times-Roman"/>
          <w:bCs/>
          <w:szCs w:val="16"/>
        </w:rPr>
        <w:t xml:space="preserve">In </w:t>
      </w:r>
      <w:r w:rsidRPr="00793101">
        <w:rPr>
          <w:rFonts w:eastAsia="Times-Roman" w:cs="Times-Roman"/>
          <w:bCs/>
          <w:i/>
          <w:szCs w:val="16"/>
        </w:rPr>
        <w:t>R v MacDonald</w:t>
      </w:r>
      <w:r w:rsidRPr="00793101">
        <w:rPr>
          <w:rFonts w:eastAsia="Times-Roman" w:cs="Times-Roman"/>
          <w:bCs/>
          <w:szCs w:val="16"/>
        </w:rPr>
        <w:t xml:space="preserve">, 2014 SCC 3. </w:t>
      </w:r>
    </w:p>
  </w:footnote>
  <w:footnote w:id="329">
    <w:p w14:paraId="13ED70DD"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Kent Roach, </w:t>
      </w:r>
      <w:r w:rsidRPr="00793101">
        <w:rPr>
          <w:i/>
          <w:color w:val="auto"/>
          <w:szCs w:val="16"/>
          <w:lang w:val="en-CA"/>
        </w:rPr>
        <w:t>Criminal Law</w:t>
      </w:r>
      <w:r w:rsidRPr="00793101">
        <w:rPr>
          <w:color w:val="auto"/>
          <w:szCs w:val="16"/>
          <w:lang w:val="en-CA"/>
        </w:rPr>
        <w:t>, 4</w:t>
      </w:r>
      <w:r w:rsidRPr="00793101">
        <w:rPr>
          <w:color w:val="auto"/>
          <w:szCs w:val="16"/>
          <w:vertAlign w:val="superscript"/>
          <w:lang w:val="en-CA"/>
        </w:rPr>
        <w:t>th</w:t>
      </w:r>
      <w:r w:rsidRPr="00793101">
        <w:rPr>
          <w:color w:val="auto"/>
          <w:szCs w:val="16"/>
          <w:lang w:val="en-CA"/>
        </w:rPr>
        <w:t xml:space="preserve"> ed (Toronto: Irwin Law, 2009) at 91.</w:t>
      </w:r>
    </w:p>
  </w:footnote>
  <w:footnote w:id="330">
    <w:p w14:paraId="170F94A6" w14:textId="77777777" w:rsidR="00356280" w:rsidRPr="00793101" w:rsidRDefault="00356280" w:rsidP="001D4016">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referring to </w:t>
      </w:r>
      <w:r w:rsidRPr="00793101">
        <w:rPr>
          <w:i/>
          <w:color w:val="auto"/>
          <w:szCs w:val="16"/>
          <w:lang w:val="en-CA"/>
        </w:rPr>
        <w:t>R v Pontes,</w:t>
      </w:r>
      <w:r w:rsidRPr="00793101">
        <w:rPr>
          <w:color w:val="auto"/>
          <w:szCs w:val="16"/>
          <w:lang w:val="en-CA"/>
        </w:rPr>
        <w:t xml:space="preserve"> </w:t>
      </w:r>
      <w:r w:rsidRPr="00793101">
        <w:rPr>
          <w:color w:val="auto"/>
          <w:szCs w:val="16"/>
          <w:lang w:val="en-US"/>
        </w:rPr>
        <w:t>[1995] 3 SCR 44.</w:t>
      </w:r>
      <w:r w:rsidRPr="00793101">
        <w:rPr>
          <w:color w:val="auto"/>
          <w:szCs w:val="16"/>
          <w:lang w:val="en-CA"/>
        </w:rPr>
        <w:t xml:space="preserve"> </w:t>
      </w:r>
    </w:p>
  </w:footnote>
  <w:footnote w:id="331">
    <w:p w14:paraId="75A1CFB9" w14:textId="48160FD0" w:rsidR="00356280" w:rsidRPr="00AA6144" w:rsidRDefault="00356280" w:rsidP="00AA6144">
      <w:pPr>
        <w:pStyle w:val="FootnoteText"/>
        <w:spacing w:after="0" w:line="240" w:lineRule="auto"/>
        <w:rPr>
          <w:lang w:val="en-CA"/>
        </w:rPr>
      </w:pPr>
      <w:r>
        <w:rPr>
          <w:rStyle w:val="FootnoteReference"/>
        </w:rPr>
        <w:footnoteRef/>
      </w:r>
      <w:r>
        <w:t xml:space="preserve"> </w:t>
      </w:r>
      <w:r w:rsidRPr="00AA6144">
        <w:rPr>
          <w:i/>
          <w:lang w:val="en-CA"/>
        </w:rPr>
        <w:t>Rome Statute, supra</w:t>
      </w:r>
      <w:r w:rsidRPr="00AA6144">
        <w:rPr>
          <w:lang w:val="en-CA"/>
        </w:rPr>
        <w:t xml:space="preserve"> note 127, art</w:t>
      </w:r>
      <w:r>
        <w:rPr>
          <w:lang w:val="en-CA"/>
        </w:rPr>
        <w:t xml:space="preserve"> </w:t>
      </w:r>
      <w:r w:rsidRPr="00AA6144">
        <w:rPr>
          <w:lang w:val="en-CA"/>
        </w:rPr>
        <w:t>32(2).</w:t>
      </w:r>
    </w:p>
  </w:footnote>
  <w:footnote w:id="332">
    <w:p w14:paraId="4BC65DED" w14:textId="77777777" w:rsidR="00356280" w:rsidRPr="00793101" w:rsidRDefault="00356280" w:rsidP="001D4016">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i/>
          <w:color w:val="auto"/>
          <w:szCs w:val="16"/>
          <w:lang w:val="en-CA"/>
        </w:rPr>
        <w:t xml:space="preserve"> </w:t>
      </w:r>
      <w:proofErr w:type="spellStart"/>
      <w:r w:rsidRPr="00793101">
        <w:rPr>
          <w:i/>
          <w:color w:val="auto"/>
          <w:szCs w:val="16"/>
          <w:lang w:val="en-CA"/>
        </w:rPr>
        <w:t>Lévis</w:t>
      </w:r>
      <w:proofErr w:type="spellEnd"/>
      <w:r w:rsidRPr="00793101">
        <w:rPr>
          <w:i/>
          <w:color w:val="auto"/>
          <w:szCs w:val="16"/>
          <w:lang w:val="en-CA"/>
        </w:rPr>
        <w:t xml:space="preserve"> (City)</w:t>
      </w:r>
      <w:r w:rsidRPr="00793101">
        <w:rPr>
          <w:color w:val="auto"/>
          <w:szCs w:val="16"/>
          <w:lang w:val="en-CA"/>
        </w:rPr>
        <w:t xml:space="preserve"> </w:t>
      </w:r>
      <w:r w:rsidRPr="00793101">
        <w:rPr>
          <w:iCs/>
          <w:color w:val="auto"/>
          <w:szCs w:val="16"/>
          <w:lang w:val="en-CA"/>
        </w:rPr>
        <w:t>v</w:t>
      </w:r>
      <w:r w:rsidRPr="00793101">
        <w:rPr>
          <w:color w:val="auto"/>
          <w:szCs w:val="16"/>
          <w:lang w:val="en-CA"/>
        </w:rPr>
        <w:t xml:space="preserve"> </w:t>
      </w:r>
      <w:r w:rsidRPr="00793101">
        <w:rPr>
          <w:i/>
          <w:color w:val="auto"/>
          <w:szCs w:val="16"/>
          <w:lang w:val="en-CA"/>
        </w:rPr>
        <w:t>2629</w:t>
      </w:r>
      <w:r w:rsidRPr="00793101">
        <w:rPr>
          <w:i/>
          <w:color w:val="auto"/>
          <w:szCs w:val="16"/>
          <w:lang w:val="en-CA"/>
        </w:rPr>
        <w:noBreakHyphen/>
        <w:t xml:space="preserve">4470 Québec </w:t>
      </w:r>
      <w:proofErr w:type="spellStart"/>
      <w:r w:rsidRPr="00793101">
        <w:rPr>
          <w:i/>
          <w:color w:val="auto"/>
          <w:szCs w:val="16"/>
          <w:lang w:val="en-CA"/>
        </w:rPr>
        <w:t>inc.</w:t>
      </w:r>
      <w:proofErr w:type="spellEnd"/>
      <w:r w:rsidRPr="00793101">
        <w:rPr>
          <w:color w:val="auto"/>
          <w:szCs w:val="16"/>
          <w:lang w:val="en-CA"/>
        </w:rPr>
        <w:t>, 2006 SCC 12, [2006] 1 SCR 420 [</w:t>
      </w:r>
      <w:proofErr w:type="spellStart"/>
      <w:r w:rsidRPr="00793101">
        <w:rPr>
          <w:i/>
          <w:color w:val="auto"/>
          <w:szCs w:val="16"/>
          <w:lang w:val="en-CA"/>
        </w:rPr>
        <w:t>Lévis</w:t>
      </w:r>
      <w:proofErr w:type="spellEnd"/>
      <w:r w:rsidRPr="00793101">
        <w:rPr>
          <w:i/>
          <w:color w:val="auto"/>
          <w:szCs w:val="16"/>
          <w:lang w:val="en-CA"/>
        </w:rPr>
        <w:t xml:space="preserve"> (City)</w:t>
      </w:r>
      <w:r w:rsidRPr="00793101">
        <w:rPr>
          <w:color w:val="auto"/>
          <w:szCs w:val="16"/>
          <w:lang w:val="en-CA"/>
        </w:rPr>
        <w:t xml:space="preserve"> </w:t>
      </w:r>
      <w:r w:rsidRPr="00793101">
        <w:rPr>
          <w:iCs/>
          <w:color w:val="auto"/>
          <w:szCs w:val="16"/>
          <w:lang w:val="en-CA"/>
        </w:rPr>
        <w:t>v</w:t>
      </w:r>
      <w:r w:rsidRPr="00793101">
        <w:rPr>
          <w:color w:val="auto"/>
          <w:szCs w:val="16"/>
          <w:lang w:val="en-CA"/>
        </w:rPr>
        <w:t xml:space="preserve"> </w:t>
      </w:r>
      <w:proofErr w:type="spellStart"/>
      <w:r w:rsidRPr="00793101">
        <w:rPr>
          <w:i/>
          <w:color w:val="auto"/>
          <w:szCs w:val="16"/>
          <w:lang w:val="en-CA"/>
        </w:rPr>
        <w:t>Tétreault</w:t>
      </w:r>
      <w:proofErr w:type="spellEnd"/>
      <w:r w:rsidRPr="00793101">
        <w:rPr>
          <w:color w:val="auto"/>
          <w:szCs w:val="16"/>
          <w:lang w:val="en-CA"/>
        </w:rPr>
        <w:t>].</w:t>
      </w:r>
    </w:p>
  </w:footnote>
  <w:footnote w:id="333">
    <w:p w14:paraId="140E1ABA" w14:textId="4774CB68"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at paras 20-27; Roach,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_Ref267051217 \h  \* MERGEFORMAT </w:instrText>
      </w:r>
      <w:r>
        <w:fldChar w:fldCharType="separate"/>
      </w:r>
      <w:r w:rsidRPr="00E045AC">
        <w:rPr>
          <w:color w:val="auto"/>
          <w:szCs w:val="16"/>
          <w:lang w:val="en-CA"/>
        </w:rPr>
        <w:t>329</w:t>
      </w:r>
      <w:r>
        <w:fldChar w:fldCharType="end"/>
      </w:r>
      <w:r w:rsidRPr="00793101">
        <w:rPr>
          <w:color w:val="auto"/>
          <w:szCs w:val="16"/>
          <w:lang w:val="en-CA"/>
        </w:rPr>
        <w:t xml:space="preserve"> at 93.</w:t>
      </w:r>
    </w:p>
  </w:footnote>
  <w:footnote w:id="334">
    <w:p w14:paraId="7C240BF0"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color w:val="auto"/>
          <w:szCs w:val="16"/>
          <w:lang w:val="en-CA"/>
        </w:rPr>
        <w:t>at para 27.</w:t>
      </w:r>
    </w:p>
  </w:footnote>
  <w:footnote w:id="335">
    <w:p w14:paraId="0DEAE323"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color w:val="auto"/>
          <w:szCs w:val="16"/>
          <w:lang w:val="en-CA"/>
        </w:rPr>
        <w:t>at para 27.</w:t>
      </w:r>
    </w:p>
  </w:footnote>
  <w:footnote w:id="336">
    <w:p w14:paraId="07186D64"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Ibid</w:t>
      </w:r>
      <w:r w:rsidRPr="00793101">
        <w:rPr>
          <w:color w:val="auto"/>
          <w:szCs w:val="16"/>
          <w:lang w:val="en-CA"/>
        </w:rPr>
        <w:t xml:space="preserve"> at para 22.</w:t>
      </w:r>
    </w:p>
  </w:footnote>
  <w:footnote w:id="337">
    <w:p w14:paraId="4F29473B" w14:textId="77852FEC" w:rsidR="00356280" w:rsidRPr="00793101" w:rsidRDefault="00356280" w:rsidP="0040644D">
      <w:pPr>
        <w:pStyle w:val="AIBodyText"/>
        <w:spacing w:after="0" w:line="240" w:lineRule="auto"/>
        <w:rPr>
          <w:sz w:val="16"/>
          <w:szCs w:val="16"/>
          <w:lang w:val="en-US"/>
        </w:rPr>
      </w:pPr>
      <w:r w:rsidRPr="00793101">
        <w:rPr>
          <w:rStyle w:val="FootnoteReference"/>
          <w:sz w:val="16"/>
          <w:szCs w:val="16"/>
        </w:rPr>
        <w:footnoteRef/>
      </w:r>
      <w:r w:rsidRPr="00793101">
        <w:rPr>
          <w:sz w:val="16"/>
          <w:szCs w:val="16"/>
        </w:rPr>
        <w:t xml:space="preserve"> </w:t>
      </w:r>
      <w:r w:rsidRPr="00793101">
        <w:rPr>
          <w:i/>
          <w:sz w:val="16"/>
          <w:szCs w:val="16"/>
          <w:lang w:val="en-US"/>
        </w:rPr>
        <w:t>Rome Statute, supra</w:t>
      </w:r>
      <w:r w:rsidRPr="00793101">
        <w:rPr>
          <w:sz w:val="16"/>
          <w:szCs w:val="16"/>
          <w:lang w:val="en-US"/>
        </w:rPr>
        <w:t xml:space="preserve"> note </w:t>
      </w:r>
      <w:r>
        <w:fldChar w:fldCharType="begin"/>
      </w:r>
      <w:r>
        <w:instrText xml:space="preserve"> NOTEREF _Ref266968903 \h  \* MERGEFORMAT </w:instrText>
      </w:r>
      <w:r>
        <w:fldChar w:fldCharType="separate"/>
      </w:r>
      <w:r w:rsidRPr="00E045AC">
        <w:rPr>
          <w:sz w:val="16"/>
          <w:szCs w:val="16"/>
          <w:lang w:val="en-US"/>
        </w:rPr>
        <w:t>97</w:t>
      </w:r>
      <w:r>
        <w:fldChar w:fldCharType="end"/>
      </w:r>
      <w:r w:rsidRPr="00793101">
        <w:rPr>
          <w:sz w:val="16"/>
          <w:szCs w:val="16"/>
          <w:lang w:val="en-US"/>
        </w:rPr>
        <w:t>, art 32(2).</w:t>
      </w:r>
      <w:r w:rsidRPr="00793101">
        <w:rPr>
          <w:sz w:val="16"/>
          <w:szCs w:val="16"/>
          <w:lang w:val="en-CA"/>
        </w:rPr>
        <w:t xml:space="preserve"> For the scope of Article 33 (Superior orders and prescription of law) of the Rome Statute, see the discussion of superior orders above in this subsection. </w:t>
      </w:r>
    </w:p>
  </w:footnote>
  <w:footnote w:id="338">
    <w:p w14:paraId="7D9E7B38" w14:textId="628B3EE6"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Criminal Code, supra </w:t>
      </w:r>
      <w:r w:rsidRPr="00793101">
        <w:rPr>
          <w:szCs w:val="16"/>
          <w:lang w:val="en-US"/>
        </w:rPr>
        <w:t xml:space="preserve">note </w:t>
      </w:r>
      <w:r>
        <w:fldChar w:fldCharType="begin"/>
      </w:r>
      <w:r>
        <w:instrText xml:space="preserve"> NOTEREF _Ref266965463 \h  \* MERGEFORMAT </w:instrText>
      </w:r>
      <w:r>
        <w:fldChar w:fldCharType="separate"/>
      </w:r>
      <w:r>
        <w:t>10</w:t>
      </w:r>
      <w:r>
        <w:fldChar w:fldCharType="end"/>
      </w:r>
      <w:r w:rsidRPr="00793101">
        <w:rPr>
          <w:szCs w:val="16"/>
          <w:lang w:val="en-US"/>
        </w:rPr>
        <w:t>,</w:t>
      </w:r>
      <w:r w:rsidRPr="00793101">
        <w:rPr>
          <w:i/>
          <w:szCs w:val="16"/>
          <w:lang w:val="en-US"/>
        </w:rPr>
        <w:t xml:space="preserve"> </w:t>
      </w:r>
      <w:r w:rsidRPr="00793101">
        <w:rPr>
          <w:szCs w:val="16"/>
          <w:lang w:val="en-US"/>
        </w:rPr>
        <w:t>s 16.</w:t>
      </w:r>
    </w:p>
  </w:footnote>
  <w:footnote w:id="339">
    <w:p w14:paraId="43EA1CEA"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R</w:t>
      </w:r>
      <w:r w:rsidRPr="00793101">
        <w:rPr>
          <w:color w:val="auto"/>
          <w:szCs w:val="16"/>
          <w:lang w:val="en-CA"/>
        </w:rPr>
        <w:t xml:space="preserve"> v </w:t>
      </w:r>
      <w:r w:rsidRPr="00793101">
        <w:rPr>
          <w:i/>
          <w:color w:val="auto"/>
          <w:szCs w:val="16"/>
          <w:lang w:val="en-CA"/>
        </w:rPr>
        <w:t>Swain</w:t>
      </w:r>
      <w:r w:rsidRPr="00793101">
        <w:rPr>
          <w:color w:val="auto"/>
          <w:szCs w:val="16"/>
          <w:lang w:val="en-CA"/>
        </w:rPr>
        <w:t>, [1991] 1 SCR 933 [</w:t>
      </w:r>
      <w:r w:rsidRPr="00793101">
        <w:rPr>
          <w:i/>
          <w:color w:val="auto"/>
          <w:szCs w:val="16"/>
          <w:lang w:val="en-CA"/>
        </w:rPr>
        <w:t>Swain</w:t>
      </w:r>
      <w:r w:rsidRPr="00793101">
        <w:rPr>
          <w:color w:val="auto"/>
          <w:szCs w:val="16"/>
          <w:lang w:val="en-CA"/>
        </w:rPr>
        <w:t xml:space="preserve">] at para 972. See also </w:t>
      </w:r>
      <w:r w:rsidRPr="00793101">
        <w:rPr>
          <w:i/>
          <w:color w:val="auto"/>
          <w:szCs w:val="16"/>
          <w:lang w:val="en-CA"/>
        </w:rPr>
        <w:t xml:space="preserve">R </w:t>
      </w:r>
      <w:r w:rsidRPr="00793101">
        <w:rPr>
          <w:color w:val="auto"/>
          <w:szCs w:val="16"/>
          <w:lang w:val="en-CA"/>
        </w:rPr>
        <w:t xml:space="preserve">v </w:t>
      </w:r>
      <w:proofErr w:type="spellStart"/>
      <w:r w:rsidRPr="00793101">
        <w:rPr>
          <w:i/>
          <w:color w:val="auto"/>
          <w:szCs w:val="16"/>
          <w:lang w:val="en-CA"/>
        </w:rPr>
        <w:t>Chaulk</w:t>
      </w:r>
      <w:proofErr w:type="spellEnd"/>
      <w:r w:rsidRPr="00793101">
        <w:rPr>
          <w:color w:val="auto"/>
          <w:szCs w:val="16"/>
          <w:lang w:val="en-CA"/>
        </w:rPr>
        <w:t xml:space="preserve">, [1990] 3 RCS 1303. </w:t>
      </w:r>
    </w:p>
  </w:footnote>
  <w:footnote w:id="340">
    <w:p w14:paraId="0764035F" w14:textId="742BF8A8"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Rome Statute, supra</w:t>
      </w:r>
      <w:r w:rsidRPr="00793101">
        <w:rPr>
          <w:sz w:val="16"/>
          <w:szCs w:val="16"/>
          <w:lang w:val="en-CA"/>
        </w:rPr>
        <w:t xml:space="preserve"> note </w:t>
      </w:r>
      <w:r>
        <w:fldChar w:fldCharType="begin"/>
      </w:r>
      <w:r>
        <w:instrText xml:space="preserve"> NOTEREF _Ref266968903 \h  \* MERGEFORMAT </w:instrText>
      </w:r>
      <w:r>
        <w:fldChar w:fldCharType="separate"/>
      </w:r>
      <w:r w:rsidRPr="00E045AC">
        <w:rPr>
          <w:sz w:val="16"/>
          <w:szCs w:val="16"/>
          <w:lang w:val="en-CA"/>
        </w:rPr>
        <w:t>97</w:t>
      </w:r>
      <w:r>
        <w:fldChar w:fldCharType="end"/>
      </w:r>
      <w:r w:rsidRPr="00793101">
        <w:rPr>
          <w:sz w:val="16"/>
          <w:szCs w:val="16"/>
          <w:lang w:val="en-CA"/>
        </w:rPr>
        <w:t xml:space="preserve">, art 31(1)(a) provides that: </w:t>
      </w:r>
    </w:p>
    <w:p w14:paraId="22E1F621" w14:textId="77777777" w:rsidR="00356280" w:rsidRPr="00793101" w:rsidRDefault="00356280" w:rsidP="0040644D">
      <w:pPr>
        <w:pStyle w:val="AIBodyText"/>
        <w:spacing w:after="0" w:line="240" w:lineRule="auto"/>
        <w:rPr>
          <w:sz w:val="16"/>
          <w:szCs w:val="16"/>
          <w:lang w:val="en-CA"/>
        </w:rPr>
      </w:pPr>
      <w:r w:rsidRPr="00793101">
        <w:rPr>
          <w:sz w:val="16"/>
          <w:szCs w:val="16"/>
          <w:lang w:val="en-CA"/>
        </w:rPr>
        <w:t>“[</w:t>
      </w:r>
      <w:proofErr w:type="spellStart"/>
      <w:r w:rsidRPr="00793101">
        <w:rPr>
          <w:sz w:val="16"/>
          <w:szCs w:val="16"/>
          <w:lang w:val="en-CA"/>
        </w:rPr>
        <w:t>i</w:t>
      </w:r>
      <w:proofErr w:type="spellEnd"/>
      <w:r w:rsidRPr="00793101">
        <w:rPr>
          <w:sz w:val="16"/>
          <w:szCs w:val="16"/>
          <w:lang w:val="en-CA"/>
        </w:rPr>
        <w:t>]n addition to other grounds for excluding criminal responsibility provided for in this Statute, a person shall not be criminally responsible if, at the time of that person’s conduct:</w:t>
      </w:r>
    </w:p>
    <w:p w14:paraId="51AC26AE" w14:textId="77777777" w:rsidR="00356280" w:rsidRPr="00793101" w:rsidRDefault="00356280" w:rsidP="0040644D">
      <w:pPr>
        <w:pStyle w:val="AIBodyText"/>
        <w:spacing w:after="0" w:line="240" w:lineRule="auto"/>
        <w:rPr>
          <w:sz w:val="16"/>
          <w:szCs w:val="16"/>
          <w:lang w:val="en-CA"/>
        </w:rPr>
      </w:pPr>
      <w:r w:rsidRPr="00793101">
        <w:rPr>
          <w:sz w:val="16"/>
          <w:szCs w:val="16"/>
          <w:lang w:val="en-CA"/>
        </w:rPr>
        <w:t>(a) The person suffers from a mental disease or defect that destroys that person’s capacity to appreciate the unlawfulness or nature of his or her conduct, or capacity to control his or her conduct to conform to the requirements of law[.]”</w:t>
      </w:r>
    </w:p>
  </w:footnote>
  <w:footnote w:id="341">
    <w:p w14:paraId="5454C11E" w14:textId="54A7DE58"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Swain</w:t>
      </w:r>
      <w:r w:rsidRPr="00793101">
        <w:rPr>
          <w:color w:val="auto"/>
          <w:szCs w:val="16"/>
          <w:lang w:val="en-CA"/>
        </w:rPr>
        <w:t xml:space="preserve">,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_Ref267053215 \h  \* MERGEFORMAT </w:instrText>
      </w:r>
      <w:r>
        <w:fldChar w:fldCharType="separate"/>
      </w:r>
      <w:r w:rsidRPr="00E045AC">
        <w:rPr>
          <w:color w:val="auto"/>
          <w:szCs w:val="16"/>
          <w:lang w:val="en-CA"/>
        </w:rPr>
        <w:t>339</w:t>
      </w:r>
      <w:r>
        <w:fldChar w:fldCharType="end"/>
      </w:r>
      <w:r w:rsidRPr="00793101">
        <w:rPr>
          <w:color w:val="auto"/>
          <w:szCs w:val="16"/>
          <w:lang w:val="en-CA"/>
        </w:rPr>
        <w:t xml:space="preserve"> at para 972.</w:t>
      </w:r>
    </w:p>
  </w:footnote>
  <w:footnote w:id="342">
    <w:p w14:paraId="528188EB" w14:textId="588816EF"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R</w:t>
      </w:r>
      <w:r w:rsidRPr="00793101">
        <w:rPr>
          <w:color w:val="auto"/>
          <w:szCs w:val="16"/>
          <w:lang w:val="en-CA"/>
        </w:rPr>
        <w:t xml:space="preserve"> v </w:t>
      </w:r>
      <w:proofErr w:type="spellStart"/>
      <w:r w:rsidRPr="00793101">
        <w:rPr>
          <w:i/>
          <w:color w:val="auto"/>
          <w:szCs w:val="16"/>
          <w:lang w:val="en-CA"/>
        </w:rPr>
        <w:t>Daviault</w:t>
      </w:r>
      <w:proofErr w:type="spellEnd"/>
      <w:r w:rsidRPr="00793101">
        <w:rPr>
          <w:color w:val="auto"/>
          <w:szCs w:val="16"/>
          <w:lang w:val="en-CA"/>
        </w:rPr>
        <w:t xml:space="preserve">, [1994] 3 SCR 63 at 43-44. See also Roach,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_Ref267051217 \h  \* MERGEFORMAT </w:instrText>
      </w:r>
      <w:r>
        <w:fldChar w:fldCharType="separate"/>
      </w:r>
      <w:r w:rsidRPr="00E045AC">
        <w:rPr>
          <w:color w:val="auto"/>
          <w:szCs w:val="16"/>
          <w:lang w:val="en-CA"/>
        </w:rPr>
        <w:t>329</w:t>
      </w:r>
      <w:r>
        <w:fldChar w:fldCharType="end"/>
      </w:r>
      <w:r w:rsidRPr="00793101">
        <w:rPr>
          <w:color w:val="auto"/>
          <w:szCs w:val="16"/>
          <w:lang w:val="en-CA"/>
        </w:rPr>
        <w:t xml:space="preserve"> at 238: this decision “dealt with the crime of sexual assault, which, at the time, required subjective </w:t>
      </w:r>
      <w:proofErr w:type="spellStart"/>
      <w:r w:rsidRPr="00793101">
        <w:rPr>
          <w:i/>
          <w:color w:val="auto"/>
          <w:szCs w:val="16"/>
          <w:lang w:val="en-CA"/>
        </w:rPr>
        <w:t>mens</w:t>
      </w:r>
      <w:proofErr w:type="spellEnd"/>
      <w:r w:rsidRPr="00793101">
        <w:rPr>
          <w:i/>
          <w:color w:val="auto"/>
          <w:szCs w:val="16"/>
          <w:lang w:val="en-CA"/>
        </w:rPr>
        <w:t xml:space="preserve"> rea</w:t>
      </w:r>
      <w:r w:rsidRPr="00793101">
        <w:rPr>
          <w:color w:val="auto"/>
          <w:szCs w:val="16"/>
          <w:lang w:val="en-CA"/>
        </w:rPr>
        <w:t xml:space="preserve">”. </w:t>
      </w:r>
    </w:p>
  </w:footnote>
  <w:footnote w:id="343">
    <w:p w14:paraId="4E6E8439" w14:textId="77777777" w:rsidR="00356280" w:rsidRPr="00793101" w:rsidRDefault="00356280" w:rsidP="0040644D">
      <w:pPr>
        <w:pStyle w:val="AIBodyText"/>
        <w:numPr>
          <w:ilvl w:val="0"/>
          <w:numId w:val="1"/>
        </w:numPr>
        <w:spacing w:after="0" w:line="240" w:lineRule="auto"/>
        <w:rPr>
          <w:rFonts w:eastAsia="Times-Roman" w:cs="Times-Roman"/>
          <w:bCs/>
          <w:sz w:val="16"/>
          <w:szCs w:val="16"/>
          <w:lang w:val="en-US"/>
        </w:rPr>
      </w:pPr>
      <w:r w:rsidRPr="00793101">
        <w:rPr>
          <w:rStyle w:val="FootnoteReference"/>
          <w:sz w:val="16"/>
          <w:szCs w:val="16"/>
        </w:rPr>
        <w:footnoteRef/>
      </w:r>
      <w:r w:rsidRPr="00793101">
        <w:rPr>
          <w:sz w:val="16"/>
          <w:szCs w:val="16"/>
        </w:rPr>
        <w:t xml:space="preserve"> </w:t>
      </w:r>
      <w:r w:rsidRPr="00793101">
        <w:rPr>
          <w:sz w:val="16"/>
          <w:szCs w:val="16"/>
          <w:lang w:val="en-US"/>
        </w:rPr>
        <w:t xml:space="preserve">The provision provides: </w:t>
      </w:r>
    </w:p>
    <w:p w14:paraId="00D36B48" w14:textId="77777777" w:rsidR="00356280" w:rsidRPr="00793101" w:rsidRDefault="00356280" w:rsidP="0040644D">
      <w:pPr>
        <w:pStyle w:val="AIBodyText"/>
        <w:numPr>
          <w:ilvl w:val="0"/>
          <w:numId w:val="1"/>
        </w:numPr>
        <w:spacing w:after="0" w:line="240" w:lineRule="auto"/>
        <w:rPr>
          <w:rFonts w:eastAsia="Times-Roman" w:cs="Times-Roman"/>
          <w:bCs/>
          <w:sz w:val="16"/>
          <w:szCs w:val="16"/>
          <w:lang w:val="en-US"/>
        </w:rPr>
      </w:pPr>
      <w:r w:rsidRPr="000C2340">
        <w:rPr>
          <w:rFonts w:eastAsia="Times-Roman" w:cs="Times-Roman"/>
          <w:sz w:val="16"/>
          <w:szCs w:val="16"/>
          <w:lang w:val="en-US"/>
        </w:rPr>
        <w:t>33.1</w:t>
      </w:r>
      <w:r w:rsidRPr="00793101">
        <w:rPr>
          <w:rFonts w:eastAsia="Times-Roman" w:cs="Times-Roman"/>
          <w:bCs/>
          <w:sz w:val="16"/>
          <w:szCs w:val="16"/>
          <w:lang w:val="en-US"/>
        </w:rPr>
        <w:t xml:space="preserve"> (1) It is not a </w:t>
      </w:r>
      <w:proofErr w:type="spellStart"/>
      <w:r w:rsidRPr="00793101">
        <w:rPr>
          <w:rFonts w:eastAsia="Times-Roman" w:cs="Times-Roman"/>
          <w:bCs/>
          <w:sz w:val="16"/>
          <w:szCs w:val="16"/>
          <w:lang w:val="en-US"/>
        </w:rPr>
        <w:t>defence</w:t>
      </w:r>
      <w:proofErr w:type="spellEnd"/>
      <w:r w:rsidRPr="00793101">
        <w:rPr>
          <w:rFonts w:eastAsia="Times-Roman" w:cs="Times-Roman"/>
          <w:bCs/>
          <w:sz w:val="16"/>
          <w:szCs w:val="16"/>
          <w:lang w:val="en-US"/>
        </w:rPr>
        <w:t xml:space="preserve"> to an offence referred to in subsection (3) that the accused, by reason of self-induced intoxication, lacked the general intent or the voluntariness required to commit the offence, where the accused departed markedly from the standard of care as described in subsection (2).</w:t>
      </w:r>
    </w:p>
    <w:p w14:paraId="49C76433" w14:textId="77777777" w:rsidR="00356280" w:rsidRPr="00793101" w:rsidRDefault="00356280" w:rsidP="0040644D">
      <w:pPr>
        <w:pStyle w:val="AIBodyText"/>
        <w:numPr>
          <w:ilvl w:val="0"/>
          <w:numId w:val="1"/>
        </w:numPr>
        <w:spacing w:after="0" w:line="240" w:lineRule="auto"/>
        <w:rPr>
          <w:rFonts w:eastAsia="Times-Roman" w:cs="Times-Roman"/>
          <w:bCs/>
          <w:sz w:val="16"/>
          <w:szCs w:val="16"/>
          <w:lang w:val="en-US"/>
        </w:rPr>
      </w:pPr>
      <w:r w:rsidRPr="00793101">
        <w:rPr>
          <w:rFonts w:eastAsia="Times-Roman" w:cs="Times-Roman"/>
          <w:b/>
          <w:bCs/>
          <w:sz w:val="16"/>
          <w:szCs w:val="16"/>
          <w:lang w:val="en-US"/>
        </w:rPr>
        <w:tab/>
      </w:r>
      <w:r w:rsidRPr="00793101">
        <w:rPr>
          <w:rFonts w:eastAsia="Times-Roman" w:cs="Times-Roman"/>
          <w:b/>
          <w:bCs/>
          <w:sz w:val="16"/>
          <w:szCs w:val="16"/>
          <w:lang w:val="en-US"/>
        </w:rPr>
        <w:tab/>
      </w:r>
      <w:r w:rsidRPr="00793101">
        <w:rPr>
          <w:rFonts w:eastAsia="Times-Roman" w:cs="Times-Roman"/>
          <w:bCs/>
          <w:sz w:val="16"/>
          <w:szCs w:val="16"/>
          <w:lang w:val="en-US"/>
        </w:rPr>
        <w:t xml:space="preserve">(2) For the purposes of this section, a person departs markedly from the standard of reasonable care generally recognized in Canadian society and is thereby criminally at fault where the person, while in a state of self-induced intoxication that renders the person unaware of, or incapable of consciously controlling, their </w:t>
      </w:r>
      <w:proofErr w:type="spellStart"/>
      <w:r w:rsidRPr="00793101">
        <w:rPr>
          <w:rFonts w:eastAsia="Times-Roman" w:cs="Times-Roman"/>
          <w:bCs/>
          <w:sz w:val="16"/>
          <w:szCs w:val="16"/>
          <w:lang w:val="en-US"/>
        </w:rPr>
        <w:t>behaviour</w:t>
      </w:r>
      <w:proofErr w:type="spellEnd"/>
      <w:r w:rsidRPr="00793101">
        <w:rPr>
          <w:rFonts w:eastAsia="Times-Roman" w:cs="Times-Roman"/>
          <w:bCs/>
          <w:sz w:val="16"/>
          <w:szCs w:val="16"/>
          <w:lang w:val="en-US"/>
        </w:rPr>
        <w:t>, voluntarily or involuntarily interferes or threatens to interfere with the bodily integrity of another person.</w:t>
      </w:r>
    </w:p>
    <w:p w14:paraId="015BD778" w14:textId="77777777" w:rsidR="00356280" w:rsidRPr="00793101" w:rsidRDefault="00356280" w:rsidP="0040644D">
      <w:pPr>
        <w:pStyle w:val="AIBodyText"/>
        <w:spacing w:after="0" w:line="240" w:lineRule="auto"/>
        <w:rPr>
          <w:rFonts w:eastAsia="Times-Roman" w:cs="Times-Roman"/>
          <w:bCs/>
          <w:sz w:val="16"/>
          <w:szCs w:val="16"/>
        </w:rPr>
      </w:pPr>
      <w:r w:rsidRPr="00793101">
        <w:rPr>
          <w:rFonts w:eastAsia="Times-Roman" w:cs="Times-Roman"/>
          <w:b/>
          <w:bCs/>
          <w:sz w:val="16"/>
          <w:szCs w:val="16"/>
          <w:lang w:val="en-US"/>
        </w:rPr>
        <w:tab/>
      </w:r>
      <w:r w:rsidRPr="00793101">
        <w:rPr>
          <w:rFonts w:eastAsia="Times-Roman" w:cs="Times-Roman"/>
          <w:b/>
          <w:bCs/>
          <w:sz w:val="16"/>
          <w:szCs w:val="16"/>
          <w:lang w:val="en-US"/>
        </w:rPr>
        <w:tab/>
      </w:r>
      <w:r w:rsidRPr="00793101">
        <w:rPr>
          <w:rFonts w:eastAsia="Times-Roman" w:cs="Times-Roman"/>
          <w:bCs/>
          <w:sz w:val="16"/>
          <w:szCs w:val="16"/>
          <w:lang w:val="en-US"/>
        </w:rPr>
        <w:t>(3) This section applies in respect of an offence under this Act or any other Act of Parliament that includes as an element an assault or any other interference or threat of interference by a person with the bodily integrity of another person.</w:t>
      </w:r>
    </w:p>
  </w:footnote>
  <w:footnote w:id="344">
    <w:p w14:paraId="3B65B47E" w14:textId="1938BE2B"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Roach,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_Ref267051217 \h  \* MERGEFORMAT </w:instrText>
      </w:r>
      <w:r>
        <w:fldChar w:fldCharType="separate"/>
      </w:r>
      <w:r w:rsidRPr="00E045AC">
        <w:rPr>
          <w:color w:val="auto"/>
          <w:szCs w:val="16"/>
          <w:lang w:val="en-CA"/>
        </w:rPr>
        <w:t>329</w:t>
      </w:r>
      <w:r>
        <w:fldChar w:fldCharType="end"/>
      </w:r>
      <w:r w:rsidRPr="00793101">
        <w:rPr>
          <w:color w:val="auto"/>
          <w:szCs w:val="16"/>
          <w:lang w:val="en-CA"/>
        </w:rPr>
        <w:t xml:space="preserve"> at</w:t>
      </w:r>
      <w:r w:rsidRPr="00793101" w:rsidDel="00043B12">
        <w:rPr>
          <w:color w:val="auto"/>
          <w:szCs w:val="16"/>
          <w:lang w:val="en-CA"/>
        </w:rPr>
        <w:t xml:space="preserve"> </w:t>
      </w:r>
      <w:r w:rsidRPr="00793101">
        <w:rPr>
          <w:color w:val="auto"/>
          <w:szCs w:val="16"/>
          <w:lang w:val="en-CA"/>
        </w:rPr>
        <w:t>247.</w:t>
      </w:r>
    </w:p>
  </w:footnote>
  <w:footnote w:id="345">
    <w:p w14:paraId="2D2669F6" w14:textId="3BCC35F6"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Rome Statute, supra</w:t>
      </w:r>
      <w:r w:rsidRPr="00793101">
        <w:rPr>
          <w:szCs w:val="16"/>
          <w:lang w:val="en-US"/>
        </w:rPr>
        <w:t xml:space="preserve"> note </w:t>
      </w:r>
      <w:r>
        <w:fldChar w:fldCharType="begin"/>
      </w:r>
      <w:r>
        <w:instrText xml:space="preserve"> NOTEREF _Ref266968903 \h  \* MERGEFORMAT </w:instrText>
      </w:r>
      <w:r>
        <w:fldChar w:fldCharType="separate"/>
      </w:r>
      <w:r w:rsidRPr="00E045AC">
        <w:rPr>
          <w:szCs w:val="16"/>
          <w:lang w:val="en-US"/>
        </w:rPr>
        <w:t>97</w:t>
      </w:r>
      <w:r>
        <w:fldChar w:fldCharType="end"/>
      </w:r>
      <w:r w:rsidRPr="00793101">
        <w:rPr>
          <w:szCs w:val="16"/>
          <w:lang w:val="en-US"/>
        </w:rPr>
        <w:t>, art 31(1)(b).</w:t>
      </w:r>
    </w:p>
  </w:footnote>
  <w:footnote w:id="346">
    <w:p w14:paraId="35BBCFC5" w14:textId="1F99915C"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Amnesty International ‘</w:t>
      </w:r>
      <w:r w:rsidRPr="00793101">
        <w:rPr>
          <w:i/>
          <w:sz w:val="16"/>
          <w:szCs w:val="16"/>
          <w:lang w:val="en-CA"/>
        </w:rPr>
        <w:t>Making the Right Choices’</w:t>
      </w:r>
      <w:r w:rsidRPr="00793101">
        <w:rPr>
          <w:sz w:val="16"/>
          <w:szCs w:val="16"/>
          <w:lang w:val="en-CA"/>
        </w:rPr>
        <w:t xml:space="preserve">, </w:t>
      </w:r>
      <w:r w:rsidRPr="00793101">
        <w:rPr>
          <w:i/>
          <w:sz w:val="16"/>
          <w:szCs w:val="16"/>
          <w:lang w:val="en-CA"/>
        </w:rPr>
        <w:t>supra</w:t>
      </w:r>
      <w:r w:rsidRPr="00793101">
        <w:rPr>
          <w:sz w:val="16"/>
          <w:szCs w:val="16"/>
          <w:lang w:val="en-CA"/>
        </w:rPr>
        <w:t xml:space="preserve"> note </w:t>
      </w:r>
      <w:r>
        <w:fldChar w:fldCharType="begin"/>
      </w:r>
      <w:r>
        <w:instrText xml:space="preserve"> NOTEREF _Ref267051196 \h  \* MERGEFORMAT </w:instrText>
      </w:r>
      <w:r>
        <w:fldChar w:fldCharType="separate"/>
      </w:r>
      <w:r w:rsidRPr="00E045AC">
        <w:rPr>
          <w:sz w:val="16"/>
          <w:szCs w:val="16"/>
          <w:lang w:val="en-CA"/>
        </w:rPr>
        <w:t>318</w:t>
      </w:r>
      <w:r>
        <w:fldChar w:fldCharType="end"/>
      </w:r>
      <w:r w:rsidRPr="00793101">
        <w:rPr>
          <w:sz w:val="16"/>
          <w:szCs w:val="16"/>
          <w:lang w:val="en-CA"/>
        </w:rPr>
        <w:t>, s VI E 3 and 4.  The Committee against Torture has recommended that states parties “</w:t>
      </w:r>
      <w:r w:rsidRPr="00793101">
        <w:rPr>
          <w:bCs/>
          <w:i/>
          <w:sz w:val="16"/>
          <w:szCs w:val="16"/>
          <w:lang w:val="en-CA"/>
        </w:rPr>
        <w:t xml:space="preserve">completely remove </w:t>
      </w:r>
      <w:r w:rsidRPr="00793101">
        <w:rPr>
          <w:bCs/>
          <w:i/>
          <w:iCs/>
          <w:sz w:val="16"/>
          <w:szCs w:val="16"/>
          <w:lang w:val="en-CA"/>
        </w:rPr>
        <w:t xml:space="preserve">necessity </w:t>
      </w:r>
      <w:r w:rsidRPr="00793101">
        <w:rPr>
          <w:bCs/>
          <w:i/>
          <w:sz w:val="16"/>
          <w:szCs w:val="16"/>
          <w:lang w:val="en-CA"/>
        </w:rPr>
        <w:t>as a possible justification for the crime of torture.</w:t>
      </w:r>
      <w:r w:rsidRPr="00793101">
        <w:rPr>
          <w:i/>
          <w:sz w:val="16"/>
          <w:szCs w:val="16"/>
          <w:lang w:val="en-CA"/>
        </w:rPr>
        <w:t xml:space="preserve">” </w:t>
      </w:r>
      <w:r w:rsidRPr="00793101">
        <w:rPr>
          <w:sz w:val="16"/>
          <w:szCs w:val="16"/>
          <w:lang w:val="en-CA"/>
        </w:rPr>
        <w:t>Concluding observations – Israel, UN Doc CAT/C/ISR/CO/4 (23 June 2009) at para 14.</w:t>
      </w:r>
    </w:p>
  </w:footnote>
  <w:footnote w:id="347">
    <w:p w14:paraId="011E8466" w14:textId="410FABA4"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Article 31(1)(d) of the </w:t>
      </w:r>
      <w:r w:rsidRPr="00793101">
        <w:rPr>
          <w:i/>
          <w:sz w:val="16"/>
          <w:szCs w:val="16"/>
          <w:lang w:val="en-CA"/>
        </w:rPr>
        <w:t>Rome Statute, supra</w:t>
      </w:r>
      <w:r w:rsidRPr="00793101">
        <w:rPr>
          <w:sz w:val="16"/>
          <w:szCs w:val="16"/>
          <w:lang w:val="en-CA"/>
        </w:rPr>
        <w:t xml:space="preserve"> note </w:t>
      </w:r>
      <w:r>
        <w:fldChar w:fldCharType="begin"/>
      </w:r>
      <w:r>
        <w:instrText xml:space="preserve"> NOTEREF _Ref266968903 \h  \* MERGEFORMAT </w:instrText>
      </w:r>
      <w:r>
        <w:fldChar w:fldCharType="separate"/>
      </w:r>
      <w:r w:rsidRPr="00E045AC">
        <w:rPr>
          <w:sz w:val="16"/>
          <w:szCs w:val="16"/>
          <w:lang w:val="en-CA"/>
        </w:rPr>
        <w:t>97</w:t>
      </w:r>
      <w:r>
        <w:fldChar w:fldCharType="end"/>
      </w:r>
      <w:r w:rsidRPr="00793101">
        <w:rPr>
          <w:sz w:val="16"/>
          <w:szCs w:val="16"/>
          <w:lang w:val="en-CA"/>
        </w:rPr>
        <w:t>, provides that:</w:t>
      </w:r>
    </w:p>
    <w:p w14:paraId="0AC9E9A4" w14:textId="77777777" w:rsidR="00356280" w:rsidRPr="00793101" w:rsidRDefault="00356280" w:rsidP="0040644D">
      <w:pPr>
        <w:pStyle w:val="AIBodyText"/>
        <w:spacing w:after="0" w:line="240" w:lineRule="auto"/>
        <w:rPr>
          <w:sz w:val="16"/>
          <w:szCs w:val="16"/>
          <w:lang w:val="en-CA"/>
        </w:rPr>
      </w:pPr>
      <w:r w:rsidRPr="00793101">
        <w:rPr>
          <w:sz w:val="16"/>
          <w:szCs w:val="16"/>
          <w:lang w:val="en-CA"/>
        </w:rPr>
        <w:t>“[</w:t>
      </w:r>
      <w:proofErr w:type="spellStart"/>
      <w:r w:rsidRPr="00793101">
        <w:rPr>
          <w:sz w:val="16"/>
          <w:szCs w:val="16"/>
          <w:lang w:val="en-CA"/>
        </w:rPr>
        <w:t>i</w:t>
      </w:r>
      <w:proofErr w:type="spellEnd"/>
      <w:r w:rsidRPr="00793101">
        <w:rPr>
          <w:sz w:val="16"/>
          <w:szCs w:val="16"/>
          <w:lang w:val="en-CA"/>
        </w:rPr>
        <w:t xml:space="preserve">]n addition to other grounds for excluding criminal responsibility provided for in this Statute, a person shall not be criminally responsible if, at the time of that person’s conduct: </w:t>
      </w:r>
    </w:p>
    <w:p w14:paraId="6120CD37" w14:textId="58229346" w:rsidR="00356280" w:rsidRPr="00793101" w:rsidRDefault="00356280" w:rsidP="0040644D">
      <w:pPr>
        <w:pStyle w:val="AIBodyText"/>
        <w:spacing w:after="0" w:line="240" w:lineRule="auto"/>
        <w:rPr>
          <w:sz w:val="16"/>
          <w:szCs w:val="16"/>
          <w:lang w:val="en-CA"/>
        </w:rPr>
      </w:pPr>
      <w:r w:rsidRPr="00793101">
        <w:rPr>
          <w:sz w:val="16"/>
          <w:szCs w:val="16"/>
          <w:lang w:val="en-CA"/>
        </w:rPr>
        <w:t>…</w:t>
      </w:r>
      <w:r>
        <w:rPr>
          <w:sz w:val="16"/>
          <w:szCs w:val="16"/>
          <w:lang w:val="en-CA"/>
        </w:rPr>
        <w:t xml:space="preserve"> </w:t>
      </w:r>
      <w:r w:rsidRPr="00793101">
        <w:rPr>
          <w:sz w:val="16"/>
          <w:szCs w:val="16"/>
          <w:lang w:val="en-CA"/>
        </w:rPr>
        <w:t xml:space="preserve">(d) The conduct which is alleged to constitute a crime within the jurisdiction of the Court has been caused by duress resulting from a threat of imminent death or of continuing or imminent serious bodily harm against that person or another person, and the person acts necessarily and reasonably to avoid this threat, provided that the person does not intend to cause a greater harm than the one sought to be avoided. Such a threat may either be: </w:t>
      </w:r>
    </w:p>
    <w:p w14:paraId="426D97DD" w14:textId="77777777" w:rsidR="00356280" w:rsidRPr="00793101" w:rsidRDefault="00356280" w:rsidP="0040644D">
      <w:pPr>
        <w:pStyle w:val="AIBodyText"/>
        <w:spacing w:after="0" w:line="240" w:lineRule="auto"/>
        <w:rPr>
          <w:sz w:val="16"/>
          <w:szCs w:val="16"/>
          <w:lang w:val="en-CA"/>
        </w:rPr>
      </w:pPr>
      <w:r w:rsidRPr="00793101">
        <w:rPr>
          <w:sz w:val="16"/>
          <w:szCs w:val="16"/>
          <w:lang w:val="en-CA"/>
        </w:rPr>
        <w:t>(</w:t>
      </w:r>
      <w:proofErr w:type="spellStart"/>
      <w:r w:rsidRPr="00793101">
        <w:rPr>
          <w:sz w:val="16"/>
          <w:szCs w:val="16"/>
          <w:lang w:val="en-CA"/>
        </w:rPr>
        <w:t>i</w:t>
      </w:r>
      <w:proofErr w:type="spellEnd"/>
      <w:r w:rsidRPr="00793101">
        <w:rPr>
          <w:sz w:val="16"/>
          <w:szCs w:val="16"/>
          <w:lang w:val="en-CA"/>
        </w:rPr>
        <w:t xml:space="preserve">) Made by other persons; or </w:t>
      </w:r>
    </w:p>
    <w:p w14:paraId="0167CDCF" w14:textId="77777777" w:rsidR="00356280" w:rsidRPr="00793101" w:rsidRDefault="00356280" w:rsidP="0040644D">
      <w:pPr>
        <w:pStyle w:val="AIBodyText"/>
        <w:spacing w:after="0" w:line="240" w:lineRule="auto"/>
        <w:rPr>
          <w:sz w:val="16"/>
          <w:szCs w:val="16"/>
          <w:lang w:val="en-CA"/>
        </w:rPr>
      </w:pPr>
      <w:r w:rsidRPr="00793101">
        <w:rPr>
          <w:sz w:val="16"/>
          <w:szCs w:val="16"/>
          <w:lang w:val="en-CA"/>
        </w:rPr>
        <w:tab/>
      </w:r>
      <w:r w:rsidRPr="00793101">
        <w:rPr>
          <w:sz w:val="16"/>
          <w:szCs w:val="16"/>
          <w:lang w:val="en-CA"/>
        </w:rPr>
        <w:tab/>
      </w:r>
      <w:r w:rsidRPr="00793101">
        <w:rPr>
          <w:sz w:val="16"/>
          <w:szCs w:val="16"/>
          <w:lang w:val="en-CA"/>
        </w:rPr>
        <w:tab/>
        <w:t>(ii) Constituted by other circumstances beyond that person’s control.”</w:t>
      </w:r>
    </w:p>
  </w:footnote>
  <w:footnote w:id="348">
    <w:p w14:paraId="064F2D7C"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Eric </w:t>
      </w:r>
      <w:proofErr w:type="spellStart"/>
      <w:r w:rsidRPr="00793101">
        <w:rPr>
          <w:color w:val="auto"/>
          <w:szCs w:val="16"/>
          <w:lang w:val="en-CA"/>
        </w:rPr>
        <w:t>Colwin</w:t>
      </w:r>
      <w:proofErr w:type="spellEnd"/>
      <w:r w:rsidRPr="00793101">
        <w:rPr>
          <w:color w:val="auto"/>
          <w:szCs w:val="16"/>
          <w:lang w:val="en-CA"/>
        </w:rPr>
        <w:t xml:space="preserve"> &amp; Sanjeev Anand, </w:t>
      </w:r>
      <w:r w:rsidRPr="00793101">
        <w:rPr>
          <w:i/>
          <w:color w:val="auto"/>
          <w:szCs w:val="16"/>
          <w:lang w:val="en-CA"/>
        </w:rPr>
        <w:t>Principles of Criminal Law</w:t>
      </w:r>
      <w:r w:rsidRPr="00793101">
        <w:rPr>
          <w:color w:val="auto"/>
          <w:szCs w:val="16"/>
          <w:lang w:val="en-CA"/>
        </w:rPr>
        <w:t>, 3</w:t>
      </w:r>
      <w:r w:rsidRPr="00793101">
        <w:rPr>
          <w:color w:val="auto"/>
          <w:szCs w:val="16"/>
          <w:vertAlign w:val="superscript"/>
          <w:lang w:val="en-CA"/>
        </w:rPr>
        <w:t>rd</w:t>
      </w:r>
      <w:r w:rsidRPr="00793101">
        <w:rPr>
          <w:color w:val="auto"/>
          <w:szCs w:val="16"/>
          <w:lang w:val="en-CA"/>
        </w:rPr>
        <w:t xml:space="preserve"> ed (Toronto: Thomson &amp; Carswell, 2007) at 355: “The Code uses the title “compulsion by threats”. Nevertheless, it is still standard usage in Canada to call this defence “duress”. </w:t>
      </w:r>
    </w:p>
  </w:footnote>
  <w:footnote w:id="349">
    <w:p w14:paraId="269092C4" w14:textId="40840126"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 xml:space="preserve">Criminal Code, supra </w:t>
      </w:r>
      <w:r w:rsidRPr="000C692A">
        <w:rPr>
          <w:szCs w:val="16"/>
          <w:lang w:val="en-US"/>
        </w:rPr>
        <w:t xml:space="preserve">note </w:t>
      </w:r>
      <w:r>
        <w:fldChar w:fldCharType="begin"/>
      </w:r>
      <w:r>
        <w:instrText xml:space="preserve"> NOTEREF _Ref266965463 \h  \* MERGEFORMAT </w:instrText>
      </w:r>
      <w:r>
        <w:fldChar w:fldCharType="separate"/>
      </w:r>
      <w:r>
        <w:t>10</w:t>
      </w:r>
      <w:r>
        <w:fldChar w:fldCharType="end"/>
      </w:r>
      <w:r w:rsidRPr="000C692A">
        <w:rPr>
          <w:szCs w:val="16"/>
          <w:lang w:val="en-US"/>
        </w:rPr>
        <w:t>,</w:t>
      </w:r>
      <w:r w:rsidRPr="000C692A">
        <w:rPr>
          <w:i/>
          <w:szCs w:val="16"/>
          <w:lang w:val="en-US"/>
        </w:rPr>
        <w:t xml:space="preserve"> </w:t>
      </w:r>
      <w:r w:rsidRPr="000C692A">
        <w:rPr>
          <w:szCs w:val="16"/>
          <w:lang w:val="en-US"/>
        </w:rPr>
        <w:t>s 17 (emphasis added).</w:t>
      </w:r>
    </w:p>
  </w:footnote>
  <w:footnote w:id="350">
    <w:p w14:paraId="135B2854" w14:textId="77777777" w:rsidR="00356280" w:rsidRPr="00793101" w:rsidRDefault="00356280" w:rsidP="0040644D">
      <w:pPr>
        <w:pStyle w:val="FootnoteText"/>
        <w:spacing w:after="0" w:line="240" w:lineRule="auto"/>
        <w:jc w:val="both"/>
        <w:rPr>
          <w:color w:val="auto"/>
          <w:szCs w:val="16"/>
          <w:lang w:val="es-SV"/>
        </w:rPr>
      </w:pPr>
      <w:r w:rsidRPr="00793101">
        <w:rPr>
          <w:rStyle w:val="FootnoteReference"/>
          <w:color w:val="auto"/>
          <w:szCs w:val="16"/>
          <w:lang w:val="en-CA"/>
        </w:rPr>
        <w:footnoteRef/>
      </w:r>
      <w:r w:rsidRPr="00793101">
        <w:rPr>
          <w:color w:val="auto"/>
          <w:szCs w:val="16"/>
          <w:lang w:val="es-SV"/>
        </w:rPr>
        <w:t xml:space="preserve"> </w:t>
      </w:r>
      <w:r w:rsidRPr="00793101">
        <w:rPr>
          <w:i/>
          <w:color w:val="auto"/>
          <w:szCs w:val="16"/>
          <w:lang w:val="es-SV"/>
        </w:rPr>
        <w:t>R</w:t>
      </w:r>
      <w:r w:rsidRPr="00793101">
        <w:rPr>
          <w:color w:val="auto"/>
          <w:szCs w:val="16"/>
          <w:lang w:val="es-SV"/>
        </w:rPr>
        <w:t xml:space="preserve"> v </w:t>
      </w:r>
      <w:r w:rsidRPr="00793101">
        <w:rPr>
          <w:i/>
          <w:color w:val="auto"/>
          <w:szCs w:val="16"/>
          <w:lang w:val="es-SV"/>
        </w:rPr>
        <w:t>Curran</w:t>
      </w:r>
      <w:r w:rsidRPr="00793101">
        <w:rPr>
          <w:color w:val="auto"/>
          <w:szCs w:val="16"/>
          <w:lang w:val="es-SV"/>
        </w:rPr>
        <w:t xml:space="preserve"> (1977), 38 CCC (2d) 151 (Alta CA).</w:t>
      </w:r>
    </w:p>
  </w:footnote>
  <w:footnote w:id="351">
    <w:p w14:paraId="2B26DEC5"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gramStart"/>
      <w:r w:rsidRPr="00793101">
        <w:rPr>
          <w:i/>
          <w:color w:val="auto"/>
          <w:szCs w:val="16"/>
          <w:lang w:val="en-CA"/>
        </w:rPr>
        <w:t>Ibid;</w:t>
      </w:r>
      <w:proofErr w:type="gramEnd"/>
      <w:r w:rsidRPr="00793101">
        <w:rPr>
          <w:color w:val="auto"/>
          <w:szCs w:val="16"/>
          <w:lang w:val="en-CA"/>
        </w:rPr>
        <w:t xml:space="preserve"> </w:t>
      </w:r>
      <w:r w:rsidRPr="00793101">
        <w:rPr>
          <w:i/>
          <w:color w:val="auto"/>
          <w:szCs w:val="16"/>
          <w:lang w:val="en-CA"/>
        </w:rPr>
        <w:t>R</w:t>
      </w:r>
      <w:r w:rsidRPr="00793101">
        <w:rPr>
          <w:color w:val="auto"/>
          <w:szCs w:val="16"/>
          <w:lang w:val="en-CA"/>
        </w:rPr>
        <w:t xml:space="preserve"> v </w:t>
      </w:r>
      <w:r w:rsidRPr="00793101">
        <w:rPr>
          <w:i/>
          <w:color w:val="auto"/>
          <w:szCs w:val="16"/>
          <w:lang w:val="en-CA"/>
        </w:rPr>
        <w:t xml:space="preserve">Hartford and </w:t>
      </w:r>
      <w:proofErr w:type="spellStart"/>
      <w:r w:rsidRPr="00793101">
        <w:rPr>
          <w:i/>
          <w:color w:val="auto"/>
          <w:szCs w:val="16"/>
          <w:lang w:val="en-CA"/>
        </w:rPr>
        <w:t>Frigon</w:t>
      </w:r>
      <w:proofErr w:type="spellEnd"/>
      <w:r w:rsidRPr="00793101">
        <w:rPr>
          <w:color w:val="auto"/>
          <w:szCs w:val="16"/>
          <w:lang w:val="en-CA"/>
        </w:rPr>
        <w:t xml:space="preserve"> (1979) 51 CCC (2d) 462 (B-C CA).</w:t>
      </w:r>
    </w:p>
  </w:footnote>
  <w:footnote w:id="352">
    <w:p w14:paraId="0D3CE8E6" w14:textId="77777777" w:rsidR="00356280" w:rsidRPr="00793101" w:rsidRDefault="00356280" w:rsidP="0040644D">
      <w:pPr>
        <w:pStyle w:val="FootnoteText"/>
        <w:spacing w:after="0" w:line="240" w:lineRule="auto"/>
        <w:jc w:val="both"/>
        <w:rPr>
          <w:color w:val="auto"/>
          <w:szCs w:val="16"/>
          <w:lang w:val="fr-CA"/>
        </w:rPr>
      </w:pPr>
      <w:r w:rsidRPr="00793101">
        <w:rPr>
          <w:rStyle w:val="FootnoteReference"/>
          <w:color w:val="auto"/>
          <w:szCs w:val="16"/>
          <w:lang w:val="en-CA"/>
        </w:rPr>
        <w:footnoteRef/>
      </w:r>
      <w:r w:rsidRPr="00793101">
        <w:rPr>
          <w:color w:val="auto"/>
          <w:szCs w:val="16"/>
          <w:lang w:val="fr-CA"/>
        </w:rPr>
        <w:t xml:space="preserve"> </w:t>
      </w:r>
      <w:r w:rsidRPr="00793101">
        <w:rPr>
          <w:i/>
          <w:color w:val="auto"/>
          <w:szCs w:val="16"/>
          <w:lang w:val="fr-CA"/>
        </w:rPr>
        <w:t>R</w:t>
      </w:r>
      <w:r w:rsidRPr="00793101">
        <w:rPr>
          <w:color w:val="auto"/>
          <w:szCs w:val="16"/>
          <w:lang w:val="fr-CA"/>
        </w:rPr>
        <w:t xml:space="preserve"> v </w:t>
      </w:r>
      <w:r w:rsidRPr="00793101">
        <w:rPr>
          <w:i/>
          <w:color w:val="auto"/>
          <w:szCs w:val="16"/>
          <w:lang w:val="fr-CA"/>
        </w:rPr>
        <w:t>Li</w:t>
      </w:r>
      <w:r w:rsidRPr="00793101">
        <w:rPr>
          <w:color w:val="auto"/>
          <w:szCs w:val="16"/>
          <w:lang w:val="fr-CA"/>
        </w:rPr>
        <w:t xml:space="preserve"> (2002), 162 CCC (3d) 360 (Ont CA).</w:t>
      </w:r>
    </w:p>
  </w:footnote>
  <w:footnote w:id="353">
    <w:p w14:paraId="74BF79A9"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R</w:t>
      </w:r>
      <w:r w:rsidRPr="00793101">
        <w:rPr>
          <w:color w:val="auto"/>
          <w:szCs w:val="16"/>
          <w:lang w:val="en-CA"/>
        </w:rPr>
        <w:t xml:space="preserve"> v </w:t>
      </w:r>
      <w:proofErr w:type="spellStart"/>
      <w:r w:rsidRPr="00793101">
        <w:rPr>
          <w:i/>
          <w:color w:val="auto"/>
          <w:szCs w:val="16"/>
          <w:lang w:val="en-CA"/>
        </w:rPr>
        <w:t>Ruzic</w:t>
      </w:r>
      <w:proofErr w:type="spellEnd"/>
      <w:r w:rsidRPr="00793101">
        <w:rPr>
          <w:color w:val="auto"/>
          <w:szCs w:val="16"/>
          <w:lang w:val="en-CA"/>
        </w:rPr>
        <w:t xml:space="preserve"> (2001), 153 CCC (3d) 1 (SCC) at para 54.</w:t>
      </w:r>
    </w:p>
  </w:footnote>
  <w:footnote w:id="354">
    <w:p w14:paraId="568260C2" w14:textId="79A698E0" w:rsidR="00356280" w:rsidRPr="000C2340" w:rsidRDefault="00356280" w:rsidP="000C2340">
      <w:pPr>
        <w:pStyle w:val="NormalWeb"/>
        <w:spacing w:after="0"/>
        <w:rPr>
          <w:color w:val="auto"/>
          <w:szCs w:val="16"/>
          <w:highlight w:val="yellow"/>
          <w:lang w:val="en-CA" w:eastAsia="en-US"/>
        </w:rPr>
      </w:pPr>
      <w:r w:rsidRPr="000C2340">
        <w:rPr>
          <w:rStyle w:val="FootnoteReference"/>
          <w:sz w:val="16"/>
          <w:szCs w:val="16"/>
        </w:rPr>
        <w:footnoteRef/>
      </w:r>
      <w:r w:rsidRPr="000C2340">
        <w:rPr>
          <w:sz w:val="16"/>
          <w:szCs w:val="16"/>
          <w:lang w:val="en-CA"/>
        </w:rPr>
        <w:t xml:space="preserve"> </w:t>
      </w:r>
      <w:r w:rsidRPr="000C2340">
        <w:rPr>
          <w:rFonts w:ascii="Amnesty Trade Gothic" w:hAnsi="Amnesty Trade Gothic"/>
          <w:bCs/>
          <w:i/>
          <w:iCs/>
          <w:sz w:val="16"/>
          <w:szCs w:val="16"/>
          <w:lang w:val="en-US"/>
        </w:rPr>
        <w:t xml:space="preserve">Prosecutor v. Dominic </w:t>
      </w:r>
      <w:proofErr w:type="spellStart"/>
      <w:r w:rsidRPr="000C2340">
        <w:rPr>
          <w:rFonts w:ascii="Amnesty Trade Gothic" w:hAnsi="Amnesty Trade Gothic"/>
          <w:bCs/>
          <w:i/>
          <w:iCs/>
          <w:sz w:val="16"/>
          <w:szCs w:val="16"/>
          <w:lang w:val="en-US"/>
        </w:rPr>
        <w:t>Ongwen</w:t>
      </w:r>
      <w:proofErr w:type="spellEnd"/>
      <w:r w:rsidRPr="000C2340">
        <w:rPr>
          <w:rFonts w:ascii="Amnesty Trade Gothic" w:hAnsi="Amnesty Trade Gothic"/>
          <w:bCs/>
          <w:sz w:val="16"/>
          <w:szCs w:val="16"/>
          <w:lang w:val="en-US"/>
        </w:rPr>
        <w:t xml:space="preserve">, Case No ICC-02/04-01/15-422-Red, </w:t>
      </w:r>
      <w:proofErr w:type="gramStart"/>
      <w:r w:rsidRPr="000C2340">
        <w:rPr>
          <w:rFonts w:ascii="Amnesty Trade Gothic" w:hAnsi="Amnesty Trade Gothic"/>
          <w:bCs/>
          <w:sz w:val="16"/>
          <w:szCs w:val="16"/>
          <w:lang w:val="en-US"/>
        </w:rPr>
        <w:t>Pre Trial</w:t>
      </w:r>
      <w:proofErr w:type="gramEnd"/>
      <w:r w:rsidRPr="000C2340">
        <w:rPr>
          <w:rFonts w:ascii="Amnesty Trade Gothic" w:hAnsi="Amnesty Trade Gothic"/>
          <w:bCs/>
          <w:sz w:val="16"/>
          <w:szCs w:val="16"/>
          <w:lang w:val="en-US"/>
        </w:rPr>
        <w:t xml:space="preserve"> Chamber II, Decision on the confirmation of charges against Dominic </w:t>
      </w:r>
      <w:proofErr w:type="spellStart"/>
      <w:r w:rsidRPr="000C2340">
        <w:rPr>
          <w:rFonts w:ascii="Amnesty Trade Gothic" w:hAnsi="Amnesty Trade Gothic"/>
          <w:bCs/>
          <w:sz w:val="16"/>
          <w:szCs w:val="16"/>
          <w:lang w:val="en-US"/>
        </w:rPr>
        <w:t>Ongwen</w:t>
      </w:r>
      <w:proofErr w:type="spellEnd"/>
      <w:r w:rsidRPr="000C2340">
        <w:rPr>
          <w:rFonts w:ascii="Amnesty Trade Gothic" w:hAnsi="Amnesty Trade Gothic"/>
          <w:bCs/>
          <w:sz w:val="16"/>
          <w:szCs w:val="16"/>
          <w:lang w:val="en-US"/>
        </w:rPr>
        <w:t>, 26 March 2016, [</w:t>
      </w:r>
      <w:proofErr w:type="spellStart"/>
      <w:r w:rsidRPr="000C2340">
        <w:rPr>
          <w:rFonts w:ascii="Amnesty Trade Gothic" w:hAnsi="Amnesty Trade Gothic"/>
          <w:bCs/>
          <w:i/>
          <w:iCs/>
          <w:sz w:val="16"/>
          <w:szCs w:val="16"/>
          <w:lang w:val="en-US"/>
        </w:rPr>
        <w:t>Ongwen</w:t>
      </w:r>
      <w:proofErr w:type="spellEnd"/>
      <w:r w:rsidRPr="000C2340">
        <w:rPr>
          <w:rFonts w:ascii="Amnesty Trade Gothic" w:hAnsi="Amnesty Trade Gothic"/>
          <w:bCs/>
          <w:sz w:val="16"/>
          <w:szCs w:val="16"/>
          <w:lang w:val="en-US"/>
        </w:rPr>
        <w:t>] at paras 150-154.</w:t>
      </w:r>
      <w:r w:rsidRPr="000C2340">
        <w:rPr>
          <w:sz w:val="16"/>
          <w:szCs w:val="16"/>
          <w:lang w:val="en-CA"/>
        </w:rPr>
        <w:t xml:space="preserve"> </w:t>
      </w:r>
    </w:p>
  </w:footnote>
  <w:footnote w:id="355">
    <w:p w14:paraId="72626197" w14:textId="3F33E766" w:rsidR="00356280" w:rsidRPr="000C692A" w:rsidRDefault="00356280" w:rsidP="0040644D">
      <w:pPr>
        <w:pStyle w:val="FootnoteText"/>
        <w:spacing w:after="0" w:line="240" w:lineRule="auto"/>
        <w:rPr>
          <w:szCs w:val="16"/>
          <w:lang w:val="en-US"/>
        </w:rPr>
      </w:pPr>
      <w:r w:rsidRPr="000C2340">
        <w:rPr>
          <w:rStyle w:val="FootnoteReference"/>
          <w:szCs w:val="16"/>
        </w:rPr>
        <w:footnoteRef/>
      </w:r>
      <w:r w:rsidRPr="000C2340">
        <w:rPr>
          <w:szCs w:val="16"/>
        </w:rPr>
        <w:t xml:space="preserve">  For a good overview, however, see </w:t>
      </w:r>
      <w:r w:rsidRPr="000C2340">
        <w:rPr>
          <w:iCs/>
          <w:szCs w:val="16"/>
          <w:lang w:val="en-US"/>
        </w:rPr>
        <w:t>Beatrice Krebs</w:t>
      </w:r>
      <w:r w:rsidRPr="000C2340">
        <w:rPr>
          <w:szCs w:val="16"/>
          <w:lang w:val="en-US"/>
        </w:rPr>
        <w:t>, “</w:t>
      </w:r>
      <w:r w:rsidRPr="000C2340">
        <w:rPr>
          <w:bCs/>
          <w:szCs w:val="16"/>
          <w:lang w:val="en-US"/>
        </w:rPr>
        <w:t>Justification and Excuse in Article 31(1) of the Rome Statute</w:t>
      </w:r>
      <w:r w:rsidRPr="000C2340">
        <w:rPr>
          <w:szCs w:val="16"/>
          <w:lang w:val="en-US"/>
        </w:rPr>
        <w:t>” (2013) 2:3 Cambridge Journal of International and Comparative Law 382.</w:t>
      </w:r>
    </w:p>
  </w:footnote>
  <w:footnote w:id="356">
    <w:p w14:paraId="52576B81" w14:textId="68B90822" w:rsidR="00356280" w:rsidRPr="00AA6144" w:rsidRDefault="00356280" w:rsidP="00AA6144">
      <w:pPr>
        <w:pStyle w:val="FootnoteText"/>
        <w:spacing w:after="0"/>
        <w:rPr>
          <w:szCs w:val="16"/>
          <w:lang w:val="en-CA"/>
        </w:rPr>
      </w:pPr>
      <w:r w:rsidRPr="009E0D44">
        <w:rPr>
          <w:rStyle w:val="FootnoteReference"/>
          <w:szCs w:val="16"/>
        </w:rPr>
        <w:footnoteRef/>
      </w:r>
      <w:r w:rsidRPr="009E0D44">
        <w:rPr>
          <w:szCs w:val="16"/>
        </w:rPr>
        <w:t xml:space="preserve"> </w:t>
      </w:r>
      <w:r w:rsidRPr="00AA6144">
        <w:rPr>
          <w:i/>
          <w:szCs w:val="16"/>
          <w:lang w:val="en-CA"/>
        </w:rPr>
        <w:t>Ibid</w:t>
      </w:r>
      <w:r w:rsidRPr="009E0D44">
        <w:rPr>
          <w:szCs w:val="16"/>
          <w:lang w:val="en-CA"/>
        </w:rPr>
        <w:t xml:space="preserve">, at para </w:t>
      </w:r>
      <w:r w:rsidRPr="00AA6144">
        <w:rPr>
          <w:szCs w:val="16"/>
          <w:lang w:val="en-CA"/>
        </w:rPr>
        <w:t>152</w:t>
      </w:r>
      <w:r w:rsidRPr="009E0D44">
        <w:rPr>
          <w:szCs w:val="16"/>
          <w:lang w:val="en-CA"/>
        </w:rPr>
        <w:t>.</w:t>
      </w:r>
    </w:p>
  </w:footnote>
  <w:footnote w:id="357">
    <w:p w14:paraId="7DEF82C7" w14:textId="2DA34EF5" w:rsidR="00356280" w:rsidRPr="009E0D44" w:rsidRDefault="00356280" w:rsidP="00AA6144">
      <w:pPr>
        <w:pStyle w:val="FootnoteText"/>
        <w:spacing w:after="0"/>
        <w:rPr>
          <w:szCs w:val="16"/>
        </w:rPr>
      </w:pPr>
      <w:r w:rsidRPr="009E0D44">
        <w:rPr>
          <w:rStyle w:val="FootnoteReference"/>
          <w:szCs w:val="16"/>
        </w:rPr>
        <w:footnoteRef/>
      </w:r>
      <w:r w:rsidRPr="009E0D44">
        <w:rPr>
          <w:szCs w:val="16"/>
        </w:rPr>
        <w:t xml:space="preserve"> </w:t>
      </w:r>
      <w:r w:rsidRPr="00AA6144">
        <w:rPr>
          <w:i/>
          <w:szCs w:val="16"/>
        </w:rPr>
        <w:t>Ibid</w:t>
      </w:r>
      <w:r w:rsidRPr="009E0D44">
        <w:rPr>
          <w:szCs w:val="16"/>
        </w:rPr>
        <w:t>, at para 153</w:t>
      </w:r>
      <w:r>
        <w:rPr>
          <w:szCs w:val="16"/>
        </w:rPr>
        <w:t>.</w:t>
      </w:r>
    </w:p>
  </w:footnote>
  <w:footnote w:id="358">
    <w:p w14:paraId="1E8C98E4" w14:textId="6003BCA8" w:rsidR="00356280" w:rsidRPr="00AA6144" w:rsidRDefault="00356280" w:rsidP="00AA6144">
      <w:pPr>
        <w:pStyle w:val="FootnoteText"/>
        <w:spacing w:after="0"/>
        <w:rPr>
          <w:lang w:val="en-CA"/>
        </w:rPr>
      </w:pPr>
      <w:r w:rsidRPr="009E0D44">
        <w:rPr>
          <w:rStyle w:val="FootnoteReference"/>
          <w:szCs w:val="16"/>
        </w:rPr>
        <w:footnoteRef/>
      </w:r>
      <w:r w:rsidRPr="009E0D44">
        <w:rPr>
          <w:szCs w:val="16"/>
        </w:rPr>
        <w:t xml:space="preserve"> </w:t>
      </w:r>
      <w:r w:rsidRPr="00AA6144">
        <w:rPr>
          <w:i/>
          <w:szCs w:val="16"/>
          <w:lang w:val="en-CA"/>
        </w:rPr>
        <w:t>Ibid</w:t>
      </w:r>
      <w:r w:rsidRPr="009E0D44">
        <w:rPr>
          <w:szCs w:val="16"/>
          <w:lang w:val="en-CA"/>
        </w:rPr>
        <w:t>,</w:t>
      </w:r>
      <w:r w:rsidRPr="00AA6144">
        <w:rPr>
          <w:szCs w:val="16"/>
          <w:lang w:val="en-CA"/>
        </w:rPr>
        <w:t xml:space="preserve"> at </w:t>
      </w:r>
      <w:r>
        <w:rPr>
          <w:szCs w:val="16"/>
          <w:lang w:val="en-CA"/>
        </w:rPr>
        <w:t xml:space="preserve">para </w:t>
      </w:r>
      <w:r w:rsidRPr="00AA6144">
        <w:rPr>
          <w:szCs w:val="16"/>
          <w:lang w:val="en-CA"/>
        </w:rPr>
        <w:t>154</w:t>
      </w:r>
      <w:r>
        <w:rPr>
          <w:szCs w:val="16"/>
          <w:lang w:val="en-CA"/>
        </w:rPr>
        <w:t>.</w:t>
      </w:r>
    </w:p>
  </w:footnote>
  <w:footnote w:id="359">
    <w:p w14:paraId="4346C495" w14:textId="0BBAE111"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spellStart"/>
      <w:r w:rsidRPr="00793101">
        <w:rPr>
          <w:color w:val="auto"/>
          <w:szCs w:val="16"/>
          <w:lang w:val="en-CA"/>
        </w:rPr>
        <w:t>Colwin</w:t>
      </w:r>
      <w:proofErr w:type="spellEnd"/>
      <w:r w:rsidRPr="00793101">
        <w:rPr>
          <w:color w:val="auto"/>
          <w:szCs w:val="16"/>
          <w:lang w:val="en-CA"/>
        </w:rPr>
        <w:t xml:space="preserve"> &amp; Anand,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_Ref267054109 \h  \* MERGEFORMAT </w:instrText>
      </w:r>
      <w:r>
        <w:fldChar w:fldCharType="separate"/>
      </w:r>
      <w:r w:rsidRPr="00E045AC">
        <w:rPr>
          <w:color w:val="auto"/>
          <w:szCs w:val="16"/>
          <w:lang w:val="en-CA"/>
        </w:rPr>
        <w:t>348</w:t>
      </w:r>
      <w:r>
        <w:fldChar w:fldCharType="end"/>
      </w:r>
      <w:r w:rsidRPr="00793101">
        <w:rPr>
          <w:color w:val="auto"/>
          <w:szCs w:val="16"/>
          <w:lang w:val="en-CA"/>
        </w:rPr>
        <w:t xml:space="preserve"> at 352: 8(3) provides that (3) Every rule and principle of the common law that renders any circumstance a justification or excuse for an act or a defence to a charge continues in force and applies in respect of proceedings for an offence under this Act or any other Act of Parliament except in so far as they are altered by or are inconsistent with this Act or any other Act of Parliament.</w:t>
      </w:r>
    </w:p>
  </w:footnote>
  <w:footnote w:id="360">
    <w:p w14:paraId="0CF0632C"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spellStart"/>
      <w:r w:rsidRPr="00793101">
        <w:rPr>
          <w:i/>
          <w:color w:val="auto"/>
          <w:szCs w:val="16"/>
          <w:lang w:val="en-CA"/>
        </w:rPr>
        <w:t>Perka</w:t>
      </w:r>
      <w:proofErr w:type="spellEnd"/>
      <w:r w:rsidRPr="00793101">
        <w:rPr>
          <w:i/>
          <w:color w:val="auto"/>
          <w:szCs w:val="16"/>
          <w:lang w:val="en-CA"/>
        </w:rPr>
        <w:t xml:space="preserve"> v R,</w:t>
      </w:r>
      <w:r w:rsidRPr="00793101">
        <w:rPr>
          <w:color w:val="auto"/>
          <w:szCs w:val="16"/>
          <w:lang w:val="en-CA"/>
        </w:rPr>
        <w:t xml:space="preserve"> [1984] 2 SCR 232, 42 CR (3d) 113 (SCC) [</w:t>
      </w:r>
      <w:proofErr w:type="spellStart"/>
      <w:r w:rsidRPr="00793101">
        <w:rPr>
          <w:i/>
          <w:color w:val="auto"/>
          <w:szCs w:val="16"/>
          <w:lang w:val="en-CA"/>
        </w:rPr>
        <w:t>Perka</w:t>
      </w:r>
      <w:proofErr w:type="spellEnd"/>
      <w:r w:rsidRPr="00793101">
        <w:rPr>
          <w:color w:val="auto"/>
          <w:szCs w:val="16"/>
          <w:lang w:val="en-CA"/>
        </w:rPr>
        <w:t>] at para 138-39.</w:t>
      </w:r>
    </w:p>
  </w:footnote>
  <w:footnote w:id="361">
    <w:p w14:paraId="7D1936B1" w14:textId="40CD19BC"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proofErr w:type="spellStart"/>
      <w:r w:rsidRPr="00793101">
        <w:rPr>
          <w:color w:val="auto"/>
          <w:szCs w:val="16"/>
          <w:lang w:val="en-CA"/>
        </w:rPr>
        <w:t>Colwin</w:t>
      </w:r>
      <w:proofErr w:type="spellEnd"/>
      <w:r w:rsidRPr="00793101">
        <w:rPr>
          <w:color w:val="auto"/>
          <w:szCs w:val="16"/>
          <w:lang w:val="en-CA"/>
        </w:rPr>
        <w:t xml:space="preserve"> &amp; Anand,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_Ref267054109 \h  \* MERGEFORMAT </w:instrText>
      </w:r>
      <w:r>
        <w:fldChar w:fldCharType="separate"/>
      </w:r>
      <w:r w:rsidRPr="00E045AC">
        <w:rPr>
          <w:color w:val="auto"/>
          <w:szCs w:val="16"/>
          <w:lang w:val="en-CA"/>
        </w:rPr>
        <w:t>348</w:t>
      </w:r>
      <w:r>
        <w:fldChar w:fldCharType="end"/>
      </w:r>
      <w:r w:rsidRPr="00793101">
        <w:rPr>
          <w:color w:val="auto"/>
          <w:szCs w:val="16"/>
          <w:lang w:val="en-CA"/>
        </w:rPr>
        <w:t xml:space="preserve"> at 352.</w:t>
      </w:r>
    </w:p>
  </w:footnote>
  <w:footnote w:id="362">
    <w:p w14:paraId="4B542ED8" w14:textId="0463537E"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rPr>
        <w:t>Perka</w:t>
      </w:r>
      <w:proofErr w:type="spellEnd"/>
      <w:r w:rsidRPr="00793101">
        <w:rPr>
          <w:szCs w:val="16"/>
        </w:rPr>
        <w:t xml:space="preserve">, supra note </w:t>
      </w:r>
      <w:r>
        <w:fldChar w:fldCharType="begin"/>
      </w:r>
      <w:r>
        <w:instrText xml:space="preserve"> NOTEREF _Ref267054130 \h  \* MERGEFORMAT </w:instrText>
      </w:r>
      <w:r>
        <w:fldChar w:fldCharType="separate"/>
      </w:r>
      <w:r w:rsidRPr="00E045AC">
        <w:rPr>
          <w:szCs w:val="16"/>
        </w:rPr>
        <w:t>360</w:t>
      </w:r>
      <w:r>
        <w:fldChar w:fldCharType="end"/>
      </w:r>
      <w:r w:rsidRPr="00793101">
        <w:rPr>
          <w:szCs w:val="16"/>
        </w:rPr>
        <w:t>.</w:t>
      </w:r>
    </w:p>
  </w:footnote>
  <w:footnote w:id="363">
    <w:p w14:paraId="7795E8C3" w14:textId="598BEDF0"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at 250-251; </w:t>
      </w:r>
      <w:proofErr w:type="spellStart"/>
      <w:r w:rsidRPr="00793101">
        <w:rPr>
          <w:color w:val="auto"/>
          <w:szCs w:val="16"/>
          <w:lang w:val="en-CA"/>
        </w:rPr>
        <w:t>Colwin</w:t>
      </w:r>
      <w:proofErr w:type="spellEnd"/>
      <w:r w:rsidRPr="00793101">
        <w:rPr>
          <w:color w:val="auto"/>
          <w:szCs w:val="16"/>
          <w:lang w:val="en-CA"/>
        </w:rPr>
        <w:t xml:space="preserve"> &amp; Anand, </w:t>
      </w:r>
      <w:r w:rsidRPr="00793101">
        <w:rPr>
          <w:i/>
          <w:color w:val="auto"/>
          <w:szCs w:val="16"/>
          <w:lang w:val="en-CA"/>
        </w:rPr>
        <w:t>supra</w:t>
      </w:r>
      <w:r w:rsidRPr="00793101">
        <w:rPr>
          <w:color w:val="auto"/>
          <w:szCs w:val="16"/>
          <w:lang w:val="en-CA"/>
        </w:rPr>
        <w:t xml:space="preserve"> note </w:t>
      </w:r>
      <w:r>
        <w:fldChar w:fldCharType="begin"/>
      </w:r>
      <w:r>
        <w:instrText xml:space="preserve"> NOTEREF _Ref267054109 \h  \* MERGEFORMAT </w:instrText>
      </w:r>
      <w:r>
        <w:fldChar w:fldCharType="separate"/>
      </w:r>
      <w:r w:rsidRPr="00E045AC">
        <w:rPr>
          <w:color w:val="auto"/>
          <w:szCs w:val="16"/>
          <w:lang w:val="en-CA"/>
        </w:rPr>
        <w:t>348</w:t>
      </w:r>
      <w:r>
        <w:fldChar w:fldCharType="end"/>
      </w:r>
      <w:r w:rsidRPr="00793101">
        <w:rPr>
          <w:color w:val="auto"/>
          <w:szCs w:val="16"/>
          <w:lang w:val="en-CA"/>
        </w:rPr>
        <w:t xml:space="preserve"> at 355.</w:t>
      </w:r>
    </w:p>
  </w:footnote>
  <w:footnote w:id="364">
    <w:p w14:paraId="4D0F67F1" w14:textId="2BB9D3CD"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 </w:t>
      </w:r>
      <w:proofErr w:type="spellStart"/>
      <w:r w:rsidRPr="00793101">
        <w:rPr>
          <w:i/>
          <w:szCs w:val="16"/>
        </w:rPr>
        <w:t>Perka</w:t>
      </w:r>
      <w:proofErr w:type="spellEnd"/>
      <w:r w:rsidRPr="00793101">
        <w:rPr>
          <w:i/>
          <w:szCs w:val="16"/>
        </w:rPr>
        <w:t xml:space="preserve">, supra </w:t>
      </w:r>
      <w:r w:rsidRPr="00793101">
        <w:rPr>
          <w:szCs w:val="16"/>
        </w:rPr>
        <w:t xml:space="preserve">note </w:t>
      </w:r>
      <w:r>
        <w:fldChar w:fldCharType="begin"/>
      </w:r>
      <w:r>
        <w:instrText xml:space="preserve"> NOTEREF _Ref267054130 \h  \* MERGEFORMAT </w:instrText>
      </w:r>
      <w:r>
        <w:fldChar w:fldCharType="separate"/>
      </w:r>
      <w:r w:rsidRPr="00E045AC">
        <w:rPr>
          <w:szCs w:val="16"/>
        </w:rPr>
        <w:t>360</w:t>
      </w:r>
      <w:r>
        <w:fldChar w:fldCharType="end"/>
      </w:r>
      <w:r w:rsidRPr="00793101">
        <w:rPr>
          <w:szCs w:val="16"/>
        </w:rPr>
        <w:t xml:space="preserve"> at 253.</w:t>
      </w:r>
    </w:p>
  </w:footnote>
  <w:footnote w:id="365">
    <w:p w14:paraId="63135FFE" w14:textId="62695933"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 xml:space="preserve">Criminal Code, supra </w:t>
      </w:r>
      <w:r w:rsidRPr="000C692A">
        <w:rPr>
          <w:szCs w:val="16"/>
          <w:lang w:val="en-US"/>
        </w:rPr>
        <w:t xml:space="preserve">note </w:t>
      </w:r>
      <w:r>
        <w:fldChar w:fldCharType="begin"/>
      </w:r>
      <w:r>
        <w:instrText xml:space="preserve"> NOTEREF _Ref266965463 \h  \* MERGEFORMAT </w:instrText>
      </w:r>
      <w:r>
        <w:fldChar w:fldCharType="separate"/>
      </w:r>
      <w:r>
        <w:t>10</w:t>
      </w:r>
      <w:r>
        <w:fldChar w:fldCharType="end"/>
      </w:r>
      <w:r w:rsidRPr="000C692A">
        <w:rPr>
          <w:szCs w:val="16"/>
          <w:lang w:val="en-US"/>
        </w:rPr>
        <w:t>, s 34(1).</w:t>
      </w:r>
    </w:p>
  </w:footnote>
  <w:footnote w:id="366">
    <w:p w14:paraId="79566C23"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Ibid</w:t>
      </w:r>
      <w:r w:rsidRPr="000C692A">
        <w:rPr>
          <w:szCs w:val="16"/>
          <w:lang w:val="en-US"/>
        </w:rPr>
        <w:t>, s 35(1).</w:t>
      </w:r>
    </w:p>
  </w:footnote>
  <w:footnote w:id="367">
    <w:p w14:paraId="037F64E4" w14:textId="7363D880"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Rome Statute, supra</w:t>
      </w:r>
      <w:r w:rsidRPr="000C692A">
        <w:rPr>
          <w:szCs w:val="16"/>
          <w:lang w:val="en-US"/>
        </w:rPr>
        <w:t xml:space="preserve"> note </w:t>
      </w:r>
      <w:r>
        <w:fldChar w:fldCharType="begin"/>
      </w:r>
      <w:r>
        <w:instrText xml:space="preserve"> NOTEREF _Ref266968903 \h  \* MERGEFORMAT </w:instrText>
      </w:r>
      <w:r>
        <w:fldChar w:fldCharType="separate"/>
      </w:r>
      <w:r w:rsidRPr="00E045AC">
        <w:rPr>
          <w:szCs w:val="16"/>
          <w:lang w:val="en-US"/>
        </w:rPr>
        <w:t>97</w:t>
      </w:r>
      <w:r>
        <w:fldChar w:fldCharType="end"/>
      </w:r>
      <w:r w:rsidRPr="000C692A">
        <w:rPr>
          <w:szCs w:val="16"/>
          <w:lang w:val="en-US"/>
        </w:rPr>
        <w:t>, art 31(1)(c).</w:t>
      </w:r>
    </w:p>
  </w:footnote>
  <w:footnote w:id="368">
    <w:p w14:paraId="494E4124" w14:textId="33D1216A"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 xml:space="preserve">Criminal Code, supra </w:t>
      </w:r>
      <w:r w:rsidRPr="000C692A">
        <w:rPr>
          <w:szCs w:val="16"/>
          <w:lang w:val="en-US"/>
        </w:rPr>
        <w:t xml:space="preserve">note </w:t>
      </w:r>
      <w:r>
        <w:fldChar w:fldCharType="begin"/>
      </w:r>
      <w:r>
        <w:instrText xml:space="preserve"> NOTEREF _Ref266965463 \h  \* MERGEFORMAT </w:instrText>
      </w:r>
      <w:r>
        <w:fldChar w:fldCharType="separate"/>
      </w:r>
      <w:r>
        <w:t>10</w:t>
      </w:r>
      <w:r>
        <w:fldChar w:fldCharType="end"/>
      </w:r>
      <w:r w:rsidRPr="000C692A">
        <w:rPr>
          <w:szCs w:val="16"/>
          <w:lang w:val="en-US"/>
        </w:rPr>
        <w:t>, s 27(1).</w:t>
      </w:r>
    </w:p>
  </w:footnote>
  <w:footnote w:id="369">
    <w:p w14:paraId="5A25D266"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AA6144">
        <w:rPr>
          <w:i/>
          <w:szCs w:val="16"/>
          <w:lang w:val="en-US"/>
        </w:rPr>
        <w:t>Ibid</w:t>
      </w:r>
      <w:r w:rsidRPr="000C692A">
        <w:rPr>
          <w:szCs w:val="16"/>
          <w:lang w:val="en-US"/>
        </w:rPr>
        <w:t>, s 27.</w:t>
      </w:r>
    </w:p>
  </w:footnote>
  <w:footnote w:id="370">
    <w:p w14:paraId="78058877" w14:textId="6C447A0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Rome Statute, supra</w:t>
      </w:r>
      <w:r w:rsidRPr="00793101">
        <w:rPr>
          <w:szCs w:val="16"/>
          <w:lang w:val="en-US"/>
        </w:rPr>
        <w:t xml:space="preserve"> note </w:t>
      </w:r>
      <w:r>
        <w:fldChar w:fldCharType="begin"/>
      </w:r>
      <w:r>
        <w:instrText xml:space="preserve"> NOTEREF _Ref266968903 \h  \* MERGEFORMAT </w:instrText>
      </w:r>
      <w:r>
        <w:fldChar w:fldCharType="separate"/>
      </w:r>
      <w:r w:rsidRPr="00E045AC">
        <w:rPr>
          <w:szCs w:val="16"/>
          <w:lang w:val="en-US"/>
        </w:rPr>
        <w:t>97</w:t>
      </w:r>
      <w:r>
        <w:fldChar w:fldCharType="end"/>
      </w:r>
      <w:r w:rsidRPr="00793101">
        <w:rPr>
          <w:szCs w:val="16"/>
          <w:lang w:val="en-US"/>
        </w:rPr>
        <w:t>, art 31(1)(c).</w:t>
      </w:r>
    </w:p>
  </w:footnote>
  <w:footnote w:id="371">
    <w:p w14:paraId="07512F46"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R v Hebert </w:t>
      </w:r>
      <w:r w:rsidRPr="00793101">
        <w:rPr>
          <w:rStyle w:val="AIBodyTextChar"/>
          <w:rFonts w:eastAsia="Times-Roman"/>
          <w:color w:val="auto"/>
          <w:sz w:val="16"/>
          <w:szCs w:val="16"/>
          <w:lang w:val="en-CA"/>
        </w:rPr>
        <w:t>(1996), 107 CCC (3d), 42 SCC, para 10.</w:t>
      </w:r>
    </w:p>
  </w:footnote>
  <w:footnote w:id="372">
    <w:p w14:paraId="508F5596" w14:textId="181E76F3" w:rsidR="00356280" w:rsidRPr="00793101" w:rsidRDefault="00356280" w:rsidP="0040644D">
      <w:pPr>
        <w:pStyle w:val="AIBodyText"/>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Amnesty International ‘</w:t>
      </w:r>
      <w:r w:rsidRPr="00793101">
        <w:rPr>
          <w:i/>
          <w:color w:val="auto"/>
          <w:sz w:val="16"/>
          <w:szCs w:val="16"/>
          <w:lang w:val="en-CA"/>
        </w:rPr>
        <w:t>Making the Right Choices’</w:t>
      </w:r>
      <w:r w:rsidRPr="00793101">
        <w:rPr>
          <w:color w:val="auto"/>
          <w:sz w:val="16"/>
          <w:szCs w:val="16"/>
          <w:lang w:val="en-CA"/>
        </w:rPr>
        <w:t xml:space="preserve">, </w:t>
      </w:r>
      <w:r w:rsidRPr="00793101">
        <w:rPr>
          <w:i/>
          <w:color w:val="auto"/>
          <w:sz w:val="16"/>
          <w:szCs w:val="16"/>
          <w:lang w:val="en-CA"/>
        </w:rPr>
        <w:t>supra</w:t>
      </w:r>
      <w:r w:rsidRPr="00793101">
        <w:rPr>
          <w:color w:val="auto"/>
          <w:sz w:val="16"/>
          <w:szCs w:val="16"/>
          <w:lang w:val="en-CA"/>
        </w:rPr>
        <w:t xml:space="preserve"> note </w:t>
      </w:r>
      <w:r>
        <w:fldChar w:fldCharType="begin"/>
      </w:r>
      <w:r>
        <w:instrText xml:space="preserve"> NOTEREF _Ref267051196 \h  \* MERGEFORMAT </w:instrText>
      </w:r>
      <w:r>
        <w:fldChar w:fldCharType="separate"/>
      </w:r>
      <w:r w:rsidRPr="00E045AC">
        <w:rPr>
          <w:color w:val="auto"/>
          <w:sz w:val="16"/>
          <w:szCs w:val="16"/>
          <w:lang w:val="en-CA"/>
        </w:rPr>
        <w:t>318</w:t>
      </w:r>
      <w:r>
        <w:fldChar w:fldCharType="end"/>
      </w:r>
      <w:r w:rsidRPr="00793101">
        <w:rPr>
          <w:color w:val="auto"/>
          <w:sz w:val="16"/>
          <w:szCs w:val="16"/>
          <w:lang w:val="en-CA"/>
        </w:rPr>
        <w:t>, s  VI E 5.</w:t>
      </w:r>
    </w:p>
  </w:footnote>
  <w:footnote w:id="373">
    <w:p w14:paraId="25D34E6F" w14:textId="40C4A557" w:rsidR="00356280" w:rsidRPr="00793101" w:rsidRDefault="00356280" w:rsidP="0040644D">
      <w:pPr>
        <w:pStyle w:val="AIBodyText"/>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w:t>
      </w:r>
      <w:r w:rsidRPr="00793101">
        <w:rPr>
          <w:i/>
          <w:color w:val="auto"/>
          <w:sz w:val="16"/>
          <w:szCs w:val="16"/>
          <w:lang w:val="en-CA"/>
        </w:rPr>
        <w:t>Rome Statute, supra</w:t>
      </w:r>
      <w:r w:rsidRPr="00793101">
        <w:rPr>
          <w:color w:val="auto"/>
          <w:sz w:val="16"/>
          <w:szCs w:val="16"/>
          <w:lang w:val="en-CA"/>
        </w:rPr>
        <w:t xml:space="preserve"> note </w:t>
      </w:r>
      <w:r>
        <w:fldChar w:fldCharType="begin"/>
      </w:r>
      <w:r>
        <w:instrText xml:space="preserve"> NOTEREF _Ref266968903 \h  \* MERGEFORMAT </w:instrText>
      </w:r>
      <w:r>
        <w:fldChar w:fldCharType="separate"/>
      </w:r>
      <w:r w:rsidRPr="00E045AC">
        <w:rPr>
          <w:color w:val="auto"/>
          <w:sz w:val="16"/>
          <w:szCs w:val="16"/>
          <w:lang w:val="en-CA"/>
        </w:rPr>
        <w:t>97</w:t>
      </w:r>
      <w:r>
        <w:fldChar w:fldCharType="end"/>
      </w:r>
      <w:r w:rsidRPr="00793101">
        <w:rPr>
          <w:color w:val="auto"/>
          <w:sz w:val="16"/>
          <w:szCs w:val="16"/>
          <w:lang w:val="en-CA"/>
        </w:rPr>
        <w:t xml:space="preserve">, art 31(1)(c) provides that: </w:t>
      </w:r>
    </w:p>
    <w:p w14:paraId="3674C43A" w14:textId="77777777" w:rsidR="00356280" w:rsidRPr="00793101" w:rsidRDefault="00356280" w:rsidP="0040644D">
      <w:pPr>
        <w:pStyle w:val="AIBodyText"/>
        <w:spacing w:after="0" w:line="240" w:lineRule="auto"/>
        <w:jc w:val="both"/>
        <w:rPr>
          <w:color w:val="auto"/>
          <w:sz w:val="16"/>
          <w:szCs w:val="16"/>
          <w:lang w:val="en-CA"/>
        </w:rPr>
      </w:pPr>
      <w:r w:rsidRPr="00793101">
        <w:rPr>
          <w:color w:val="auto"/>
          <w:sz w:val="16"/>
          <w:szCs w:val="16"/>
          <w:lang w:val="en-CA"/>
        </w:rPr>
        <w:t>“[</w:t>
      </w:r>
      <w:proofErr w:type="spellStart"/>
      <w:r w:rsidRPr="00793101">
        <w:rPr>
          <w:color w:val="auto"/>
          <w:sz w:val="16"/>
          <w:szCs w:val="16"/>
          <w:lang w:val="en-CA"/>
        </w:rPr>
        <w:t>i</w:t>
      </w:r>
      <w:proofErr w:type="spellEnd"/>
      <w:r w:rsidRPr="00793101">
        <w:rPr>
          <w:color w:val="auto"/>
          <w:sz w:val="16"/>
          <w:szCs w:val="16"/>
          <w:lang w:val="en-CA"/>
        </w:rPr>
        <w:t xml:space="preserve">]n </w:t>
      </w:r>
      <w:proofErr w:type="gramStart"/>
      <w:r w:rsidRPr="00793101">
        <w:rPr>
          <w:color w:val="auto"/>
          <w:sz w:val="16"/>
          <w:szCs w:val="16"/>
          <w:lang w:val="en-CA"/>
        </w:rPr>
        <w:t>In</w:t>
      </w:r>
      <w:proofErr w:type="gramEnd"/>
      <w:r w:rsidRPr="00793101">
        <w:rPr>
          <w:color w:val="auto"/>
          <w:sz w:val="16"/>
          <w:szCs w:val="16"/>
          <w:lang w:val="en-CA"/>
        </w:rPr>
        <w:t xml:space="preserve"> addition to other grounds for excluding criminal responsibility provided for in this Statute, a person shall not be criminally responsible if, at the time of that person’s conduct: </w:t>
      </w:r>
    </w:p>
    <w:p w14:paraId="3898BEFC" w14:textId="77777777" w:rsidR="00356280" w:rsidRPr="00793101" w:rsidRDefault="00356280" w:rsidP="0040644D">
      <w:pPr>
        <w:pStyle w:val="AIBodyText"/>
        <w:spacing w:after="0" w:line="240" w:lineRule="auto"/>
        <w:jc w:val="both"/>
        <w:rPr>
          <w:color w:val="auto"/>
          <w:sz w:val="16"/>
          <w:szCs w:val="16"/>
          <w:lang w:val="en-CA"/>
        </w:rPr>
      </w:pPr>
      <w:r w:rsidRPr="00793101">
        <w:rPr>
          <w:color w:val="auto"/>
          <w:sz w:val="16"/>
          <w:szCs w:val="16"/>
          <w:lang w:val="en-CA"/>
        </w:rPr>
        <w:t>…</w:t>
      </w:r>
    </w:p>
    <w:p w14:paraId="56E3A230" w14:textId="77777777" w:rsidR="00356280" w:rsidRPr="00793101" w:rsidRDefault="00356280" w:rsidP="0040644D">
      <w:pPr>
        <w:pStyle w:val="AIBodyText"/>
        <w:spacing w:after="0" w:line="240" w:lineRule="auto"/>
        <w:jc w:val="both"/>
        <w:rPr>
          <w:color w:val="auto"/>
          <w:sz w:val="16"/>
          <w:szCs w:val="16"/>
          <w:lang w:val="en-CA"/>
        </w:rPr>
      </w:pPr>
      <w:r w:rsidRPr="00793101">
        <w:rPr>
          <w:color w:val="auto"/>
          <w:sz w:val="16"/>
          <w:szCs w:val="16"/>
          <w:lang w:val="en-CA"/>
        </w:rPr>
        <w:t xml:space="preserve">(c) The person acts reasonably to defend himself or herself or another person or, in the case of war crimes, property which is essential for the survival of the person or another person or property which is essential for accomplishing a military mission, against an imminent and unlawful use of force in a manner proportionate to the degree of danger to the person or the other person or property protected. The fact that the person was involved in a defensive operation conducted by forces shall not in itself constitute a ground for excluding criminal responsibility under this subparagraph[.]” </w:t>
      </w:r>
    </w:p>
  </w:footnote>
  <w:footnote w:id="374">
    <w:p w14:paraId="75D1E0B4" w14:textId="77777777" w:rsidR="00356280" w:rsidRPr="00793101" w:rsidRDefault="00356280" w:rsidP="0040644D">
      <w:pPr>
        <w:pStyle w:val="AIBodyText"/>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For further information about the shared responsibility model, see Amnesty International, </w:t>
      </w:r>
      <w:r w:rsidRPr="00793101">
        <w:rPr>
          <w:i/>
          <w:color w:val="auto"/>
          <w:sz w:val="16"/>
          <w:szCs w:val="16"/>
          <w:lang w:val="en-CA"/>
        </w:rPr>
        <w:t xml:space="preserve">Improving the effectiveness of state cooperation, </w:t>
      </w:r>
      <w:r w:rsidRPr="00793101">
        <w:rPr>
          <w:color w:val="auto"/>
          <w:sz w:val="16"/>
          <w:szCs w:val="16"/>
          <w:lang w:val="en-CA"/>
        </w:rPr>
        <w:t>AI Index: 53/004/2009, (Amnesty International, 2009).</w:t>
      </w:r>
      <w:r w:rsidRPr="00793101">
        <w:rPr>
          <w:i/>
          <w:color w:val="auto"/>
          <w:sz w:val="16"/>
          <w:szCs w:val="16"/>
          <w:lang w:val="en-CA"/>
        </w:rPr>
        <w:t xml:space="preserve"> </w:t>
      </w:r>
      <w:r w:rsidRPr="00793101">
        <w:rPr>
          <w:color w:val="auto"/>
          <w:sz w:val="16"/>
          <w:szCs w:val="16"/>
          <w:lang w:val="en-CA"/>
        </w:rPr>
        <w:t>The absence of a presence requirement also means that states can accept cases transferred by an international court, such as the ICTY or ICTR, for crimes under international law more easily by completing an investigation before the transfer and issuing an arrest warrant before the transfer.</w:t>
      </w:r>
    </w:p>
  </w:footnote>
  <w:footnote w:id="375">
    <w:p w14:paraId="0FA64E5B" w14:textId="48E79C19" w:rsidR="00356280" w:rsidRPr="00793101" w:rsidRDefault="00356280" w:rsidP="0040644D">
      <w:pPr>
        <w:pStyle w:val="AIBodyText"/>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w:t>
      </w:r>
      <w:r w:rsidRPr="00793101">
        <w:rPr>
          <w:i/>
          <w:color w:val="auto"/>
          <w:sz w:val="16"/>
          <w:szCs w:val="16"/>
          <w:lang w:val="en-CA"/>
        </w:rPr>
        <w:t>First Geneva Convention, supra</w:t>
      </w:r>
      <w:r w:rsidRPr="00793101">
        <w:rPr>
          <w:color w:val="auto"/>
          <w:sz w:val="16"/>
          <w:szCs w:val="16"/>
          <w:lang w:val="en-CA"/>
        </w:rPr>
        <w:t xml:space="preserve"> note </w:t>
      </w:r>
      <w:r>
        <w:fldChar w:fldCharType="begin"/>
      </w:r>
      <w:r>
        <w:instrText xml:space="preserve"> NOTEREF _Ref266967085 \h  \* MERGEFORMAT </w:instrText>
      </w:r>
      <w:r>
        <w:fldChar w:fldCharType="separate"/>
      </w:r>
      <w:r w:rsidRPr="00E045AC">
        <w:rPr>
          <w:color w:val="auto"/>
          <w:sz w:val="16"/>
          <w:szCs w:val="16"/>
          <w:lang w:val="en-CA"/>
        </w:rPr>
        <w:t>92</w:t>
      </w:r>
      <w:r>
        <w:fldChar w:fldCharType="end"/>
      </w:r>
      <w:r w:rsidRPr="00793101">
        <w:rPr>
          <w:color w:val="auto"/>
          <w:sz w:val="16"/>
          <w:szCs w:val="16"/>
          <w:lang w:val="en-CA"/>
        </w:rPr>
        <w:t xml:space="preserve"> at art 49; </w:t>
      </w:r>
      <w:r w:rsidRPr="00793101">
        <w:rPr>
          <w:i/>
          <w:color w:val="auto"/>
          <w:sz w:val="16"/>
          <w:szCs w:val="16"/>
          <w:lang w:val="en-CA"/>
        </w:rPr>
        <w:t>Second Geneva Convention, supra</w:t>
      </w:r>
      <w:r w:rsidRPr="00793101">
        <w:rPr>
          <w:color w:val="auto"/>
          <w:sz w:val="16"/>
          <w:szCs w:val="16"/>
          <w:lang w:val="en-CA"/>
        </w:rPr>
        <w:t xml:space="preserve"> note </w:t>
      </w:r>
      <w:r>
        <w:fldChar w:fldCharType="begin"/>
      </w:r>
      <w:r>
        <w:instrText xml:space="preserve"> NOTEREF _Ref266967085 \h  \* MERGEFORMAT </w:instrText>
      </w:r>
      <w:r>
        <w:fldChar w:fldCharType="separate"/>
      </w:r>
      <w:r w:rsidRPr="00E045AC">
        <w:rPr>
          <w:color w:val="auto"/>
          <w:sz w:val="16"/>
          <w:szCs w:val="16"/>
          <w:lang w:val="en-CA"/>
        </w:rPr>
        <w:t>92</w:t>
      </w:r>
      <w:r>
        <w:fldChar w:fldCharType="end"/>
      </w:r>
      <w:r w:rsidRPr="00793101">
        <w:rPr>
          <w:color w:val="auto"/>
          <w:sz w:val="16"/>
          <w:szCs w:val="16"/>
          <w:lang w:val="en-CA"/>
        </w:rPr>
        <w:t xml:space="preserve"> at art 50; </w:t>
      </w:r>
      <w:r w:rsidRPr="00793101">
        <w:rPr>
          <w:i/>
          <w:color w:val="auto"/>
          <w:sz w:val="16"/>
          <w:szCs w:val="16"/>
          <w:lang w:val="en-CA"/>
        </w:rPr>
        <w:t>Third Geneva Convention, supra</w:t>
      </w:r>
      <w:r w:rsidRPr="00793101">
        <w:rPr>
          <w:color w:val="auto"/>
          <w:sz w:val="16"/>
          <w:szCs w:val="16"/>
          <w:lang w:val="en-CA"/>
        </w:rPr>
        <w:t xml:space="preserve"> note </w:t>
      </w:r>
      <w:r>
        <w:fldChar w:fldCharType="begin"/>
      </w:r>
      <w:r>
        <w:instrText xml:space="preserve"> NOTEREF _Ref266967085 \h  \* MERGEFORMAT </w:instrText>
      </w:r>
      <w:r>
        <w:fldChar w:fldCharType="separate"/>
      </w:r>
      <w:r w:rsidRPr="00E045AC">
        <w:rPr>
          <w:color w:val="auto"/>
          <w:sz w:val="16"/>
          <w:szCs w:val="16"/>
          <w:lang w:val="en-CA"/>
        </w:rPr>
        <w:t>92</w:t>
      </w:r>
      <w:r>
        <w:fldChar w:fldCharType="end"/>
      </w:r>
      <w:r w:rsidRPr="00793101">
        <w:rPr>
          <w:color w:val="auto"/>
          <w:sz w:val="16"/>
          <w:szCs w:val="16"/>
          <w:lang w:val="en-CA"/>
        </w:rPr>
        <w:t xml:space="preserve"> at art 129; </w:t>
      </w:r>
      <w:r w:rsidRPr="00793101">
        <w:rPr>
          <w:i/>
          <w:color w:val="auto"/>
          <w:sz w:val="16"/>
          <w:szCs w:val="16"/>
          <w:lang w:val="en-CA"/>
        </w:rPr>
        <w:t>Fourth Geneva Convention, supra</w:t>
      </w:r>
      <w:r w:rsidRPr="00793101">
        <w:rPr>
          <w:color w:val="auto"/>
          <w:sz w:val="16"/>
          <w:szCs w:val="16"/>
          <w:lang w:val="en-CA"/>
        </w:rPr>
        <w:t xml:space="preserve"> note </w:t>
      </w:r>
      <w:r>
        <w:fldChar w:fldCharType="begin"/>
      </w:r>
      <w:r>
        <w:instrText xml:space="preserve"> NOTEREF _Ref266967085 \h  \* MERGEFORMAT </w:instrText>
      </w:r>
      <w:r>
        <w:fldChar w:fldCharType="separate"/>
      </w:r>
      <w:r w:rsidRPr="00E045AC">
        <w:rPr>
          <w:color w:val="auto"/>
          <w:sz w:val="16"/>
          <w:szCs w:val="16"/>
          <w:lang w:val="en-CA"/>
        </w:rPr>
        <w:t>92</w:t>
      </w:r>
      <w:r>
        <w:fldChar w:fldCharType="end"/>
      </w:r>
      <w:r w:rsidRPr="00793101">
        <w:rPr>
          <w:color w:val="auto"/>
          <w:sz w:val="16"/>
          <w:szCs w:val="16"/>
          <w:lang w:val="en-CA"/>
        </w:rPr>
        <w:t xml:space="preserve"> at art 146.</w:t>
      </w:r>
    </w:p>
  </w:footnote>
  <w:footnote w:id="376">
    <w:p w14:paraId="7A18C15C" w14:textId="77777777" w:rsidR="00356280" w:rsidRPr="00793101" w:rsidRDefault="00356280" w:rsidP="0040644D">
      <w:pPr>
        <w:pStyle w:val="FootnoteText"/>
        <w:spacing w:after="0" w:line="240" w:lineRule="auto"/>
        <w:rPr>
          <w:szCs w:val="16"/>
          <w:highlight w:val="green"/>
          <w:lang w:val="en-US"/>
        </w:rPr>
      </w:pPr>
      <w:r w:rsidRPr="00793101">
        <w:rPr>
          <w:rStyle w:val="FootnoteReference"/>
          <w:szCs w:val="16"/>
        </w:rPr>
        <w:footnoteRef/>
      </w:r>
      <w:r w:rsidRPr="00793101">
        <w:rPr>
          <w:szCs w:val="16"/>
        </w:rPr>
        <w:t xml:space="preserve"> </w:t>
      </w:r>
      <w:r w:rsidRPr="00793101">
        <w:rPr>
          <w:i/>
          <w:szCs w:val="16"/>
          <w:lang w:val="en-US"/>
        </w:rPr>
        <w:t xml:space="preserve">Extradition Act, </w:t>
      </w:r>
      <w:r w:rsidRPr="00793101">
        <w:rPr>
          <w:szCs w:val="16"/>
          <w:lang w:val="en-US"/>
        </w:rPr>
        <w:t>SC 1999, c18 [</w:t>
      </w:r>
      <w:r w:rsidRPr="00793101">
        <w:rPr>
          <w:i/>
          <w:szCs w:val="16"/>
          <w:lang w:val="en-US"/>
        </w:rPr>
        <w:t>Extradition Act</w:t>
      </w:r>
      <w:r w:rsidRPr="00793101">
        <w:rPr>
          <w:szCs w:val="16"/>
          <w:lang w:val="en-US"/>
        </w:rPr>
        <w:t>], s 13(1)(b).</w:t>
      </w:r>
    </w:p>
  </w:footnote>
  <w:footnote w:id="377">
    <w:p w14:paraId="22BEF17E" w14:textId="062BEAA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Ibid, </w:t>
      </w:r>
      <w:r w:rsidRPr="00793101">
        <w:rPr>
          <w:color w:val="auto"/>
          <w:szCs w:val="16"/>
          <w:lang w:val="en-CA"/>
        </w:rPr>
        <w:t xml:space="preserve">s 37. See also Pierre </w:t>
      </w:r>
      <w:r w:rsidRPr="00793101">
        <w:rPr>
          <w:i/>
          <w:color w:val="auto"/>
          <w:szCs w:val="16"/>
          <w:lang w:val="en-CA"/>
        </w:rPr>
        <w:t>Béliveau</w:t>
      </w:r>
      <w:r w:rsidRPr="00793101">
        <w:rPr>
          <w:color w:val="auto"/>
          <w:szCs w:val="16"/>
          <w:lang w:val="en-CA"/>
        </w:rPr>
        <w:t xml:space="preserve"> &amp; Martin </w:t>
      </w:r>
      <w:proofErr w:type="spellStart"/>
      <w:r w:rsidRPr="00793101">
        <w:rPr>
          <w:color w:val="auto"/>
          <w:szCs w:val="16"/>
          <w:lang w:val="en-CA"/>
        </w:rPr>
        <w:t>Vauclair</w:t>
      </w:r>
      <w:proofErr w:type="spellEnd"/>
      <w:r w:rsidRPr="00793101">
        <w:rPr>
          <w:color w:val="auto"/>
          <w:szCs w:val="16"/>
          <w:lang w:val="en-CA"/>
        </w:rPr>
        <w:t xml:space="preserve">, </w:t>
      </w:r>
      <w:proofErr w:type="spellStart"/>
      <w:r w:rsidRPr="00793101">
        <w:rPr>
          <w:i/>
          <w:color w:val="auto"/>
          <w:szCs w:val="16"/>
          <w:lang w:val="en-CA"/>
        </w:rPr>
        <w:t>Traité</w:t>
      </w:r>
      <w:proofErr w:type="spellEnd"/>
      <w:r w:rsidRPr="00793101">
        <w:rPr>
          <w:i/>
          <w:color w:val="auto"/>
          <w:szCs w:val="16"/>
          <w:lang w:val="en-CA"/>
        </w:rPr>
        <w:t xml:space="preserve"> </w:t>
      </w:r>
      <w:proofErr w:type="spellStart"/>
      <w:r w:rsidRPr="00793101">
        <w:rPr>
          <w:i/>
          <w:color w:val="auto"/>
          <w:szCs w:val="16"/>
          <w:lang w:val="en-CA"/>
        </w:rPr>
        <w:t>général</w:t>
      </w:r>
      <w:proofErr w:type="spellEnd"/>
      <w:r w:rsidRPr="00793101">
        <w:rPr>
          <w:i/>
          <w:color w:val="auto"/>
          <w:szCs w:val="16"/>
          <w:lang w:val="en-CA"/>
        </w:rPr>
        <w:t xml:space="preserve"> de </w:t>
      </w:r>
      <w:proofErr w:type="spellStart"/>
      <w:r w:rsidRPr="00793101">
        <w:rPr>
          <w:i/>
          <w:color w:val="auto"/>
          <w:szCs w:val="16"/>
          <w:lang w:val="en-CA"/>
        </w:rPr>
        <w:t>preuve</w:t>
      </w:r>
      <w:proofErr w:type="spellEnd"/>
      <w:r w:rsidRPr="00793101">
        <w:rPr>
          <w:i/>
          <w:color w:val="auto"/>
          <w:szCs w:val="16"/>
          <w:lang w:val="en-CA"/>
        </w:rPr>
        <w:t xml:space="preserve"> et de </w:t>
      </w:r>
      <w:proofErr w:type="spellStart"/>
      <w:r w:rsidRPr="00793101">
        <w:rPr>
          <w:i/>
          <w:color w:val="auto"/>
          <w:szCs w:val="16"/>
          <w:lang w:val="en-CA"/>
        </w:rPr>
        <w:t>procédure</w:t>
      </w:r>
      <w:proofErr w:type="spellEnd"/>
      <w:r w:rsidRPr="00793101">
        <w:rPr>
          <w:i/>
          <w:color w:val="auto"/>
          <w:szCs w:val="16"/>
          <w:lang w:val="en-CA"/>
        </w:rPr>
        <w:t xml:space="preserve"> </w:t>
      </w:r>
      <w:proofErr w:type="spellStart"/>
      <w:r w:rsidRPr="00793101">
        <w:rPr>
          <w:i/>
          <w:color w:val="auto"/>
          <w:szCs w:val="16"/>
          <w:lang w:val="en-CA"/>
        </w:rPr>
        <w:t>pénales</w:t>
      </w:r>
      <w:proofErr w:type="spellEnd"/>
      <w:r w:rsidRPr="00793101">
        <w:rPr>
          <w:color w:val="auto"/>
          <w:szCs w:val="16"/>
          <w:lang w:val="en-CA"/>
        </w:rPr>
        <w:t>, 17</w:t>
      </w:r>
      <w:r w:rsidRPr="00793101">
        <w:rPr>
          <w:color w:val="auto"/>
          <w:szCs w:val="16"/>
          <w:vertAlign w:val="superscript"/>
          <w:lang w:val="en-CA"/>
        </w:rPr>
        <w:t>th</w:t>
      </w:r>
      <w:r w:rsidRPr="00793101">
        <w:rPr>
          <w:color w:val="auto"/>
          <w:szCs w:val="16"/>
          <w:lang w:val="en-CA"/>
        </w:rPr>
        <w:t xml:space="preserve"> ed (</w:t>
      </w:r>
      <w:proofErr w:type="spellStart"/>
      <w:r w:rsidRPr="00793101">
        <w:rPr>
          <w:color w:val="auto"/>
          <w:szCs w:val="16"/>
          <w:lang w:val="en-CA"/>
        </w:rPr>
        <w:t>Cowansville</w:t>
      </w:r>
      <w:proofErr w:type="spellEnd"/>
      <w:r w:rsidRPr="00793101">
        <w:rPr>
          <w:color w:val="auto"/>
          <w:szCs w:val="16"/>
          <w:lang w:val="en-CA"/>
        </w:rPr>
        <w:t xml:space="preserve">: Yvon </w:t>
      </w:r>
      <w:proofErr w:type="spellStart"/>
      <w:r w:rsidRPr="00793101">
        <w:rPr>
          <w:color w:val="auto"/>
          <w:szCs w:val="16"/>
          <w:lang w:val="en-CA"/>
        </w:rPr>
        <w:t>Blais</w:t>
      </w:r>
      <w:proofErr w:type="spellEnd"/>
      <w:r w:rsidRPr="00793101">
        <w:rPr>
          <w:color w:val="auto"/>
          <w:szCs w:val="16"/>
          <w:lang w:val="en-CA"/>
        </w:rPr>
        <w:t>, 2010) [B</w:t>
      </w:r>
      <w:proofErr w:type="spellStart"/>
      <w:r w:rsidRPr="000C692A">
        <w:rPr>
          <w:color w:val="auto"/>
          <w:szCs w:val="16"/>
          <w:lang w:val="en-US"/>
        </w:rPr>
        <w:t>éliveau</w:t>
      </w:r>
      <w:proofErr w:type="spellEnd"/>
      <w:r w:rsidRPr="000C692A">
        <w:rPr>
          <w:color w:val="auto"/>
          <w:szCs w:val="16"/>
          <w:lang w:val="en-US"/>
        </w:rPr>
        <w:t xml:space="preserve"> &amp; </w:t>
      </w:r>
      <w:proofErr w:type="spellStart"/>
      <w:r w:rsidRPr="000C692A">
        <w:rPr>
          <w:color w:val="auto"/>
          <w:szCs w:val="16"/>
          <w:lang w:val="en-US"/>
        </w:rPr>
        <w:t>Vauclair</w:t>
      </w:r>
      <w:proofErr w:type="spellEnd"/>
      <w:r w:rsidRPr="00793101">
        <w:rPr>
          <w:color w:val="auto"/>
          <w:szCs w:val="16"/>
          <w:lang w:val="en-CA"/>
        </w:rPr>
        <w:t xml:space="preserve">] at paras 400-401 citing </w:t>
      </w:r>
      <w:r w:rsidRPr="00793101">
        <w:rPr>
          <w:i/>
          <w:color w:val="auto"/>
          <w:szCs w:val="16"/>
          <w:lang w:val="en-CA"/>
        </w:rPr>
        <w:t>Extradition Act</w:t>
      </w:r>
      <w:r w:rsidRPr="00793101">
        <w:rPr>
          <w:color w:val="auto"/>
          <w:szCs w:val="16"/>
          <w:lang w:val="en-CA"/>
        </w:rPr>
        <w:t xml:space="preserve">, </w:t>
      </w:r>
      <w:r w:rsidRPr="00793101">
        <w:rPr>
          <w:i/>
          <w:color w:val="auto"/>
          <w:szCs w:val="16"/>
          <w:lang w:val="en-CA"/>
        </w:rPr>
        <w:t xml:space="preserve">supra </w:t>
      </w:r>
      <w:r w:rsidRPr="00793101">
        <w:rPr>
          <w:color w:val="auto"/>
          <w:szCs w:val="16"/>
          <w:lang w:val="en-CA"/>
        </w:rPr>
        <w:t xml:space="preserve">note </w:t>
      </w:r>
      <w:r>
        <w:fldChar w:fldCharType="begin"/>
      </w:r>
      <w:r>
        <w:instrText xml:space="preserve"> NOTEREF _Ref267054270 \h  \* MERGEFORMAT </w:instrText>
      </w:r>
      <w:r>
        <w:fldChar w:fldCharType="separate"/>
      </w:r>
      <w:r w:rsidRPr="00E045AC">
        <w:rPr>
          <w:color w:val="auto"/>
          <w:szCs w:val="16"/>
          <w:lang w:val="en-CA"/>
        </w:rPr>
        <w:t>376</w:t>
      </w:r>
      <w:r>
        <w:fldChar w:fldCharType="end"/>
      </w:r>
      <w:r w:rsidRPr="00793101">
        <w:rPr>
          <w:color w:val="auto"/>
          <w:szCs w:val="16"/>
          <w:lang w:val="en-CA"/>
        </w:rPr>
        <w:t xml:space="preserve">; </w:t>
      </w:r>
      <w:r w:rsidRPr="00793101">
        <w:rPr>
          <w:i/>
          <w:color w:val="auto"/>
          <w:szCs w:val="16"/>
          <w:lang w:val="en-CA"/>
        </w:rPr>
        <w:t>United States of America</w:t>
      </w:r>
      <w:r w:rsidRPr="00793101">
        <w:rPr>
          <w:color w:val="auto"/>
          <w:szCs w:val="16"/>
          <w:lang w:val="en-CA"/>
        </w:rPr>
        <w:t xml:space="preserve"> v </w:t>
      </w:r>
      <w:r w:rsidRPr="00793101">
        <w:rPr>
          <w:i/>
          <w:color w:val="auto"/>
          <w:szCs w:val="16"/>
          <w:lang w:val="en-CA"/>
        </w:rPr>
        <w:t>Kwok</w:t>
      </w:r>
      <w:r w:rsidRPr="00793101">
        <w:rPr>
          <w:color w:val="auto"/>
          <w:szCs w:val="16"/>
          <w:lang w:val="en-CA"/>
        </w:rPr>
        <w:t>, [2001] 1 RCS 532 [</w:t>
      </w:r>
      <w:r w:rsidRPr="00793101">
        <w:rPr>
          <w:i/>
          <w:color w:val="auto"/>
          <w:szCs w:val="16"/>
          <w:lang w:val="en-CA"/>
        </w:rPr>
        <w:t>Kwok</w:t>
      </w:r>
      <w:r w:rsidRPr="00793101">
        <w:rPr>
          <w:color w:val="auto"/>
          <w:szCs w:val="16"/>
          <w:lang w:val="en-CA"/>
        </w:rPr>
        <w:t xml:space="preserve">] at para 28; </w:t>
      </w:r>
      <w:r w:rsidRPr="00793101">
        <w:rPr>
          <w:i/>
          <w:color w:val="auto"/>
          <w:szCs w:val="16"/>
          <w:lang w:val="en-CA"/>
        </w:rPr>
        <w:t>Lake</w:t>
      </w:r>
      <w:r w:rsidRPr="00793101">
        <w:rPr>
          <w:color w:val="auto"/>
          <w:szCs w:val="16"/>
          <w:lang w:val="en-CA"/>
        </w:rPr>
        <w:t xml:space="preserve"> v </w:t>
      </w:r>
      <w:r w:rsidRPr="00793101">
        <w:rPr>
          <w:i/>
          <w:color w:val="auto"/>
          <w:szCs w:val="16"/>
          <w:lang w:val="en-CA"/>
        </w:rPr>
        <w:t>Canada</w:t>
      </w:r>
      <w:r w:rsidRPr="00793101">
        <w:rPr>
          <w:color w:val="auto"/>
          <w:szCs w:val="16"/>
          <w:lang w:val="en-CA"/>
        </w:rPr>
        <w:t xml:space="preserve"> </w:t>
      </w:r>
      <w:r w:rsidRPr="00793101">
        <w:rPr>
          <w:i/>
          <w:color w:val="auto"/>
          <w:szCs w:val="16"/>
          <w:lang w:val="en-CA"/>
        </w:rPr>
        <w:t>(Ministry of Justice)</w:t>
      </w:r>
      <w:r w:rsidRPr="00793101">
        <w:rPr>
          <w:color w:val="auto"/>
          <w:szCs w:val="16"/>
          <w:lang w:val="en-CA"/>
        </w:rPr>
        <w:t>, [2008] 1 RCS 761, 2008 CSC 23 [</w:t>
      </w:r>
      <w:r w:rsidRPr="00793101">
        <w:rPr>
          <w:i/>
          <w:color w:val="auto"/>
          <w:szCs w:val="16"/>
          <w:lang w:val="en-CA"/>
        </w:rPr>
        <w:t>Lake</w:t>
      </w:r>
      <w:r w:rsidRPr="00793101">
        <w:rPr>
          <w:color w:val="auto"/>
          <w:szCs w:val="16"/>
          <w:lang w:val="en-CA"/>
        </w:rPr>
        <w:t>] at para 21.</w:t>
      </w:r>
    </w:p>
  </w:footnote>
  <w:footnote w:id="378">
    <w:p w14:paraId="1243270C"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Convention on the Non-Applicability of Statutory Limitations to War Crimes and Crimes Against Humanity</w:t>
      </w:r>
      <w:r w:rsidRPr="00793101">
        <w:rPr>
          <w:color w:val="auto"/>
          <w:szCs w:val="16"/>
          <w:lang w:val="en-CA"/>
        </w:rPr>
        <w:t>, 26 November 1968, 754 UNTS 73 (entered into force 11 November 1970).</w:t>
      </w:r>
    </w:p>
  </w:footnote>
  <w:footnote w:id="379">
    <w:p w14:paraId="353DBAA5" w14:textId="6BAB2898"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Rome Statute, supra</w:t>
      </w:r>
      <w:r w:rsidRPr="00793101">
        <w:rPr>
          <w:color w:val="auto"/>
          <w:szCs w:val="16"/>
          <w:lang w:val="en-CA"/>
        </w:rPr>
        <w:t xml:space="preserve"> note </w:t>
      </w:r>
      <w:r>
        <w:fldChar w:fldCharType="begin"/>
      </w:r>
      <w:r>
        <w:instrText xml:space="preserve"> NOTEREF _Ref266968903 \h  \* MERGEFORMAT </w:instrText>
      </w:r>
      <w:r>
        <w:fldChar w:fldCharType="separate"/>
      </w:r>
      <w:r w:rsidRPr="00E045AC">
        <w:rPr>
          <w:color w:val="auto"/>
          <w:szCs w:val="16"/>
          <w:lang w:val="en-CA"/>
        </w:rPr>
        <w:t>97</w:t>
      </w:r>
      <w:r>
        <w:fldChar w:fldCharType="end"/>
      </w:r>
      <w:r w:rsidRPr="00793101">
        <w:rPr>
          <w:color w:val="auto"/>
          <w:szCs w:val="16"/>
          <w:lang w:val="en-CA"/>
        </w:rPr>
        <w:t xml:space="preserve"> at art 29 (Non-applicability of statute of limitations) (“The crimes within the jurisdiction of the Court shall not be subject to any statute of limitations.”).</w:t>
      </w:r>
    </w:p>
  </w:footnote>
  <w:footnote w:id="380">
    <w:p w14:paraId="1C2E2A21" w14:textId="4B0421C6" w:rsidR="00356280" w:rsidRPr="00793101" w:rsidRDefault="00356280" w:rsidP="0040644D">
      <w:pPr>
        <w:pStyle w:val="AIBodyText"/>
        <w:spacing w:after="0" w:line="240" w:lineRule="auto"/>
        <w:jc w:val="both"/>
        <w:rPr>
          <w:color w:val="auto"/>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See, for example, Committee against Torture, </w:t>
      </w:r>
      <w:r w:rsidRPr="00793101">
        <w:rPr>
          <w:i/>
          <w:color w:val="auto"/>
          <w:sz w:val="16"/>
          <w:szCs w:val="16"/>
          <w:lang w:val="en-CA"/>
        </w:rPr>
        <w:t>Concluding observations – Spain</w:t>
      </w:r>
      <w:r w:rsidRPr="00793101">
        <w:rPr>
          <w:color w:val="auto"/>
          <w:sz w:val="16"/>
          <w:szCs w:val="16"/>
          <w:lang w:val="en-CA"/>
        </w:rPr>
        <w:t xml:space="preserve">, UN Doc CAT/C/ESP/CO/5, 6-7. While it takes note of the State party’s comment that the Convention against Torture entered into force on 26 June 1987, whereas the Amnesty Act of 1977 refers to events that occurred before the adoption of that Act [dating to 1936], the Committee wishes to reiterate that, bearing in mind the long-established </w:t>
      </w:r>
      <w:r w:rsidRPr="00793101">
        <w:rPr>
          <w:i/>
          <w:iCs/>
          <w:color w:val="auto"/>
          <w:sz w:val="16"/>
          <w:szCs w:val="16"/>
          <w:lang w:val="en-CA"/>
        </w:rPr>
        <w:t>jus cogens</w:t>
      </w:r>
      <w:r w:rsidRPr="00793101">
        <w:rPr>
          <w:color w:val="auto"/>
          <w:sz w:val="16"/>
          <w:szCs w:val="16"/>
          <w:lang w:val="en-CA"/>
        </w:rPr>
        <w:t xml:space="preserve"> prohibition of torture, the prosecution of acts of torture should not be constrained by [...] the statute of limitation.”); </w:t>
      </w:r>
      <w:r w:rsidRPr="00793101">
        <w:rPr>
          <w:i/>
          <w:color w:val="auto"/>
          <w:sz w:val="16"/>
          <w:szCs w:val="16"/>
          <w:lang w:val="en-CA"/>
        </w:rPr>
        <w:t xml:space="preserve">Prosecutor v </w:t>
      </w:r>
      <w:proofErr w:type="spellStart"/>
      <w:r w:rsidRPr="00793101">
        <w:rPr>
          <w:i/>
          <w:color w:val="auto"/>
          <w:sz w:val="16"/>
          <w:szCs w:val="16"/>
          <w:lang w:val="en-CA"/>
        </w:rPr>
        <w:t>Furundzija</w:t>
      </w:r>
      <w:proofErr w:type="spellEnd"/>
      <w:r w:rsidRPr="00793101">
        <w:rPr>
          <w:color w:val="auto"/>
          <w:sz w:val="16"/>
          <w:szCs w:val="16"/>
          <w:lang w:val="en-CA"/>
        </w:rPr>
        <w:t xml:space="preserve">, ICTY Judgment, IT-95-17/1-T, 10 December 1998, paras 155-15; </w:t>
      </w:r>
      <w:r w:rsidRPr="00793101">
        <w:rPr>
          <w:i/>
          <w:color w:val="auto"/>
          <w:sz w:val="16"/>
          <w:szCs w:val="16"/>
          <w:lang w:val="en-CA"/>
        </w:rPr>
        <w:t>Barrios Altos v. Peru</w:t>
      </w:r>
      <w:r w:rsidRPr="00793101">
        <w:rPr>
          <w:color w:val="auto"/>
          <w:sz w:val="16"/>
          <w:szCs w:val="16"/>
          <w:lang w:val="en-CA"/>
        </w:rPr>
        <w:t>, IACHR Judgment, 14 March 2001 [</w:t>
      </w:r>
      <w:r w:rsidRPr="00793101">
        <w:rPr>
          <w:i/>
          <w:color w:val="auto"/>
          <w:sz w:val="16"/>
          <w:szCs w:val="16"/>
          <w:lang w:val="en-CA"/>
        </w:rPr>
        <w:t>Barrios Altos</w:t>
      </w:r>
      <w:r w:rsidRPr="00793101">
        <w:rPr>
          <w:color w:val="auto"/>
          <w:sz w:val="16"/>
          <w:szCs w:val="16"/>
          <w:lang w:val="en-CA"/>
        </w:rPr>
        <w:t>], para 41 (</w:t>
      </w:r>
      <w:r w:rsidRPr="00793101">
        <w:rPr>
          <w:bCs/>
          <w:color w:val="auto"/>
          <w:sz w:val="16"/>
          <w:szCs w:val="16"/>
          <w:lang w:val="en-CA"/>
        </w:rPr>
        <w:t>provisions on prescription with respect to serious human rights violations such as torture, extrajudicial, summary or arbitrary execution and forced disappearance are prohibited</w:t>
      </w:r>
      <w:r w:rsidRPr="00793101">
        <w:rPr>
          <w:color w:val="auto"/>
          <w:sz w:val="16"/>
          <w:szCs w:val="16"/>
          <w:lang w:val="en-CA"/>
        </w:rPr>
        <w:t xml:space="preserve">). See also Ruth </w:t>
      </w:r>
      <w:proofErr w:type="spellStart"/>
      <w:r w:rsidRPr="00793101">
        <w:rPr>
          <w:color w:val="auto"/>
          <w:sz w:val="16"/>
          <w:szCs w:val="16"/>
          <w:lang w:val="en-CA"/>
        </w:rPr>
        <w:t>Kok</w:t>
      </w:r>
      <w:proofErr w:type="spellEnd"/>
      <w:r w:rsidRPr="00793101">
        <w:rPr>
          <w:color w:val="auto"/>
          <w:sz w:val="16"/>
          <w:szCs w:val="16"/>
          <w:lang w:val="en-CA"/>
        </w:rPr>
        <w:t xml:space="preserve">, </w:t>
      </w:r>
      <w:r w:rsidRPr="00793101">
        <w:rPr>
          <w:i/>
          <w:color w:val="auto"/>
          <w:sz w:val="16"/>
          <w:szCs w:val="16"/>
          <w:lang w:val="en-CA"/>
        </w:rPr>
        <w:t>Statutory Limitations in International Criminal Law</w:t>
      </w:r>
      <w:r w:rsidRPr="00793101">
        <w:rPr>
          <w:color w:val="auto"/>
          <w:sz w:val="16"/>
          <w:szCs w:val="16"/>
          <w:lang w:val="en-CA"/>
        </w:rPr>
        <w:t>, (London: Blackwell, 2008)</w:t>
      </w:r>
      <w:r>
        <w:rPr>
          <w:color w:val="auto"/>
          <w:sz w:val="16"/>
          <w:szCs w:val="16"/>
          <w:lang w:val="en-CA"/>
        </w:rPr>
        <w:t>.</w:t>
      </w:r>
      <w:r w:rsidRPr="00793101">
        <w:rPr>
          <w:color w:val="auto"/>
          <w:sz w:val="16"/>
          <w:szCs w:val="16"/>
          <w:lang w:val="en-CA"/>
        </w:rPr>
        <w:t xml:space="preserve"> </w:t>
      </w:r>
      <w:r>
        <w:rPr>
          <w:color w:val="auto"/>
          <w:sz w:val="16"/>
          <w:szCs w:val="16"/>
          <w:lang w:val="en-CA"/>
        </w:rPr>
        <w:t xml:space="preserve"> </w:t>
      </w:r>
    </w:p>
  </w:footnote>
  <w:footnote w:id="381">
    <w:p w14:paraId="3212F3D4"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R</w:t>
      </w:r>
      <w:r w:rsidRPr="00793101">
        <w:rPr>
          <w:color w:val="auto"/>
          <w:szCs w:val="16"/>
          <w:lang w:val="en-CA"/>
        </w:rPr>
        <w:t xml:space="preserve"> v </w:t>
      </w:r>
      <w:r w:rsidRPr="00793101">
        <w:rPr>
          <w:i/>
          <w:color w:val="auto"/>
          <w:szCs w:val="16"/>
          <w:lang w:val="en-CA"/>
        </w:rPr>
        <w:t>L (WK),</w:t>
      </w:r>
      <w:r w:rsidRPr="00793101">
        <w:rPr>
          <w:color w:val="auto"/>
          <w:szCs w:val="16"/>
          <w:lang w:val="en-CA"/>
        </w:rPr>
        <w:t xml:space="preserve"> [1991] 1 SCR 1091 at 12.</w:t>
      </w:r>
    </w:p>
  </w:footnote>
  <w:footnote w:id="382">
    <w:p w14:paraId="1C20DC91" w14:textId="02071137" w:rsidR="00356280" w:rsidRPr="00793101" w:rsidRDefault="00356280" w:rsidP="0040644D">
      <w:pPr>
        <w:pStyle w:val="FootnoteText"/>
        <w:spacing w:after="0" w:line="240" w:lineRule="auto"/>
        <w:rPr>
          <w:i/>
          <w:szCs w:val="16"/>
          <w:lang w:val="fr-CA"/>
        </w:rPr>
      </w:pPr>
      <w:r w:rsidRPr="00793101">
        <w:rPr>
          <w:rStyle w:val="FootnoteReference"/>
          <w:szCs w:val="16"/>
        </w:rPr>
        <w:footnoteRef/>
      </w:r>
      <w:r w:rsidRPr="00793101">
        <w:rPr>
          <w:szCs w:val="16"/>
          <w:lang w:val="fr-CA"/>
        </w:rPr>
        <w:t xml:space="preserve"> </w:t>
      </w:r>
      <w:r w:rsidRPr="00793101">
        <w:rPr>
          <w:i/>
          <w:szCs w:val="16"/>
          <w:lang w:val="fr-CA"/>
        </w:rPr>
        <w:t>Criminal Code</w:t>
      </w:r>
      <w:r w:rsidRPr="00793101">
        <w:rPr>
          <w:szCs w:val="16"/>
          <w:lang w:val="fr-CA"/>
        </w:rPr>
        <w:t xml:space="preserve">, supra note </w:t>
      </w:r>
      <w:r>
        <w:fldChar w:fldCharType="begin"/>
      </w:r>
      <w:r w:rsidRPr="000C692A">
        <w:rPr>
          <w:lang w:val="fr-CA"/>
        </w:rPr>
        <w:instrText xml:space="preserve"> NOTEREF _Ref266965463 \h  \* MERGEFORMAT </w:instrText>
      </w:r>
      <w:r>
        <w:fldChar w:fldCharType="separate"/>
      </w:r>
      <w:r>
        <w:rPr>
          <w:lang w:val="fr-CA"/>
        </w:rPr>
        <w:t>10</w:t>
      </w:r>
      <w:r>
        <w:fldChar w:fldCharType="end"/>
      </w:r>
      <w:r w:rsidRPr="00793101">
        <w:rPr>
          <w:szCs w:val="16"/>
          <w:lang w:val="fr-CA"/>
        </w:rPr>
        <w:t>.</w:t>
      </w:r>
    </w:p>
  </w:footnote>
  <w:footnote w:id="383">
    <w:p w14:paraId="33BA6445" w14:textId="77777777" w:rsidR="00356280" w:rsidRPr="00793101" w:rsidRDefault="00356280" w:rsidP="0040644D">
      <w:pPr>
        <w:pStyle w:val="FootnoteText"/>
        <w:spacing w:after="0" w:line="240" w:lineRule="auto"/>
        <w:rPr>
          <w:szCs w:val="16"/>
          <w:lang w:val="fr-CA"/>
        </w:rPr>
      </w:pPr>
      <w:r w:rsidRPr="00793101">
        <w:rPr>
          <w:rStyle w:val="FootnoteReference"/>
          <w:szCs w:val="16"/>
        </w:rPr>
        <w:footnoteRef/>
      </w:r>
      <w:r w:rsidRPr="00793101">
        <w:rPr>
          <w:szCs w:val="16"/>
          <w:lang w:val="fr-CA"/>
        </w:rPr>
        <w:t xml:space="preserve"> </w:t>
      </w:r>
      <w:r w:rsidRPr="00793101">
        <w:rPr>
          <w:i/>
          <w:szCs w:val="16"/>
          <w:lang w:val="fr-CA"/>
        </w:rPr>
        <w:t xml:space="preserve">Limitations </w:t>
      </w:r>
      <w:proofErr w:type="spellStart"/>
      <w:r w:rsidRPr="00793101">
        <w:rPr>
          <w:i/>
          <w:szCs w:val="16"/>
          <w:lang w:val="fr-CA"/>
        </w:rPr>
        <w:t>Act</w:t>
      </w:r>
      <w:proofErr w:type="spellEnd"/>
      <w:r w:rsidRPr="00793101">
        <w:rPr>
          <w:i/>
          <w:szCs w:val="16"/>
          <w:lang w:val="fr-CA"/>
        </w:rPr>
        <w:t xml:space="preserve">, </w:t>
      </w:r>
      <w:r w:rsidRPr="00793101">
        <w:rPr>
          <w:szCs w:val="16"/>
          <w:lang w:val="fr-CA"/>
        </w:rPr>
        <w:t>RSA 2000, c L-12.</w:t>
      </w:r>
    </w:p>
  </w:footnote>
  <w:footnote w:id="384">
    <w:p w14:paraId="10A56A62"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Ibid.</w:t>
      </w:r>
    </w:p>
  </w:footnote>
  <w:footnote w:id="385">
    <w:p w14:paraId="34EEF7BC"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i/>
          <w:szCs w:val="16"/>
          <w:lang w:val="en-US"/>
        </w:rPr>
        <w:t xml:space="preserve"> Ibid</w:t>
      </w:r>
      <w:r w:rsidRPr="000C692A">
        <w:rPr>
          <w:szCs w:val="16"/>
          <w:lang w:val="en-US"/>
        </w:rPr>
        <w:t xml:space="preserve"> at s 6(1).</w:t>
      </w:r>
    </w:p>
  </w:footnote>
  <w:footnote w:id="386">
    <w:p w14:paraId="4EA2C1BC"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proofErr w:type="spellStart"/>
      <w:r w:rsidRPr="000C692A">
        <w:rPr>
          <w:i/>
          <w:szCs w:val="16"/>
          <w:lang w:val="en-US"/>
        </w:rPr>
        <w:t>Tolofson</w:t>
      </w:r>
      <w:proofErr w:type="spellEnd"/>
      <w:r w:rsidRPr="000C692A">
        <w:rPr>
          <w:i/>
          <w:szCs w:val="16"/>
          <w:lang w:val="en-US"/>
        </w:rPr>
        <w:t xml:space="preserve"> v Jensen, </w:t>
      </w:r>
      <w:r w:rsidRPr="000C692A">
        <w:rPr>
          <w:szCs w:val="16"/>
          <w:lang w:val="en-US"/>
        </w:rPr>
        <w:t xml:space="preserve">[1994] 3 SCR 1022. </w:t>
      </w:r>
    </w:p>
  </w:footnote>
  <w:footnote w:id="387">
    <w:p w14:paraId="54EF2C5A"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Ibid</w:t>
      </w:r>
      <w:r w:rsidRPr="000C692A">
        <w:rPr>
          <w:szCs w:val="16"/>
          <w:lang w:val="en-US"/>
        </w:rPr>
        <w:t xml:space="preserve"> at para 42.</w:t>
      </w:r>
    </w:p>
  </w:footnote>
  <w:footnote w:id="388">
    <w:p w14:paraId="7685577A"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lang w:val="en-US"/>
        </w:rPr>
        <w:t>Girshberger</w:t>
      </w:r>
      <w:proofErr w:type="spellEnd"/>
      <w:r w:rsidRPr="00793101">
        <w:rPr>
          <w:i/>
          <w:szCs w:val="16"/>
          <w:lang w:val="en-US"/>
        </w:rPr>
        <w:t xml:space="preserve"> v </w:t>
      </w:r>
      <w:proofErr w:type="spellStart"/>
      <w:r w:rsidRPr="00793101">
        <w:rPr>
          <w:i/>
          <w:szCs w:val="16"/>
          <w:lang w:val="en-US"/>
        </w:rPr>
        <w:t>Kresz</w:t>
      </w:r>
      <w:proofErr w:type="spellEnd"/>
      <w:r w:rsidRPr="00793101">
        <w:rPr>
          <w:i/>
          <w:szCs w:val="16"/>
          <w:lang w:val="en-US"/>
        </w:rPr>
        <w:t xml:space="preserve"> </w:t>
      </w:r>
      <w:r w:rsidRPr="00793101">
        <w:rPr>
          <w:szCs w:val="16"/>
          <w:lang w:val="en-US"/>
        </w:rPr>
        <w:t>(2000), 47 OR (3d) 145.</w:t>
      </w:r>
    </w:p>
  </w:footnote>
  <w:footnote w:id="389">
    <w:p w14:paraId="7479DAE7" w14:textId="77777777"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r w:rsidRPr="00FD1463">
        <w:rPr>
          <w:i/>
          <w:szCs w:val="16"/>
          <w:lang w:val="es-AR"/>
        </w:rPr>
        <w:t xml:space="preserve">Castillo v Castillo, </w:t>
      </w:r>
      <w:r w:rsidRPr="00FD1463">
        <w:rPr>
          <w:szCs w:val="16"/>
          <w:lang w:val="es-AR"/>
        </w:rPr>
        <w:t>[2005] 3 SCR 870, para 11.</w:t>
      </w:r>
    </w:p>
  </w:footnote>
  <w:footnote w:id="390">
    <w:p w14:paraId="01CFCC3A" w14:textId="086BC4C8"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gramStart"/>
      <w:r w:rsidRPr="00793101">
        <w:rPr>
          <w:i/>
          <w:szCs w:val="16"/>
          <w:lang w:val="en-US"/>
        </w:rPr>
        <w:t>Extradition Act,</w:t>
      </w:r>
      <w:proofErr w:type="gramEnd"/>
      <w:r w:rsidRPr="00793101">
        <w:rPr>
          <w:i/>
          <w:szCs w:val="16"/>
          <w:lang w:val="en-US"/>
        </w:rPr>
        <w:t xml:space="preserve"> supra </w:t>
      </w:r>
      <w:r w:rsidRPr="00793101">
        <w:rPr>
          <w:szCs w:val="16"/>
          <w:lang w:val="en-US"/>
        </w:rPr>
        <w:t xml:space="preserve">note </w:t>
      </w:r>
      <w:r>
        <w:fldChar w:fldCharType="begin"/>
      </w:r>
      <w:r>
        <w:instrText xml:space="preserve"> NOTEREF _Ref267054270 \h  \* MERGEFORMAT </w:instrText>
      </w:r>
      <w:r>
        <w:fldChar w:fldCharType="separate"/>
      </w:r>
      <w:r w:rsidRPr="00E045AC">
        <w:rPr>
          <w:szCs w:val="16"/>
          <w:lang w:val="en-US"/>
        </w:rPr>
        <w:t>376</w:t>
      </w:r>
      <w:r>
        <w:fldChar w:fldCharType="end"/>
      </w:r>
      <w:r w:rsidRPr="00793101">
        <w:rPr>
          <w:szCs w:val="16"/>
          <w:lang w:val="en-US"/>
        </w:rPr>
        <w:t xml:space="preserve">. </w:t>
      </w:r>
    </w:p>
  </w:footnote>
  <w:footnote w:id="391">
    <w:p w14:paraId="1BDA8DBC"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Canada (Justice) v. </w:t>
      </w:r>
      <w:proofErr w:type="spellStart"/>
      <w:r w:rsidRPr="00793101">
        <w:rPr>
          <w:i/>
          <w:szCs w:val="16"/>
        </w:rPr>
        <w:t>Fischbacher</w:t>
      </w:r>
      <w:proofErr w:type="spellEnd"/>
      <w:r w:rsidRPr="00793101">
        <w:rPr>
          <w:i/>
          <w:szCs w:val="16"/>
        </w:rPr>
        <w:t>,</w:t>
      </w:r>
      <w:r w:rsidRPr="00793101">
        <w:rPr>
          <w:szCs w:val="16"/>
          <w:lang w:val="en-US"/>
        </w:rPr>
        <w:t xml:space="preserve"> [2009] 3 SCR 170.</w:t>
      </w:r>
    </w:p>
  </w:footnote>
  <w:footnote w:id="392">
    <w:p w14:paraId="2A7C35C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at para 28.</w:t>
      </w:r>
    </w:p>
  </w:footnote>
  <w:footnote w:id="393">
    <w:p w14:paraId="7A27BA8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at para 29.</w:t>
      </w:r>
    </w:p>
  </w:footnote>
  <w:footnote w:id="394">
    <w:p w14:paraId="612CBA51" w14:textId="375A0ACD" w:rsidR="00356280" w:rsidRPr="00793101" w:rsidRDefault="00356280" w:rsidP="0040644D">
      <w:pPr>
        <w:pStyle w:val="FootnoteText"/>
        <w:spacing w:after="0" w:line="240" w:lineRule="auto"/>
        <w:rPr>
          <w:i/>
          <w:szCs w:val="16"/>
          <w:highlight w:val="green"/>
          <w:lang w:val="en-US"/>
        </w:rPr>
      </w:pPr>
      <w:r w:rsidRPr="00793101">
        <w:rPr>
          <w:rStyle w:val="FootnoteReference"/>
          <w:szCs w:val="16"/>
        </w:rPr>
        <w:footnoteRef/>
      </w:r>
      <w:r w:rsidRPr="00793101">
        <w:rPr>
          <w:szCs w:val="16"/>
        </w:rPr>
        <w:t xml:space="preserve"> </w:t>
      </w:r>
      <w:r w:rsidRPr="00793101">
        <w:rPr>
          <w:szCs w:val="16"/>
          <w:lang w:val="en-US"/>
        </w:rPr>
        <w:t xml:space="preserve">See section 29(1) of the </w:t>
      </w:r>
      <w:r w:rsidRPr="00793101">
        <w:rPr>
          <w:i/>
          <w:szCs w:val="16"/>
          <w:lang w:val="en-US"/>
        </w:rPr>
        <w:t xml:space="preserve">Extradition Act, supra </w:t>
      </w:r>
      <w:r w:rsidRPr="00793101">
        <w:rPr>
          <w:szCs w:val="16"/>
          <w:lang w:val="en-US"/>
        </w:rPr>
        <w:t xml:space="preserve">note </w:t>
      </w:r>
      <w:r>
        <w:fldChar w:fldCharType="begin"/>
      </w:r>
      <w:r>
        <w:instrText xml:space="preserve"> NOTEREF _Ref267054270 \h  \* MERGEFORMAT </w:instrText>
      </w:r>
      <w:r>
        <w:fldChar w:fldCharType="separate"/>
      </w:r>
      <w:r w:rsidRPr="00E045AC">
        <w:rPr>
          <w:szCs w:val="16"/>
          <w:lang w:val="en-US"/>
        </w:rPr>
        <w:t>376</w:t>
      </w:r>
      <w:r>
        <w:fldChar w:fldCharType="end"/>
      </w:r>
      <w:r w:rsidRPr="00793101">
        <w:rPr>
          <w:szCs w:val="16"/>
          <w:lang w:val="en-US"/>
        </w:rPr>
        <w:t>.</w:t>
      </w:r>
    </w:p>
  </w:footnote>
  <w:footnote w:id="395">
    <w:p w14:paraId="0BF4A273" w14:textId="77777777" w:rsidR="00356280" w:rsidRPr="00793101" w:rsidRDefault="00356280" w:rsidP="007E4354">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State Immunity Act, </w:t>
      </w:r>
      <w:r w:rsidRPr="00793101">
        <w:rPr>
          <w:szCs w:val="16"/>
          <w:lang w:val="en-US"/>
        </w:rPr>
        <w:t>RSC 1985, c S-18, s 3(1).</w:t>
      </w:r>
    </w:p>
  </w:footnote>
  <w:footnote w:id="396">
    <w:p w14:paraId="4308D445" w14:textId="77777777" w:rsidR="00356280" w:rsidRPr="00793101" w:rsidRDefault="00356280" w:rsidP="001D4016">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State Immunity Act</w:t>
      </w:r>
      <w:r w:rsidRPr="00793101">
        <w:rPr>
          <w:szCs w:val="16"/>
          <w:lang w:val="en-US"/>
        </w:rPr>
        <w:t>, s 18.</w:t>
      </w:r>
    </w:p>
  </w:footnote>
  <w:footnote w:id="397">
    <w:p w14:paraId="44C42146" w14:textId="77777777" w:rsidR="00356280" w:rsidRPr="00793101" w:rsidRDefault="00356280" w:rsidP="008A0F11">
      <w:pPr>
        <w:pStyle w:val="FootnoteText"/>
        <w:spacing w:after="0" w:line="240" w:lineRule="auto"/>
        <w:rPr>
          <w:szCs w:val="16"/>
          <w:highlight w:val="green"/>
          <w:lang w:val="en-US"/>
        </w:rPr>
      </w:pPr>
      <w:r w:rsidRPr="00793101">
        <w:rPr>
          <w:rStyle w:val="FootnoteReference"/>
          <w:szCs w:val="16"/>
        </w:rPr>
        <w:footnoteRef/>
      </w:r>
      <w:r w:rsidRPr="00793101">
        <w:rPr>
          <w:szCs w:val="16"/>
        </w:rPr>
        <w:t xml:space="preserve"> </w:t>
      </w:r>
      <w:proofErr w:type="spellStart"/>
      <w:r w:rsidRPr="00793101">
        <w:rPr>
          <w:i/>
          <w:szCs w:val="16"/>
        </w:rPr>
        <w:t>Bouzari</w:t>
      </w:r>
      <w:proofErr w:type="spellEnd"/>
      <w:r w:rsidRPr="00793101">
        <w:rPr>
          <w:i/>
          <w:szCs w:val="16"/>
        </w:rPr>
        <w:t xml:space="preserve"> et al v Islamic Republic of Iran </w:t>
      </w:r>
      <w:r w:rsidRPr="00793101">
        <w:rPr>
          <w:szCs w:val="16"/>
          <w:lang w:val="en-US"/>
        </w:rPr>
        <w:t>(2004), 71 OR (3d) 675 (ONCA), leave to appeal refused [</w:t>
      </w:r>
      <w:proofErr w:type="spellStart"/>
      <w:r w:rsidRPr="00793101">
        <w:rPr>
          <w:i/>
          <w:szCs w:val="16"/>
          <w:lang w:val="en-US"/>
        </w:rPr>
        <w:t>Bouzari</w:t>
      </w:r>
      <w:proofErr w:type="spellEnd"/>
      <w:r w:rsidRPr="00793101">
        <w:rPr>
          <w:szCs w:val="16"/>
          <w:lang w:val="en-US"/>
        </w:rPr>
        <w:t>].</w:t>
      </w:r>
    </w:p>
  </w:footnote>
  <w:footnote w:id="398">
    <w:p w14:paraId="333D5BD6" w14:textId="77777777" w:rsidR="00356280" w:rsidRPr="00793101" w:rsidRDefault="00356280" w:rsidP="008A0F11">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Ibid </w:t>
      </w:r>
      <w:r w:rsidRPr="00793101">
        <w:rPr>
          <w:szCs w:val="16"/>
          <w:lang w:val="en-US"/>
        </w:rPr>
        <w:t>at paras 87 and 94.</w:t>
      </w:r>
    </w:p>
  </w:footnote>
  <w:footnote w:id="399">
    <w:p w14:paraId="53F8FFAD" w14:textId="77777777" w:rsidR="00356280" w:rsidRPr="00793101" w:rsidRDefault="00356280" w:rsidP="008A0F11">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Ibid </w:t>
      </w:r>
      <w:r w:rsidRPr="00793101">
        <w:rPr>
          <w:szCs w:val="16"/>
        </w:rPr>
        <w:t xml:space="preserve">at </w:t>
      </w:r>
      <w:r w:rsidRPr="00793101">
        <w:rPr>
          <w:szCs w:val="16"/>
          <w:lang w:val="en-US"/>
        </w:rPr>
        <w:t>para 66.</w:t>
      </w:r>
    </w:p>
  </w:footnote>
  <w:footnote w:id="400">
    <w:p w14:paraId="12756F02" w14:textId="77777777" w:rsidR="00356280" w:rsidRPr="00793101" w:rsidRDefault="00356280" w:rsidP="006A222A">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lang w:val="en-US"/>
        </w:rPr>
        <w:t>Kazemi</w:t>
      </w:r>
      <w:proofErr w:type="spellEnd"/>
      <w:r w:rsidRPr="00793101">
        <w:rPr>
          <w:i/>
          <w:szCs w:val="16"/>
          <w:lang w:val="en-US"/>
        </w:rPr>
        <w:t xml:space="preserve"> (Estate of) v Islamic Republic of Iran </w:t>
      </w:r>
      <w:r w:rsidRPr="00793101">
        <w:rPr>
          <w:szCs w:val="16"/>
          <w:lang w:val="en-US"/>
        </w:rPr>
        <w:t>2012 QCCA 1449 [</w:t>
      </w:r>
      <w:proofErr w:type="spellStart"/>
      <w:r w:rsidRPr="00793101">
        <w:rPr>
          <w:i/>
          <w:szCs w:val="16"/>
          <w:lang w:val="en-US"/>
        </w:rPr>
        <w:t>Kazemi</w:t>
      </w:r>
      <w:proofErr w:type="spellEnd"/>
      <w:r w:rsidRPr="00793101">
        <w:rPr>
          <w:i/>
          <w:szCs w:val="16"/>
          <w:lang w:val="en-US"/>
        </w:rPr>
        <w:t xml:space="preserve"> v Iran</w:t>
      </w:r>
      <w:r w:rsidRPr="00793101">
        <w:rPr>
          <w:szCs w:val="16"/>
          <w:lang w:val="en-US"/>
        </w:rPr>
        <w:t xml:space="preserve">]. Often also cited as </w:t>
      </w:r>
      <w:r w:rsidRPr="00793101">
        <w:rPr>
          <w:bCs/>
          <w:i/>
          <w:szCs w:val="16"/>
          <w:lang w:val="en-US"/>
        </w:rPr>
        <w:t>Islamic Republic of Iran v. Hashemi</w:t>
      </w:r>
      <w:r w:rsidRPr="00793101">
        <w:rPr>
          <w:bCs/>
          <w:szCs w:val="16"/>
          <w:lang w:val="en-US"/>
        </w:rPr>
        <w:t xml:space="preserve">. </w:t>
      </w:r>
    </w:p>
  </w:footnote>
  <w:footnote w:id="401">
    <w:p w14:paraId="3E306D6D" w14:textId="77777777" w:rsidR="00356280" w:rsidRPr="005C5374" w:rsidRDefault="00356280" w:rsidP="00153C20">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at </w:t>
      </w:r>
      <w:r w:rsidRPr="00793101">
        <w:rPr>
          <w:szCs w:val="16"/>
          <w:lang w:val="en-US"/>
        </w:rPr>
        <w:t>para 42.</w:t>
      </w:r>
    </w:p>
  </w:footnote>
  <w:footnote w:id="402">
    <w:p w14:paraId="154DCF0E" w14:textId="3DC196DF" w:rsidR="00356280" w:rsidRPr="00AA6144" w:rsidRDefault="00356280" w:rsidP="000C2340">
      <w:pPr>
        <w:pStyle w:val="FootnoteText"/>
        <w:spacing w:after="0" w:line="240" w:lineRule="auto"/>
        <w:rPr>
          <w:rFonts w:ascii="Times New Roman" w:hAnsi="Times New Roman"/>
          <w:color w:val="auto"/>
          <w:szCs w:val="16"/>
          <w:lang w:val="en-CA" w:eastAsia="en-US"/>
        </w:rPr>
      </w:pPr>
      <w:r w:rsidRPr="000C2340">
        <w:rPr>
          <w:rStyle w:val="FootnoteReference"/>
          <w:szCs w:val="16"/>
        </w:rPr>
        <w:footnoteRef/>
      </w:r>
      <w:r>
        <w:rPr>
          <w:i/>
          <w:szCs w:val="16"/>
          <w:lang w:val="en-US"/>
        </w:rPr>
        <w:t xml:space="preserve"> </w:t>
      </w:r>
      <w:proofErr w:type="spellStart"/>
      <w:r w:rsidRPr="005C5374">
        <w:rPr>
          <w:i/>
          <w:szCs w:val="16"/>
          <w:lang w:val="en-US"/>
        </w:rPr>
        <w:t>Kazemi</w:t>
      </w:r>
      <w:proofErr w:type="spellEnd"/>
      <w:r w:rsidRPr="005C5374">
        <w:rPr>
          <w:i/>
          <w:szCs w:val="16"/>
          <w:lang w:val="en-US"/>
        </w:rPr>
        <w:t xml:space="preserve"> (Estate of) v Islamic Republic of Iran</w:t>
      </w:r>
      <w:r>
        <w:rPr>
          <w:rFonts w:ascii="Verdana" w:hAnsi="Verdana"/>
          <w:color w:val="212529"/>
          <w:szCs w:val="16"/>
          <w:shd w:val="clear" w:color="auto" w:fill="FFFFFF"/>
          <w:lang w:val="en-CA" w:eastAsia="en-US"/>
        </w:rPr>
        <w:t xml:space="preserve"> (</w:t>
      </w:r>
      <w:r w:rsidRPr="00AA6144">
        <w:rPr>
          <w:rFonts w:ascii="Verdana" w:hAnsi="Verdana"/>
          <w:color w:val="212529"/>
          <w:szCs w:val="16"/>
          <w:shd w:val="clear" w:color="auto" w:fill="FFFFFF"/>
          <w:lang w:val="en-CA" w:eastAsia="en-US"/>
        </w:rPr>
        <w:t>2014</w:t>
      </w:r>
      <w:r>
        <w:rPr>
          <w:rFonts w:ascii="Verdana" w:hAnsi="Verdana"/>
          <w:color w:val="212529"/>
          <w:szCs w:val="16"/>
          <w:shd w:val="clear" w:color="auto" w:fill="FFFFFF"/>
          <w:lang w:val="en-CA" w:eastAsia="en-US"/>
        </w:rPr>
        <w:t>),</w:t>
      </w:r>
      <w:r w:rsidRPr="00AA6144">
        <w:rPr>
          <w:rFonts w:ascii="Verdana" w:hAnsi="Verdana"/>
          <w:color w:val="212529"/>
          <w:szCs w:val="16"/>
          <w:shd w:val="clear" w:color="auto" w:fill="FFFFFF"/>
          <w:lang w:val="en-CA" w:eastAsia="en-US"/>
        </w:rPr>
        <w:t xml:space="preserve"> 3 SCR 176, 2014 SCC 62 </w:t>
      </w:r>
      <w:r w:rsidRPr="005C5374">
        <w:rPr>
          <w:szCs w:val="16"/>
          <w:lang w:val="en-US"/>
        </w:rPr>
        <w:t>[</w:t>
      </w:r>
      <w:proofErr w:type="spellStart"/>
      <w:r w:rsidRPr="00AA6144">
        <w:rPr>
          <w:i/>
          <w:szCs w:val="16"/>
          <w:lang w:val="en-US"/>
        </w:rPr>
        <w:t>Kazemi</w:t>
      </w:r>
      <w:proofErr w:type="spellEnd"/>
      <w:r w:rsidRPr="005C5374">
        <w:rPr>
          <w:szCs w:val="16"/>
          <w:lang w:val="en-US"/>
        </w:rPr>
        <w:t>].</w:t>
      </w:r>
    </w:p>
  </w:footnote>
  <w:footnote w:id="403">
    <w:p w14:paraId="62E2D64C" w14:textId="77777777" w:rsidR="00356280" w:rsidRPr="00793101" w:rsidRDefault="00356280">
      <w:pPr>
        <w:pStyle w:val="FootnoteText"/>
        <w:spacing w:after="0" w:line="240" w:lineRule="auto"/>
        <w:rPr>
          <w:szCs w:val="16"/>
        </w:rPr>
      </w:pPr>
      <w:r w:rsidRPr="00740857">
        <w:rPr>
          <w:rStyle w:val="FootnoteReference"/>
          <w:szCs w:val="16"/>
        </w:rPr>
        <w:footnoteRef/>
      </w:r>
      <w:r w:rsidRPr="00740857">
        <w:rPr>
          <w:szCs w:val="16"/>
        </w:rPr>
        <w:t xml:space="preserve"> See Committee against</w:t>
      </w:r>
      <w:r w:rsidRPr="00793101">
        <w:rPr>
          <w:szCs w:val="16"/>
        </w:rPr>
        <w:t xml:space="preserve"> Torture, </w:t>
      </w:r>
      <w:r w:rsidRPr="00793101">
        <w:rPr>
          <w:i/>
          <w:szCs w:val="16"/>
        </w:rPr>
        <w:t>General Comment 3 (Implementation of article 14 by States parties)</w:t>
      </w:r>
      <w:r w:rsidRPr="00793101">
        <w:rPr>
          <w:szCs w:val="16"/>
        </w:rPr>
        <w:t xml:space="preserve">, 2012, CAT/C/GC/3. </w:t>
      </w:r>
    </w:p>
  </w:footnote>
  <w:footnote w:id="404">
    <w:p w14:paraId="33440A6F" w14:textId="77777777" w:rsidR="00356280" w:rsidRPr="000C692A" w:rsidRDefault="00356280" w:rsidP="00AA6144">
      <w:pPr>
        <w:pStyle w:val="FootnoteText"/>
        <w:spacing w:after="0" w:line="240" w:lineRule="auto"/>
        <w:rPr>
          <w:szCs w:val="16"/>
          <w:lang w:val="en-US"/>
        </w:rPr>
      </w:pPr>
      <w:r w:rsidRPr="00793101">
        <w:rPr>
          <w:rStyle w:val="FootnoteReference"/>
          <w:szCs w:val="16"/>
        </w:rPr>
        <w:footnoteRef/>
      </w:r>
      <w:r w:rsidRPr="00793101">
        <w:rPr>
          <w:szCs w:val="16"/>
        </w:rPr>
        <w:t xml:space="preserve"> UNCAT, 48</w:t>
      </w:r>
      <w:r w:rsidRPr="00793101">
        <w:rPr>
          <w:szCs w:val="16"/>
          <w:vertAlign w:val="superscript"/>
        </w:rPr>
        <w:t>th</w:t>
      </w:r>
      <w:r w:rsidRPr="00793101">
        <w:rPr>
          <w:szCs w:val="16"/>
        </w:rPr>
        <w:t xml:space="preserve"> </w:t>
      </w:r>
      <w:proofErr w:type="spellStart"/>
      <w:r w:rsidRPr="00793101">
        <w:rPr>
          <w:szCs w:val="16"/>
        </w:rPr>
        <w:t>Sess</w:t>
      </w:r>
      <w:proofErr w:type="spellEnd"/>
      <w:r w:rsidRPr="00793101">
        <w:rPr>
          <w:szCs w:val="16"/>
        </w:rPr>
        <w:t>, 1076</w:t>
      </w:r>
      <w:r w:rsidRPr="00793101">
        <w:rPr>
          <w:szCs w:val="16"/>
          <w:vertAlign w:val="superscript"/>
        </w:rPr>
        <w:t>th</w:t>
      </w:r>
      <w:r w:rsidRPr="00793101">
        <w:rPr>
          <w:szCs w:val="16"/>
        </w:rPr>
        <w:t xml:space="preserve"> &amp; 1079</w:t>
      </w:r>
      <w:r w:rsidRPr="00793101">
        <w:rPr>
          <w:szCs w:val="16"/>
          <w:vertAlign w:val="superscript"/>
        </w:rPr>
        <w:t>th</w:t>
      </w:r>
      <w:r w:rsidRPr="00793101">
        <w:rPr>
          <w:szCs w:val="16"/>
        </w:rPr>
        <w:t xml:space="preserve"> Mtgs, UN Doc CAT/C/CAN/CO/6 (2012) at para 15ff.</w:t>
      </w:r>
    </w:p>
  </w:footnote>
  <w:footnote w:id="405">
    <w:p w14:paraId="54512295" w14:textId="54904B0C" w:rsidR="00356280" w:rsidRPr="00793101" w:rsidRDefault="00356280" w:rsidP="007E4354">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Convention Against Torture, supra</w:t>
      </w:r>
      <w:r w:rsidRPr="00793101">
        <w:rPr>
          <w:szCs w:val="16"/>
          <w:lang w:val="en-US"/>
        </w:rPr>
        <w:t xml:space="preserve"> note </w:t>
      </w:r>
      <w:r>
        <w:fldChar w:fldCharType="begin"/>
      </w:r>
      <w:r>
        <w:instrText xml:space="preserve"> NOTEREF _Ref267054540 \h  \* MERGEFORMAT </w:instrText>
      </w:r>
      <w:r>
        <w:fldChar w:fldCharType="separate"/>
      </w:r>
      <w:r w:rsidRPr="00E045AC">
        <w:rPr>
          <w:szCs w:val="16"/>
          <w:lang w:val="en-US"/>
        </w:rPr>
        <w:t>25</w:t>
      </w:r>
      <w:r>
        <w:fldChar w:fldCharType="end"/>
      </w:r>
      <w:r w:rsidRPr="00793101">
        <w:rPr>
          <w:szCs w:val="16"/>
          <w:lang w:val="en-US"/>
        </w:rPr>
        <w:t xml:space="preserve">, art 14. </w:t>
      </w:r>
    </w:p>
  </w:footnote>
  <w:footnote w:id="406">
    <w:p w14:paraId="47A89B4D"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iCs/>
          <w:szCs w:val="16"/>
          <w:lang w:val="en-CA"/>
        </w:rPr>
        <w:t>Democratic Republic of the Congo v Belgium</w:t>
      </w:r>
      <w:r w:rsidRPr="00793101">
        <w:rPr>
          <w:szCs w:val="16"/>
          <w:lang w:val="en-CA"/>
        </w:rPr>
        <w:t>, [2002] ICJ Rep 3 [</w:t>
      </w:r>
      <w:r w:rsidRPr="00793101">
        <w:rPr>
          <w:i/>
          <w:szCs w:val="16"/>
          <w:lang w:val="en-CA"/>
        </w:rPr>
        <w:t>Arrest Warrant Case</w:t>
      </w:r>
      <w:r w:rsidRPr="00793101">
        <w:rPr>
          <w:szCs w:val="16"/>
          <w:lang w:val="en-CA"/>
        </w:rPr>
        <w:t xml:space="preserve">]. </w:t>
      </w:r>
    </w:p>
  </w:footnote>
  <w:footnote w:id="407">
    <w:p w14:paraId="2A5AA567" w14:textId="77777777"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rStyle w:val="FootnoteReference"/>
          <w:sz w:val="16"/>
          <w:szCs w:val="16"/>
          <w:lang w:val="en-CA"/>
        </w:rPr>
        <w:t xml:space="preserve"> </w:t>
      </w:r>
      <w:r w:rsidRPr="00793101">
        <w:rPr>
          <w:sz w:val="16"/>
          <w:szCs w:val="16"/>
          <w:lang w:val="en-CA"/>
        </w:rPr>
        <w:t xml:space="preserve">Amnesty International, </w:t>
      </w:r>
      <w:r w:rsidRPr="00793101">
        <w:rPr>
          <w:i/>
          <w:iCs/>
          <w:sz w:val="16"/>
          <w:szCs w:val="16"/>
          <w:lang w:val="en-CA"/>
        </w:rPr>
        <w:t>Universal Jurisdiction: Belgian prosecutors can investigate crimes under international law committed abroad</w:t>
      </w:r>
      <w:r w:rsidRPr="00793101">
        <w:rPr>
          <w:sz w:val="16"/>
          <w:szCs w:val="16"/>
          <w:lang w:val="en-CA"/>
        </w:rPr>
        <w:t>, AI Index: IOR 53/001/2003 (Amnesty International, 2003), at 10.</w:t>
      </w:r>
    </w:p>
  </w:footnote>
  <w:footnote w:id="408">
    <w:p w14:paraId="72881E62" w14:textId="7359ED99" w:rsidR="00356280" w:rsidRPr="00793101" w:rsidRDefault="00356280" w:rsidP="0040644D">
      <w:pPr>
        <w:pStyle w:val="FootnoteText"/>
        <w:spacing w:after="0" w:line="240" w:lineRule="auto"/>
        <w:rPr>
          <w:rFonts w:eastAsia="SimSun"/>
          <w:color w:val="auto"/>
          <w:szCs w:val="16"/>
          <w:lang w:val="en-CA" w:eastAsia="zh-CN"/>
        </w:rPr>
      </w:pPr>
      <w:r w:rsidRPr="00793101">
        <w:rPr>
          <w:rStyle w:val="FootnoteReference"/>
          <w:szCs w:val="16"/>
          <w:lang w:val="en-CA"/>
        </w:rPr>
        <w:footnoteRef/>
      </w:r>
      <w:r w:rsidRPr="00793101">
        <w:rPr>
          <w:szCs w:val="16"/>
          <w:lang w:val="en-CA"/>
        </w:rPr>
        <w:t xml:space="preserve"> These instruments include: </w:t>
      </w:r>
      <w:r w:rsidRPr="00793101">
        <w:rPr>
          <w:i/>
          <w:szCs w:val="16"/>
          <w:lang w:val="en-CA"/>
        </w:rPr>
        <w:t xml:space="preserve">Allied </w:t>
      </w:r>
      <w:r w:rsidRPr="00793101">
        <w:rPr>
          <w:rFonts w:eastAsia="SimSun"/>
          <w:i/>
          <w:color w:val="auto"/>
          <w:szCs w:val="16"/>
          <w:lang w:val="en-CA" w:eastAsia="zh-CN"/>
        </w:rPr>
        <w:t>Control Council Law No 10, supra</w:t>
      </w:r>
      <w:r w:rsidRPr="00793101">
        <w:rPr>
          <w:rFonts w:eastAsia="SimSun"/>
          <w:color w:val="auto"/>
          <w:szCs w:val="16"/>
          <w:lang w:val="en-CA" w:eastAsia="zh-CN"/>
        </w:rPr>
        <w:t xml:space="preserve"> note </w:t>
      </w:r>
      <w:r>
        <w:fldChar w:fldCharType="begin"/>
      </w:r>
      <w:r>
        <w:instrText xml:space="preserve"> NOTEREF _Ref267054553 \h  \* MERGEFORMAT </w:instrText>
      </w:r>
      <w:r>
        <w:fldChar w:fldCharType="separate"/>
      </w:r>
      <w:r w:rsidRPr="00E045AC">
        <w:rPr>
          <w:rFonts w:eastAsia="SimSun"/>
          <w:color w:val="auto"/>
          <w:szCs w:val="16"/>
          <w:lang w:val="en-CA" w:eastAsia="zh-CN"/>
        </w:rPr>
        <w:t>319</w:t>
      </w:r>
      <w:r>
        <w:fldChar w:fldCharType="end"/>
      </w:r>
      <w:r w:rsidRPr="00793101">
        <w:rPr>
          <w:rFonts w:eastAsia="SimSun"/>
          <w:color w:val="auto"/>
          <w:szCs w:val="16"/>
          <w:lang w:val="en-CA" w:eastAsia="zh-CN"/>
        </w:rPr>
        <w:t xml:space="preserve">, art II (4) (a); </w:t>
      </w:r>
      <w:r w:rsidRPr="00793101">
        <w:rPr>
          <w:rFonts w:eastAsia="SimSun"/>
          <w:i/>
          <w:color w:val="auto"/>
          <w:szCs w:val="16"/>
          <w:lang w:val="en-CA" w:eastAsia="zh-CN"/>
        </w:rPr>
        <w:t>Affirmation of the Principles of International Law recognized by the Charter of the Nurnberg Tribunal</w:t>
      </w:r>
      <w:r w:rsidRPr="00793101">
        <w:rPr>
          <w:rFonts w:eastAsia="SimSun"/>
          <w:color w:val="auto"/>
          <w:szCs w:val="16"/>
          <w:lang w:val="en-CA" w:eastAsia="zh-CN"/>
        </w:rPr>
        <w:t xml:space="preserve">, UNGA Res 95 (I) (11 December 1946); </w:t>
      </w:r>
      <w:r w:rsidRPr="00793101">
        <w:rPr>
          <w:rFonts w:eastAsia="SimSun"/>
          <w:i/>
          <w:color w:val="auto"/>
          <w:szCs w:val="16"/>
          <w:lang w:val="en-CA" w:eastAsia="zh-CN"/>
        </w:rPr>
        <w:t>Genocide Convention, supra</w:t>
      </w:r>
      <w:r w:rsidRPr="00793101">
        <w:rPr>
          <w:rFonts w:eastAsia="SimSun"/>
          <w:color w:val="auto"/>
          <w:szCs w:val="16"/>
          <w:lang w:val="en-CA" w:eastAsia="zh-CN"/>
        </w:rPr>
        <w:t xml:space="preserve"> note </w:t>
      </w:r>
      <w:r>
        <w:fldChar w:fldCharType="begin"/>
      </w:r>
      <w:r>
        <w:instrText xml:space="preserve"> NOTEREF _Ref266973019 \h  \* MERGEFORMAT </w:instrText>
      </w:r>
      <w:r>
        <w:fldChar w:fldCharType="separate"/>
      </w:r>
      <w:r w:rsidRPr="00E045AC">
        <w:rPr>
          <w:rFonts w:eastAsia="SimSun"/>
          <w:color w:val="auto"/>
          <w:szCs w:val="16"/>
          <w:lang w:val="en-CA" w:eastAsia="zh-CN"/>
        </w:rPr>
        <w:t>238</w:t>
      </w:r>
      <w:r>
        <w:fldChar w:fldCharType="end"/>
      </w:r>
      <w:r w:rsidRPr="00793101">
        <w:rPr>
          <w:rFonts w:eastAsia="SimSun"/>
          <w:color w:val="auto"/>
          <w:szCs w:val="16"/>
          <w:lang w:val="en-CA" w:eastAsia="zh-CN"/>
        </w:rPr>
        <w:t xml:space="preserve">, art IV; </w:t>
      </w:r>
      <w:r w:rsidRPr="00793101">
        <w:rPr>
          <w:rFonts w:eastAsia="SimSun"/>
          <w:i/>
          <w:color w:val="auto"/>
          <w:szCs w:val="16"/>
          <w:lang w:val="en-CA" w:eastAsia="zh-CN"/>
        </w:rPr>
        <w:t>Principles of International Law Recognized in the Charter of the Nurnberg Tribunal and in the Judgment of the Tribunal</w:t>
      </w:r>
      <w:r w:rsidRPr="00793101">
        <w:rPr>
          <w:rFonts w:eastAsia="SimSun"/>
          <w:color w:val="auto"/>
          <w:szCs w:val="16"/>
          <w:lang w:val="en-CA" w:eastAsia="zh-CN"/>
        </w:rPr>
        <w:t xml:space="preserve">, Yearbook of the International Law Commission, 1950, vol II, para 97, principle III; </w:t>
      </w:r>
      <w:r w:rsidRPr="00793101">
        <w:rPr>
          <w:rFonts w:eastAsia="SimSun"/>
          <w:i/>
          <w:color w:val="auto"/>
          <w:szCs w:val="16"/>
          <w:lang w:val="en-CA" w:eastAsia="zh-CN"/>
        </w:rPr>
        <w:t>Draft Code of Offences against the Peace and Security of mankind</w:t>
      </w:r>
      <w:r w:rsidRPr="00793101">
        <w:rPr>
          <w:rFonts w:eastAsia="SimSun"/>
          <w:color w:val="auto"/>
          <w:szCs w:val="16"/>
          <w:lang w:val="en-CA" w:eastAsia="zh-CN"/>
        </w:rPr>
        <w:t xml:space="preserve">, Yearbook of the International Law Commission, 1954, vol II, art. 3; </w:t>
      </w:r>
      <w:r w:rsidRPr="00793101">
        <w:rPr>
          <w:rFonts w:eastAsia="SimSun"/>
          <w:i/>
          <w:iCs/>
          <w:color w:val="auto"/>
          <w:szCs w:val="16"/>
          <w:lang w:val="en-CA" w:eastAsia="zh-CN"/>
        </w:rPr>
        <w:t xml:space="preserve">Apartheid </w:t>
      </w:r>
      <w:r w:rsidRPr="00793101">
        <w:rPr>
          <w:rFonts w:eastAsia="SimSun"/>
          <w:i/>
          <w:color w:val="auto"/>
          <w:szCs w:val="16"/>
          <w:lang w:val="en-CA" w:eastAsia="zh-CN"/>
        </w:rPr>
        <w:t xml:space="preserve">Convention, supra </w:t>
      </w:r>
      <w:r w:rsidRPr="00793101">
        <w:rPr>
          <w:rFonts w:eastAsia="SimSun"/>
          <w:color w:val="auto"/>
          <w:szCs w:val="16"/>
          <w:lang w:val="en-CA" w:eastAsia="zh-CN"/>
        </w:rPr>
        <w:t xml:space="preserve">note </w:t>
      </w:r>
      <w:r>
        <w:fldChar w:fldCharType="begin"/>
      </w:r>
      <w:r>
        <w:instrText xml:space="preserve"> NOTEREF _Ref266973218 \h  \* MERGEFORMAT </w:instrText>
      </w:r>
      <w:r>
        <w:fldChar w:fldCharType="separate"/>
      </w:r>
      <w:r w:rsidRPr="00E045AC">
        <w:rPr>
          <w:rFonts w:eastAsia="SimSun"/>
          <w:color w:val="auto"/>
          <w:szCs w:val="16"/>
          <w:lang w:val="en-CA" w:eastAsia="zh-CN"/>
        </w:rPr>
        <w:t>227</w:t>
      </w:r>
      <w:r>
        <w:fldChar w:fldCharType="end"/>
      </w:r>
      <w:r w:rsidRPr="00793101">
        <w:rPr>
          <w:rFonts w:eastAsia="SimSun"/>
          <w:color w:val="auto"/>
          <w:szCs w:val="16"/>
          <w:lang w:val="en-CA" w:eastAsia="zh-CN"/>
        </w:rPr>
        <w:t xml:space="preserve">, art III; </w:t>
      </w:r>
      <w:r w:rsidRPr="00793101">
        <w:rPr>
          <w:rFonts w:eastAsia="SimSun"/>
          <w:i/>
          <w:color w:val="auto"/>
          <w:szCs w:val="16"/>
          <w:lang w:val="en-CA" w:eastAsia="zh-CN"/>
        </w:rPr>
        <w:t>Draft Code of Crimes against the Peace and Security of Mankind</w:t>
      </w:r>
      <w:r w:rsidRPr="00793101">
        <w:rPr>
          <w:rFonts w:eastAsia="SimSun"/>
          <w:color w:val="auto"/>
          <w:szCs w:val="16"/>
          <w:lang w:val="en-CA" w:eastAsia="zh-CN"/>
        </w:rPr>
        <w:t xml:space="preserve">, UN Doc A/CN4/L459 [and corr1] and Add1 (1991), art 13 (Official position and responsibility); </w:t>
      </w:r>
      <w:r w:rsidRPr="00793101">
        <w:rPr>
          <w:rFonts w:eastAsia="SimSun"/>
          <w:i/>
          <w:color w:val="auto"/>
          <w:szCs w:val="16"/>
          <w:lang w:val="en-CA" w:eastAsia="zh-CN"/>
        </w:rPr>
        <w:t>1996 Draft Code of Crimes</w:t>
      </w:r>
      <w:r w:rsidRPr="00793101">
        <w:rPr>
          <w:rFonts w:eastAsia="SimSun"/>
          <w:color w:val="auto"/>
          <w:szCs w:val="16"/>
          <w:lang w:val="en-CA" w:eastAsia="zh-CN"/>
        </w:rPr>
        <w:t xml:space="preserve">, </w:t>
      </w:r>
      <w:r w:rsidRPr="00793101">
        <w:rPr>
          <w:rFonts w:eastAsia="SimSun"/>
          <w:i/>
          <w:color w:val="auto"/>
          <w:szCs w:val="16"/>
          <w:lang w:val="en-CA" w:eastAsia="zh-CN"/>
        </w:rPr>
        <w:t>supra</w:t>
      </w:r>
      <w:r w:rsidRPr="00793101">
        <w:rPr>
          <w:rFonts w:eastAsia="SimSun"/>
          <w:color w:val="auto"/>
          <w:szCs w:val="16"/>
          <w:lang w:val="en-CA" w:eastAsia="zh-CN"/>
        </w:rPr>
        <w:t xml:space="preserve"> note </w:t>
      </w:r>
      <w:r>
        <w:fldChar w:fldCharType="begin"/>
      </w:r>
      <w:r>
        <w:instrText xml:space="preserve"> NOTEREF _Ref267051028 \h  \* MERGEFORMAT </w:instrText>
      </w:r>
      <w:r>
        <w:fldChar w:fldCharType="separate"/>
      </w:r>
      <w:r w:rsidRPr="00E045AC">
        <w:rPr>
          <w:rFonts w:eastAsia="SimSun"/>
          <w:color w:val="auto"/>
          <w:szCs w:val="16"/>
          <w:lang w:val="en-CA" w:eastAsia="zh-CN"/>
        </w:rPr>
        <w:t>301</w:t>
      </w:r>
      <w:r>
        <w:fldChar w:fldCharType="end"/>
      </w:r>
      <w:r w:rsidRPr="00793101">
        <w:rPr>
          <w:rFonts w:eastAsia="SimSun"/>
          <w:color w:val="auto"/>
          <w:szCs w:val="16"/>
          <w:lang w:val="en-CA" w:eastAsia="zh-CN"/>
        </w:rPr>
        <w:t>, art 6 (Official position and responsibility).</w:t>
      </w:r>
    </w:p>
  </w:footnote>
  <w:footnote w:id="409">
    <w:p w14:paraId="6B0277C1" w14:textId="778D7B23"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rStyle w:val="FootnoteReference"/>
          <w:sz w:val="16"/>
          <w:szCs w:val="16"/>
          <w:lang w:val="en-CA"/>
        </w:rPr>
        <w:t xml:space="preserve"> </w:t>
      </w:r>
      <w:r w:rsidRPr="00793101">
        <w:rPr>
          <w:i/>
          <w:sz w:val="16"/>
          <w:szCs w:val="16"/>
          <w:lang w:val="en-CA"/>
        </w:rPr>
        <w:t>Sierra Leone Statute, supra</w:t>
      </w:r>
      <w:r w:rsidRPr="00793101">
        <w:rPr>
          <w:sz w:val="16"/>
          <w:szCs w:val="16"/>
          <w:lang w:val="en-CA"/>
        </w:rPr>
        <w:t xml:space="preserve"> note </w:t>
      </w:r>
      <w:r>
        <w:fldChar w:fldCharType="begin"/>
      </w:r>
      <w:r>
        <w:instrText xml:space="preserve"> NOTEREF _Ref267054553 \h  \* MERGEFORMAT </w:instrText>
      </w:r>
      <w:r>
        <w:fldChar w:fldCharType="separate"/>
      </w:r>
      <w:r w:rsidRPr="00E045AC">
        <w:rPr>
          <w:sz w:val="16"/>
          <w:szCs w:val="16"/>
          <w:lang w:val="en-CA"/>
        </w:rPr>
        <w:t>319</w:t>
      </w:r>
      <w:r>
        <w:fldChar w:fldCharType="end"/>
      </w:r>
      <w:r w:rsidRPr="00793101">
        <w:rPr>
          <w:sz w:val="16"/>
          <w:szCs w:val="16"/>
          <w:lang w:val="en-CA"/>
        </w:rPr>
        <w:t xml:space="preserve">, art 6 (Individual criminal responsibility) (2); </w:t>
      </w:r>
      <w:r w:rsidRPr="00793101">
        <w:rPr>
          <w:i/>
          <w:sz w:val="16"/>
          <w:szCs w:val="16"/>
          <w:lang w:val="en-CA"/>
        </w:rPr>
        <w:t xml:space="preserve">Cambodian Extraordinary Chambers Law, supra </w:t>
      </w:r>
      <w:r w:rsidRPr="00793101">
        <w:rPr>
          <w:sz w:val="16"/>
          <w:szCs w:val="16"/>
          <w:lang w:val="en-CA"/>
        </w:rPr>
        <w:t xml:space="preserve">note </w:t>
      </w:r>
      <w:r>
        <w:fldChar w:fldCharType="begin"/>
      </w:r>
      <w:r>
        <w:instrText xml:space="preserve"> NOTEREF _Ref267054553 \h  \* MERGEFORMAT </w:instrText>
      </w:r>
      <w:r>
        <w:fldChar w:fldCharType="separate"/>
      </w:r>
      <w:r w:rsidRPr="00E045AC">
        <w:rPr>
          <w:sz w:val="16"/>
          <w:szCs w:val="16"/>
          <w:lang w:val="en-CA"/>
        </w:rPr>
        <w:t>319</w:t>
      </w:r>
      <w:r>
        <w:fldChar w:fldCharType="end"/>
      </w:r>
      <w:r w:rsidRPr="00793101">
        <w:rPr>
          <w:sz w:val="16"/>
          <w:szCs w:val="16"/>
          <w:lang w:val="en-CA"/>
        </w:rPr>
        <w:t xml:space="preserve">, art.  29. For further analysis on this point, see Amnesty International, </w:t>
      </w:r>
      <w:r w:rsidRPr="00793101">
        <w:rPr>
          <w:i/>
          <w:iCs/>
          <w:sz w:val="16"/>
          <w:szCs w:val="16"/>
          <w:lang w:val="en-CA"/>
        </w:rPr>
        <w:t>Universal Jurisdiction:</w:t>
      </w:r>
      <w:r w:rsidRPr="00793101">
        <w:rPr>
          <w:sz w:val="16"/>
          <w:szCs w:val="16"/>
          <w:lang w:val="en-CA"/>
        </w:rPr>
        <w:t xml:space="preserve"> </w:t>
      </w:r>
      <w:r w:rsidRPr="00793101">
        <w:rPr>
          <w:i/>
          <w:sz w:val="16"/>
          <w:szCs w:val="16"/>
          <w:lang w:val="en-CA"/>
        </w:rPr>
        <w:t xml:space="preserve">Belgian court has jurisdiction in Sharon case to investigate 1982 Sabra and </w:t>
      </w:r>
      <w:proofErr w:type="spellStart"/>
      <w:r w:rsidRPr="00793101">
        <w:rPr>
          <w:i/>
          <w:sz w:val="16"/>
          <w:szCs w:val="16"/>
          <w:lang w:val="en-CA"/>
        </w:rPr>
        <w:t>Chatila</w:t>
      </w:r>
      <w:proofErr w:type="spellEnd"/>
      <w:r w:rsidRPr="00793101">
        <w:rPr>
          <w:i/>
          <w:sz w:val="16"/>
          <w:szCs w:val="16"/>
          <w:lang w:val="en-CA"/>
        </w:rPr>
        <w:t xml:space="preserve"> killings</w:t>
      </w:r>
      <w:r w:rsidRPr="00793101">
        <w:rPr>
          <w:sz w:val="16"/>
          <w:szCs w:val="16"/>
          <w:lang w:val="en-CA"/>
        </w:rPr>
        <w:t>, AI Index: EUR 53/001/2002 (Amnesty International, 2002).</w:t>
      </w:r>
    </w:p>
  </w:footnote>
  <w:footnote w:id="410">
    <w:p w14:paraId="58B92584" w14:textId="77777777"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Universal Declaration of Human Rights,</w:t>
      </w:r>
      <w:r w:rsidRPr="00793101">
        <w:rPr>
          <w:sz w:val="16"/>
          <w:szCs w:val="16"/>
          <w:lang w:val="en-CA"/>
        </w:rPr>
        <w:t xml:space="preserve"> GA Res 217 (111), UNGAOR, 3d </w:t>
      </w:r>
      <w:proofErr w:type="spellStart"/>
      <w:r w:rsidRPr="00793101">
        <w:rPr>
          <w:sz w:val="16"/>
          <w:szCs w:val="16"/>
          <w:lang w:val="en-CA"/>
        </w:rPr>
        <w:t>Sess</w:t>
      </w:r>
      <w:proofErr w:type="spellEnd"/>
      <w:r w:rsidRPr="00793101">
        <w:rPr>
          <w:sz w:val="16"/>
          <w:szCs w:val="16"/>
          <w:lang w:val="en-CA"/>
        </w:rPr>
        <w:t>, Supp No 13, UN Doc A/810 (1948) 71, art 11(2) declares:</w:t>
      </w:r>
    </w:p>
    <w:p w14:paraId="51E12347" w14:textId="77777777" w:rsidR="00356280" w:rsidRPr="00793101" w:rsidRDefault="00356280" w:rsidP="0040644D">
      <w:pPr>
        <w:pStyle w:val="AIBodyText"/>
        <w:spacing w:after="0" w:line="240" w:lineRule="auto"/>
        <w:rPr>
          <w:sz w:val="16"/>
          <w:szCs w:val="16"/>
          <w:lang w:val="en-CA"/>
        </w:rPr>
      </w:pPr>
      <w:r w:rsidRPr="00793101">
        <w:rPr>
          <w:sz w:val="16"/>
          <w:szCs w:val="16"/>
          <w:lang w:val="en-CA"/>
        </w:rPr>
        <w:t>“No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w:t>
      </w:r>
    </w:p>
  </w:footnote>
  <w:footnote w:id="411">
    <w:p w14:paraId="45132AF7" w14:textId="77777777"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International Covenant on Civil and Political Rights</w:t>
      </w:r>
      <w:r w:rsidRPr="00793101">
        <w:rPr>
          <w:sz w:val="16"/>
          <w:szCs w:val="16"/>
          <w:lang w:val="en-CA"/>
        </w:rPr>
        <w:t>, 16 December 1966, 999 UNTS 171 (entered into force 23 March 1976) [</w:t>
      </w:r>
      <w:r w:rsidRPr="00793101">
        <w:rPr>
          <w:i/>
          <w:sz w:val="16"/>
          <w:szCs w:val="16"/>
          <w:lang w:val="en-CA"/>
        </w:rPr>
        <w:t>ICCPR</w:t>
      </w:r>
      <w:r w:rsidRPr="00793101">
        <w:rPr>
          <w:sz w:val="16"/>
          <w:szCs w:val="16"/>
          <w:lang w:val="en-CA"/>
        </w:rPr>
        <w:t xml:space="preserve">], art 15 reads: </w:t>
      </w:r>
    </w:p>
    <w:p w14:paraId="0B642D36" w14:textId="77777777" w:rsidR="00356280" w:rsidRPr="00793101" w:rsidRDefault="00356280" w:rsidP="0040644D">
      <w:pPr>
        <w:pStyle w:val="AIBodyText"/>
        <w:spacing w:after="0" w:line="240" w:lineRule="auto"/>
        <w:rPr>
          <w:sz w:val="16"/>
          <w:szCs w:val="16"/>
          <w:lang w:val="en-CA"/>
        </w:rPr>
      </w:pPr>
      <w:r w:rsidRPr="00793101">
        <w:rPr>
          <w:sz w:val="16"/>
          <w:szCs w:val="16"/>
          <w:lang w:val="en-CA"/>
        </w:rPr>
        <w:t xml:space="preserve">“(1) 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w:t>
      </w:r>
      <w:proofErr w:type="gramStart"/>
      <w:r w:rsidRPr="00793101">
        <w:rPr>
          <w:sz w:val="16"/>
          <w:szCs w:val="16"/>
          <w:lang w:val="en-CA"/>
        </w:rPr>
        <w:t>subsequent to</w:t>
      </w:r>
      <w:proofErr w:type="gramEnd"/>
      <w:r w:rsidRPr="00793101">
        <w:rPr>
          <w:sz w:val="16"/>
          <w:szCs w:val="16"/>
          <w:lang w:val="en-CA"/>
        </w:rPr>
        <w:t xml:space="preserve"> the commission of the offence, provision is made by law for the imposition of the lighter penalty, the offender shall benefit thereby. </w:t>
      </w:r>
    </w:p>
    <w:p w14:paraId="1D271E2D" w14:textId="77777777" w:rsidR="00356280" w:rsidRPr="00793101" w:rsidRDefault="00356280" w:rsidP="0040644D">
      <w:pPr>
        <w:pStyle w:val="AIBodyText"/>
        <w:spacing w:after="0" w:line="240" w:lineRule="auto"/>
        <w:rPr>
          <w:sz w:val="16"/>
          <w:szCs w:val="16"/>
          <w:lang w:val="en-CA"/>
        </w:rPr>
      </w:pPr>
      <w:r w:rsidRPr="00793101">
        <w:rPr>
          <w:sz w:val="16"/>
          <w:szCs w:val="16"/>
          <w:lang w:val="en-CA"/>
        </w:rPr>
        <w:t>2. Nothing in this article shall prejudice the trial and punishment of any person for any act or omission which, at the time when it was committed, was criminal according to the general principles of law recognized by the community of nations.”</w:t>
      </w:r>
    </w:p>
  </w:footnote>
  <w:footnote w:id="412">
    <w:p w14:paraId="00BD689D" w14:textId="3BE38DD0"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See, for example, Committee against Torture, </w:t>
      </w:r>
      <w:r w:rsidRPr="00793101">
        <w:rPr>
          <w:i/>
          <w:szCs w:val="16"/>
          <w:lang w:val="en-CA"/>
        </w:rPr>
        <w:t>Concluding observations – Spain</w:t>
      </w:r>
      <w:r w:rsidRPr="00793101">
        <w:rPr>
          <w:szCs w:val="16"/>
          <w:lang w:val="en-CA"/>
        </w:rPr>
        <w:t xml:space="preserve">, </w:t>
      </w:r>
      <w:r w:rsidRPr="00793101">
        <w:rPr>
          <w:i/>
          <w:iCs/>
          <w:szCs w:val="16"/>
          <w:lang w:val="en-CA"/>
        </w:rPr>
        <w:t>supra</w:t>
      </w:r>
      <w:r w:rsidRPr="00793101">
        <w:rPr>
          <w:szCs w:val="16"/>
          <w:lang w:val="en-CA"/>
        </w:rPr>
        <w:t xml:space="preserve"> note </w:t>
      </w:r>
      <w:r>
        <w:fldChar w:fldCharType="begin"/>
      </w:r>
      <w:r>
        <w:instrText xml:space="preserve"> NOTEREF _Ref267054697 \h  \* MERGEFORMAT </w:instrText>
      </w:r>
      <w:r>
        <w:fldChar w:fldCharType="separate"/>
      </w:r>
      <w:r w:rsidRPr="00E045AC">
        <w:rPr>
          <w:szCs w:val="16"/>
          <w:lang w:val="en-CA"/>
        </w:rPr>
        <w:t>380</w:t>
      </w:r>
      <w:r>
        <w:fldChar w:fldCharType="end"/>
      </w:r>
      <w:r w:rsidRPr="00793101">
        <w:rPr>
          <w:szCs w:val="16"/>
          <w:lang w:val="en-CA"/>
        </w:rPr>
        <w:t>.</w:t>
      </w:r>
    </w:p>
  </w:footnote>
  <w:footnote w:id="413">
    <w:p w14:paraId="7D62EE5A" w14:textId="77777777" w:rsidR="00356280" w:rsidRPr="001652CE" w:rsidRDefault="00356280" w:rsidP="00AA6144">
      <w:pPr>
        <w:pStyle w:val="FootnoteText"/>
        <w:spacing w:after="0" w:line="240" w:lineRule="auto"/>
      </w:pPr>
      <w:r>
        <w:rPr>
          <w:rStyle w:val="FootnoteReference"/>
        </w:rPr>
        <w:footnoteRef/>
      </w:r>
      <w:r>
        <w:t xml:space="preserve"> Interlocutory Decision on the Applicable Law: Terrorism, Conspiracy, Homicide, Perpetration, Cumulative Charging, STL-II-0111, Appeals Chamber (16 February 2011) at paras 132-133 (Special Tribunal for Lebanon).</w:t>
      </w:r>
    </w:p>
  </w:footnote>
  <w:footnote w:id="414">
    <w:p w14:paraId="030D0B96" w14:textId="19E96797" w:rsidR="00356280" w:rsidRPr="00FD1463" w:rsidRDefault="00356280" w:rsidP="00AA6144">
      <w:pPr>
        <w:pStyle w:val="Heading2"/>
        <w:spacing w:line="240" w:lineRule="auto"/>
        <w:rPr>
          <w:rFonts w:ascii="Verdana" w:hAnsi="Verdana"/>
          <w:color w:val="212529"/>
          <w:szCs w:val="16"/>
          <w:lang w:val="es-AR" w:eastAsia="en-US"/>
        </w:rPr>
      </w:pPr>
      <w:r w:rsidRPr="000C2340">
        <w:rPr>
          <w:rStyle w:val="FootnoteReference"/>
          <w:color w:val="000000" w:themeColor="text1"/>
          <w:sz w:val="16"/>
          <w:szCs w:val="16"/>
        </w:rPr>
        <w:footnoteRef/>
      </w:r>
      <w:r w:rsidRPr="000C2340">
        <w:rPr>
          <w:color w:val="000000" w:themeColor="text1"/>
          <w:sz w:val="16"/>
          <w:szCs w:val="16"/>
          <w:lang w:val="es-AR"/>
        </w:rPr>
        <w:t xml:space="preserve"> </w:t>
      </w:r>
      <w:proofErr w:type="spellStart"/>
      <w:r w:rsidRPr="00356280">
        <w:rPr>
          <w:rFonts w:ascii="Amnesty Trade Gothic" w:hAnsi="Amnesty Trade Gothic"/>
          <w:i/>
          <w:iCs/>
          <w:color w:val="000000"/>
          <w:sz w:val="16"/>
          <w:szCs w:val="24"/>
          <w:lang w:val="es-AR"/>
        </w:rPr>
        <w:t>Munyaneza</w:t>
      </w:r>
      <w:proofErr w:type="spellEnd"/>
      <w:r w:rsidRPr="00356280">
        <w:rPr>
          <w:rFonts w:ascii="Amnesty Trade Gothic" w:hAnsi="Amnesty Trade Gothic"/>
          <w:i/>
          <w:iCs/>
          <w:color w:val="000000"/>
          <w:sz w:val="16"/>
          <w:szCs w:val="24"/>
          <w:lang w:val="es-AR"/>
        </w:rPr>
        <w:t xml:space="preserve"> c. R.,</w:t>
      </w:r>
      <w:r w:rsidRPr="00356280">
        <w:rPr>
          <w:rFonts w:ascii="Amnesty Trade Gothic" w:hAnsi="Amnesty Trade Gothic"/>
          <w:color w:val="000000"/>
          <w:sz w:val="16"/>
          <w:szCs w:val="24"/>
          <w:lang w:val="es-AR"/>
        </w:rPr>
        <w:t xml:space="preserve"> 2014 QCCA 906 at paras 50-55.</w:t>
      </w:r>
    </w:p>
  </w:footnote>
  <w:footnote w:id="415">
    <w:p w14:paraId="575EF00D" w14:textId="393EF6BD" w:rsidR="00356280" w:rsidRPr="00793101" w:rsidRDefault="00356280" w:rsidP="005C5374">
      <w:pPr>
        <w:pStyle w:val="FootnoteText"/>
        <w:spacing w:after="0" w:line="240" w:lineRule="auto"/>
        <w:jc w:val="both"/>
        <w:rPr>
          <w:color w:val="auto"/>
          <w:szCs w:val="16"/>
          <w:lang w:val="fr-CA"/>
        </w:rPr>
      </w:pPr>
      <w:r w:rsidRPr="00793101">
        <w:rPr>
          <w:rStyle w:val="FootnoteReference"/>
          <w:color w:val="auto"/>
          <w:szCs w:val="16"/>
          <w:lang w:val="en-CA"/>
        </w:rPr>
        <w:footnoteRef/>
      </w:r>
      <w:r w:rsidRPr="00793101">
        <w:rPr>
          <w:color w:val="auto"/>
          <w:szCs w:val="16"/>
          <w:lang w:val="fr-CA"/>
        </w:rPr>
        <w:t xml:space="preserve"> </w:t>
      </w:r>
      <w:proofErr w:type="spellStart"/>
      <w:r w:rsidRPr="00793101">
        <w:rPr>
          <w:i/>
          <w:color w:val="auto"/>
          <w:szCs w:val="16"/>
          <w:lang w:val="fr-CA"/>
        </w:rPr>
        <w:t>Finta</w:t>
      </w:r>
      <w:proofErr w:type="spellEnd"/>
      <w:r w:rsidRPr="00793101">
        <w:rPr>
          <w:i/>
          <w:color w:val="auto"/>
          <w:szCs w:val="16"/>
          <w:lang w:val="fr-CA"/>
        </w:rPr>
        <w:t>, supra</w:t>
      </w:r>
      <w:r w:rsidRPr="00793101">
        <w:rPr>
          <w:color w:val="auto"/>
          <w:szCs w:val="16"/>
          <w:lang w:val="fr-CA"/>
        </w:rPr>
        <w:t xml:space="preserve"> note </w:t>
      </w:r>
      <w:r>
        <w:fldChar w:fldCharType="begin"/>
      </w:r>
      <w:r w:rsidRPr="000C692A">
        <w:rPr>
          <w:lang w:val="fr-CA"/>
        </w:rPr>
        <w:instrText xml:space="preserve"> NOTEREF _Ref267054720 \h  \* MERGEFORMAT </w:instrText>
      </w:r>
      <w:r>
        <w:fldChar w:fldCharType="separate"/>
      </w:r>
      <w:r w:rsidRPr="00E045AC">
        <w:rPr>
          <w:color w:val="auto"/>
          <w:szCs w:val="16"/>
          <w:lang w:val="fr-CA"/>
        </w:rPr>
        <w:t>104</w:t>
      </w:r>
      <w:r>
        <w:fldChar w:fldCharType="end"/>
      </w:r>
      <w:r w:rsidRPr="00793101">
        <w:rPr>
          <w:color w:val="auto"/>
          <w:szCs w:val="16"/>
          <w:lang w:val="fr-CA"/>
        </w:rPr>
        <w:t>.</w:t>
      </w:r>
    </w:p>
  </w:footnote>
  <w:footnote w:id="416">
    <w:p w14:paraId="702C03C1" w14:textId="77777777" w:rsidR="00356280" w:rsidRPr="00793101" w:rsidRDefault="00356280" w:rsidP="0040644D">
      <w:pPr>
        <w:pStyle w:val="FootnoteText"/>
        <w:spacing w:after="0" w:line="240" w:lineRule="auto"/>
        <w:jc w:val="both"/>
        <w:rPr>
          <w:color w:val="auto"/>
          <w:szCs w:val="16"/>
          <w:lang w:val="fr-CA"/>
        </w:rPr>
      </w:pPr>
      <w:r w:rsidRPr="00793101">
        <w:rPr>
          <w:rStyle w:val="FootnoteReference"/>
          <w:color w:val="auto"/>
          <w:szCs w:val="16"/>
          <w:lang w:val="en-CA"/>
        </w:rPr>
        <w:footnoteRef/>
      </w:r>
      <w:r w:rsidRPr="00793101">
        <w:rPr>
          <w:color w:val="auto"/>
          <w:szCs w:val="16"/>
          <w:lang w:val="fr-CA"/>
        </w:rPr>
        <w:t xml:space="preserve"> </w:t>
      </w:r>
      <w:proofErr w:type="spellStart"/>
      <w:r w:rsidRPr="00793101">
        <w:rPr>
          <w:i/>
          <w:color w:val="auto"/>
          <w:szCs w:val="16"/>
          <w:lang w:val="fr-CA"/>
        </w:rPr>
        <w:t>Ibid</w:t>
      </w:r>
      <w:proofErr w:type="spellEnd"/>
      <w:r w:rsidRPr="00793101">
        <w:rPr>
          <w:color w:val="auto"/>
          <w:szCs w:val="16"/>
          <w:lang w:val="fr-CA"/>
        </w:rPr>
        <w:t xml:space="preserve"> </w:t>
      </w:r>
      <w:proofErr w:type="spellStart"/>
      <w:r w:rsidRPr="00793101">
        <w:rPr>
          <w:color w:val="auto"/>
          <w:szCs w:val="16"/>
          <w:lang w:val="fr-CA"/>
        </w:rPr>
        <w:t>citing</w:t>
      </w:r>
      <w:proofErr w:type="spellEnd"/>
      <w:r w:rsidRPr="00793101">
        <w:rPr>
          <w:color w:val="auto"/>
          <w:szCs w:val="16"/>
          <w:lang w:val="fr-CA"/>
        </w:rPr>
        <w:t xml:space="preserve"> </w:t>
      </w:r>
      <w:r w:rsidRPr="00793101">
        <w:rPr>
          <w:i/>
          <w:color w:val="auto"/>
          <w:szCs w:val="16"/>
          <w:lang w:val="fr-CA"/>
        </w:rPr>
        <w:t>Rapport de la Commissions Deschênes</w:t>
      </w:r>
      <w:r w:rsidRPr="00793101">
        <w:rPr>
          <w:color w:val="auto"/>
          <w:szCs w:val="16"/>
          <w:lang w:val="fr-CA"/>
        </w:rPr>
        <w:t xml:space="preserve">, at 147 to 158; </w:t>
      </w:r>
      <w:r w:rsidRPr="00793101">
        <w:rPr>
          <w:i/>
          <w:color w:val="auto"/>
          <w:szCs w:val="16"/>
          <w:lang w:val="fr-CA"/>
        </w:rPr>
        <w:t>Procès-verbaux et témoignages du Comité mixte spécial du Sénat et de la Chambre des communes sur la Constitution du Canada</w:t>
      </w:r>
      <w:r w:rsidRPr="00793101">
        <w:rPr>
          <w:color w:val="auto"/>
          <w:szCs w:val="16"/>
          <w:lang w:val="fr-CA"/>
        </w:rPr>
        <w:t xml:space="preserve">, fascicule no 47 (28 janvier 1981) </w:t>
      </w:r>
      <w:proofErr w:type="gramStart"/>
      <w:r w:rsidRPr="00793101">
        <w:rPr>
          <w:color w:val="auto"/>
          <w:szCs w:val="16"/>
          <w:lang w:val="fr-CA"/>
        </w:rPr>
        <w:t>at  57</w:t>
      </w:r>
      <w:proofErr w:type="gramEnd"/>
      <w:r w:rsidRPr="00793101">
        <w:rPr>
          <w:color w:val="auto"/>
          <w:szCs w:val="16"/>
          <w:lang w:val="fr-CA"/>
        </w:rPr>
        <w:t>-59 and fascicule no 41 (20 janvier 1981) at 99.</w:t>
      </w:r>
    </w:p>
  </w:footnote>
  <w:footnote w:id="417">
    <w:p w14:paraId="6398E591"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British Columbia v. Imperial Tobacco Canada Ltd. </w:t>
      </w:r>
      <w:r w:rsidRPr="00793101">
        <w:rPr>
          <w:color w:val="auto"/>
          <w:szCs w:val="16"/>
          <w:lang w:val="en-CA"/>
        </w:rPr>
        <w:t>[2005] 2 SCR 473 at para 69.</w:t>
      </w:r>
    </w:p>
  </w:footnote>
  <w:footnote w:id="418">
    <w:p w14:paraId="7BABDF9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Ibid at </w:t>
      </w:r>
      <w:r w:rsidRPr="00793101">
        <w:rPr>
          <w:szCs w:val="16"/>
          <w:lang w:val="en-US"/>
        </w:rPr>
        <w:t xml:space="preserve">paras 69 and 71. See also Peter W Hogg, </w:t>
      </w:r>
      <w:r w:rsidRPr="00793101">
        <w:rPr>
          <w:i/>
          <w:szCs w:val="16"/>
          <w:lang w:val="en-US"/>
        </w:rPr>
        <w:t xml:space="preserve">Constitutional Law of Canada, </w:t>
      </w:r>
      <w:r w:rsidRPr="00793101">
        <w:rPr>
          <w:szCs w:val="16"/>
          <w:lang w:val="en-US"/>
        </w:rPr>
        <w:t>vol 2 (loose-leaf ed) (Carswell) at 48-49.</w:t>
      </w:r>
    </w:p>
  </w:footnote>
  <w:footnote w:id="419">
    <w:p w14:paraId="0BAD7DA0"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Crimes Against Humanity and War Crimes Act, supra </w:t>
      </w:r>
      <w:r w:rsidRPr="00793101">
        <w:rPr>
          <w:color w:val="auto"/>
          <w:szCs w:val="16"/>
          <w:lang w:val="en-CA"/>
        </w:rPr>
        <w:t>note 9,</w:t>
      </w:r>
      <w:r w:rsidRPr="00793101">
        <w:rPr>
          <w:i/>
          <w:color w:val="auto"/>
          <w:szCs w:val="16"/>
          <w:lang w:val="en-CA"/>
        </w:rPr>
        <w:t xml:space="preserve"> </w:t>
      </w:r>
      <w:r w:rsidRPr="00793101">
        <w:rPr>
          <w:color w:val="auto"/>
          <w:szCs w:val="16"/>
          <w:lang w:val="en-CA"/>
        </w:rPr>
        <w:t xml:space="preserve">s 6(1); Also see </w:t>
      </w:r>
      <w:r w:rsidRPr="00793101">
        <w:rPr>
          <w:i/>
          <w:color w:val="auto"/>
          <w:szCs w:val="16"/>
          <w:lang w:val="en-CA"/>
        </w:rPr>
        <w:t>Order Fixing October 23, 2000 as the Date of the Coming into Force of the Act</w:t>
      </w:r>
      <w:r w:rsidRPr="00793101">
        <w:rPr>
          <w:color w:val="auto"/>
          <w:szCs w:val="16"/>
          <w:lang w:val="en-CA"/>
        </w:rPr>
        <w:t>, SI/2000-95.</w:t>
      </w:r>
    </w:p>
  </w:footnote>
  <w:footnote w:id="420">
    <w:p w14:paraId="19B9079E" w14:textId="0D960315"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Crimes Against Humanity and War Crimes Act, supra </w:t>
      </w:r>
      <w:r w:rsidRPr="00793101">
        <w:rPr>
          <w:szCs w:val="16"/>
          <w:lang w:val="en-US"/>
        </w:rPr>
        <w:t xml:space="preserve">note </w:t>
      </w:r>
      <w:r>
        <w:fldChar w:fldCharType="begin"/>
      </w:r>
      <w:r>
        <w:instrText xml:space="preserve"> NOTEREF _Ref266965596 \h  \* MERGEFORMAT </w:instrText>
      </w:r>
      <w:r>
        <w:fldChar w:fldCharType="separate"/>
      </w:r>
      <w:r>
        <w:t>12</w:t>
      </w:r>
      <w:r>
        <w:fldChar w:fldCharType="end"/>
      </w:r>
      <w:r w:rsidRPr="00793101">
        <w:rPr>
          <w:szCs w:val="16"/>
          <w:lang w:val="en-US"/>
        </w:rPr>
        <w:t xml:space="preserve"> at s 4(1).</w:t>
      </w:r>
    </w:p>
  </w:footnote>
  <w:footnote w:id="421">
    <w:p w14:paraId="6A65FD7B" w14:textId="5FC1A189"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ICCPR</w:t>
      </w:r>
      <w:r w:rsidRPr="00793101">
        <w:rPr>
          <w:sz w:val="16"/>
          <w:szCs w:val="16"/>
          <w:lang w:val="en-CA"/>
        </w:rPr>
        <w:t>,</w:t>
      </w:r>
      <w:r w:rsidRPr="00793101">
        <w:rPr>
          <w:i/>
          <w:sz w:val="16"/>
          <w:szCs w:val="16"/>
          <w:lang w:val="en-CA"/>
        </w:rPr>
        <w:t xml:space="preserve"> supra</w:t>
      </w:r>
      <w:r w:rsidRPr="00793101">
        <w:rPr>
          <w:sz w:val="16"/>
          <w:szCs w:val="16"/>
          <w:lang w:val="en-CA"/>
        </w:rPr>
        <w:t xml:space="preserve"> note </w:t>
      </w:r>
      <w:r>
        <w:fldChar w:fldCharType="begin"/>
      </w:r>
      <w:r>
        <w:instrText xml:space="preserve"> NOTEREF _Ref267054773 \h  \* MERGEFORMAT </w:instrText>
      </w:r>
      <w:r>
        <w:fldChar w:fldCharType="separate"/>
      </w:r>
      <w:r w:rsidRPr="00E045AC">
        <w:rPr>
          <w:sz w:val="16"/>
          <w:szCs w:val="16"/>
          <w:lang w:val="en-CA"/>
        </w:rPr>
        <w:t>411</w:t>
      </w:r>
      <w:r>
        <w:fldChar w:fldCharType="end"/>
      </w:r>
      <w:r w:rsidRPr="00793101">
        <w:rPr>
          <w:sz w:val="16"/>
          <w:szCs w:val="16"/>
          <w:lang w:val="en-CA"/>
        </w:rPr>
        <w:t xml:space="preserve">, art 14 (7); American Convention on Human Rights, art. 8 (4); </w:t>
      </w:r>
      <w:r w:rsidRPr="00793101">
        <w:rPr>
          <w:i/>
          <w:sz w:val="16"/>
          <w:szCs w:val="16"/>
          <w:lang w:val="en-CA"/>
        </w:rPr>
        <w:t>Protocol I, supra</w:t>
      </w:r>
      <w:r w:rsidRPr="00793101">
        <w:rPr>
          <w:sz w:val="16"/>
          <w:szCs w:val="16"/>
          <w:lang w:val="en-CA"/>
        </w:rPr>
        <w:t xml:space="preserve"> note </w:t>
      </w:r>
      <w:r>
        <w:fldChar w:fldCharType="begin"/>
      </w:r>
      <w:r>
        <w:instrText xml:space="preserve"> NOTEREF _Ref266969551 \h  \* MERGEFORMAT </w:instrText>
      </w:r>
      <w:r>
        <w:fldChar w:fldCharType="separate"/>
      </w:r>
      <w:r w:rsidRPr="00E045AC">
        <w:rPr>
          <w:sz w:val="16"/>
          <w:szCs w:val="16"/>
          <w:lang w:val="en-CA"/>
        </w:rPr>
        <w:t>93</w:t>
      </w:r>
      <w:r>
        <w:fldChar w:fldCharType="end"/>
      </w:r>
      <w:r w:rsidRPr="00793101">
        <w:rPr>
          <w:sz w:val="16"/>
          <w:szCs w:val="16"/>
          <w:lang w:val="en-CA"/>
        </w:rPr>
        <w:t xml:space="preserve">, art 75 (4) (h); </w:t>
      </w:r>
      <w:r w:rsidRPr="00793101">
        <w:rPr>
          <w:i/>
          <w:sz w:val="16"/>
          <w:szCs w:val="16"/>
          <w:lang w:val="en-CA"/>
        </w:rPr>
        <w:t>ICTY Statute, supra</w:t>
      </w:r>
      <w:r w:rsidRPr="00793101">
        <w:rPr>
          <w:sz w:val="16"/>
          <w:szCs w:val="16"/>
          <w:lang w:val="en-CA"/>
        </w:rPr>
        <w:t xml:space="preserve"> note </w:t>
      </w:r>
      <w:r>
        <w:fldChar w:fldCharType="begin"/>
      </w:r>
      <w:r>
        <w:instrText xml:space="preserve"> NOTEREF _Ref267054553 \h  \* MERGEFORMAT </w:instrText>
      </w:r>
      <w:r>
        <w:fldChar w:fldCharType="separate"/>
      </w:r>
      <w:r w:rsidRPr="00E045AC">
        <w:rPr>
          <w:sz w:val="16"/>
          <w:szCs w:val="16"/>
          <w:lang w:val="en-CA"/>
        </w:rPr>
        <w:t>319</w:t>
      </w:r>
      <w:r>
        <w:fldChar w:fldCharType="end"/>
      </w:r>
      <w:r w:rsidRPr="00793101">
        <w:rPr>
          <w:sz w:val="16"/>
          <w:szCs w:val="16"/>
          <w:lang w:val="en-CA"/>
        </w:rPr>
        <w:t xml:space="preserve">, art 10 (1); </w:t>
      </w:r>
      <w:r w:rsidRPr="00793101">
        <w:rPr>
          <w:i/>
          <w:sz w:val="16"/>
          <w:szCs w:val="16"/>
          <w:lang w:val="en-CA"/>
        </w:rPr>
        <w:t>ICTR Statute</w:t>
      </w:r>
      <w:r w:rsidRPr="00793101">
        <w:rPr>
          <w:sz w:val="16"/>
          <w:szCs w:val="16"/>
          <w:lang w:val="en-CA"/>
        </w:rPr>
        <w:t>,</w:t>
      </w:r>
      <w:r w:rsidRPr="00793101">
        <w:rPr>
          <w:i/>
          <w:sz w:val="16"/>
          <w:szCs w:val="16"/>
          <w:lang w:val="en-CA"/>
        </w:rPr>
        <w:t xml:space="preserve"> supra</w:t>
      </w:r>
      <w:r w:rsidRPr="00793101">
        <w:rPr>
          <w:sz w:val="16"/>
          <w:szCs w:val="16"/>
          <w:lang w:val="en-CA"/>
        </w:rPr>
        <w:t xml:space="preserve"> note </w:t>
      </w:r>
      <w:r>
        <w:fldChar w:fldCharType="begin"/>
      </w:r>
      <w:r>
        <w:instrText xml:space="preserve"> NOTEREF _Ref267054553 \h  \* MERGEFORMAT </w:instrText>
      </w:r>
      <w:r>
        <w:fldChar w:fldCharType="separate"/>
      </w:r>
      <w:r w:rsidRPr="00E045AC">
        <w:rPr>
          <w:sz w:val="16"/>
          <w:szCs w:val="16"/>
          <w:lang w:val="en-CA"/>
        </w:rPr>
        <w:t>319</w:t>
      </w:r>
      <w:r>
        <w:fldChar w:fldCharType="end"/>
      </w:r>
      <w:r w:rsidRPr="00793101">
        <w:rPr>
          <w:sz w:val="16"/>
          <w:szCs w:val="16"/>
          <w:lang w:val="en-CA"/>
        </w:rPr>
        <w:t xml:space="preserve">, art 9 (1); </w:t>
      </w:r>
      <w:r w:rsidRPr="00793101">
        <w:rPr>
          <w:i/>
          <w:sz w:val="16"/>
          <w:szCs w:val="16"/>
          <w:lang w:val="en-CA"/>
        </w:rPr>
        <w:t xml:space="preserve">Sierra Leone Statute, supra </w:t>
      </w:r>
      <w:r w:rsidRPr="00793101">
        <w:rPr>
          <w:sz w:val="16"/>
          <w:szCs w:val="16"/>
          <w:lang w:val="en-CA"/>
        </w:rPr>
        <w:t xml:space="preserve">note </w:t>
      </w:r>
      <w:r>
        <w:fldChar w:fldCharType="begin"/>
      </w:r>
      <w:r>
        <w:instrText xml:space="preserve"> NOTEREF _Ref267054553 \h  \* MERGEFORMAT </w:instrText>
      </w:r>
      <w:r>
        <w:fldChar w:fldCharType="separate"/>
      </w:r>
      <w:r w:rsidRPr="00E045AC">
        <w:rPr>
          <w:sz w:val="16"/>
          <w:szCs w:val="16"/>
          <w:lang w:val="en-CA"/>
        </w:rPr>
        <w:t>319</w:t>
      </w:r>
      <w:r>
        <w:fldChar w:fldCharType="end"/>
      </w:r>
      <w:r w:rsidRPr="00793101">
        <w:rPr>
          <w:sz w:val="16"/>
          <w:szCs w:val="16"/>
          <w:lang w:val="en-CA"/>
        </w:rPr>
        <w:t>, art 9.</w:t>
      </w:r>
    </w:p>
  </w:footnote>
  <w:footnote w:id="422">
    <w:p w14:paraId="65BA43A7" w14:textId="77777777"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The Human Rights Committee has concluded that Article 14(7) of the ICCPR “does not guarantee </w:t>
      </w:r>
      <w:r w:rsidRPr="00793101">
        <w:rPr>
          <w:i/>
          <w:sz w:val="16"/>
          <w:szCs w:val="16"/>
          <w:lang w:val="en-CA"/>
        </w:rPr>
        <w:t xml:space="preserve">non bis in idem </w:t>
      </w:r>
      <w:proofErr w:type="gramStart"/>
      <w:r w:rsidRPr="00793101">
        <w:rPr>
          <w:sz w:val="16"/>
          <w:szCs w:val="16"/>
          <w:lang w:val="en-CA"/>
        </w:rPr>
        <w:t>with regard to</w:t>
      </w:r>
      <w:proofErr w:type="gramEnd"/>
      <w:r w:rsidRPr="00793101">
        <w:rPr>
          <w:sz w:val="16"/>
          <w:szCs w:val="16"/>
          <w:lang w:val="en-CA"/>
        </w:rPr>
        <w:t xml:space="preserve"> the national jurisdictions of two or more States. The Committee observes that this provision prohibits double jeopardy only </w:t>
      </w:r>
      <w:proofErr w:type="gramStart"/>
      <w:r w:rsidRPr="00793101">
        <w:rPr>
          <w:sz w:val="16"/>
          <w:szCs w:val="16"/>
          <w:lang w:val="en-CA"/>
        </w:rPr>
        <w:t>with regard to</w:t>
      </w:r>
      <w:proofErr w:type="gramEnd"/>
      <w:r w:rsidRPr="00793101">
        <w:rPr>
          <w:sz w:val="16"/>
          <w:szCs w:val="16"/>
          <w:lang w:val="en-CA"/>
        </w:rPr>
        <w:t xml:space="preserve"> an offence adjudicated in a given State.” </w:t>
      </w:r>
      <w:r w:rsidRPr="00793101">
        <w:rPr>
          <w:i/>
          <w:sz w:val="16"/>
          <w:szCs w:val="16"/>
          <w:lang w:val="en-CA"/>
        </w:rPr>
        <w:t>A.P. v. Italy</w:t>
      </w:r>
      <w:r w:rsidRPr="00793101">
        <w:rPr>
          <w:sz w:val="16"/>
          <w:szCs w:val="16"/>
          <w:lang w:val="en-CA"/>
        </w:rPr>
        <w:t xml:space="preserve">, No. 204/1986, 2 November 1987, 2 Selected Decisions of the Human Rights Committee under the Optional Protocol 67, UN Doc CCPR/C/OP/2, UN Sales No. E.89.XIV.1. This limitation was also recognized during the drafting of Article 14(7) of the ICCPR. See Marc J </w:t>
      </w:r>
      <w:proofErr w:type="spellStart"/>
      <w:r w:rsidRPr="00793101">
        <w:rPr>
          <w:sz w:val="16"/>
          <w:szCs w:val="16"/>
          <w:lang w:val="en-CA"/>
        </w:rPr>
        <w:t>Bossuyt</w:t>
      </w:r>
      <w:proofErr w:type="spellEnd"/>
      <w:r w:rsidRPr="00793101">
        <w:rPr>
          <w:sz w:val="16"/>
          <w:szCs w:val="16"/>
          <w:lang w:val="en-CA"/>
        </w:rPr>
        <w:t xml:space="preserve">, </w:t>
      </w:r>
      <w:r w:rsidRPr="00793101">
        <w:rPr>
          <w:i/>
          <w:sz w:val="16"/>
          <w:szCs w:val="16"/>
          <w:lang w:val="en-CA"/>
        </w:rPr>
        <w:t xml:space="preserve">Guide to the </w:t>
      </w:r>
      <w:r w:rsidRPr="00793101">
        <w:rPr>
          <w:sz w:val="16"/>
          <w:szCs w:val="16"/>
          <w:lang w:val="en-CA"/>
        </w:rPr>
        <w:t>“</w:t>
      </w:r>
      <w:r w:rsidRPr="00793101">
        <w:rPr>
          <w:i/>
          <w:sz w:val="16"/>
          <w:szCs w:val="16"/>
          <w:lang w:val="en-CA"/>
        </w:rPr>
        <w:t xml:space="preserve">Travaux </w:t>
      </w:r>
      <w:proofErr w:type="spellStart"/>
      <w:r w:rsidRPr="00793101">
        <w:rPr>
          <w:i/>
          <w:sz w:val="16"/>
          <w:szCs w:val="16"/>
          <w:lang w:val="en-CA"/>
        </w:rPr>
        <w:t>Préparatoires</w:t>
      </w:r>
      <w:proofErr w:type="spellEnd"/>
      <w:r w:rsidRPr="00793101">
        <w:rPr>
          <w:i/>
          <w:sz w:val="16"/>
          <w:szCs w:val="16"/>
          <w:lang w:val="en-CA"/>
        </w:rPr>
        <w:t>”</w:t>
      </w:r>
      <w:r w:rsidRPr="00793101">
        <w:rPr>
          <w:sz w:val="16"/>
          <w:szCs w:val="16"/>
          <w:lang w:val="en-CA"/>
        </w:rPr>
        <w:t xml:space="preserve"> </w:t>
      </w:r>
      <w:r w:rsidRPr="00793101">
        <w:rPr>
          <w:i/>
          <w:sz w:val="16"/>
          <w:szCs w:val="16"/>
          <w:lang w:val="en-CA"/>
        </w:rPr>
        <w:t>of the International Covenant on Civil and Political Rights</w:t>
      </w:r>
      <w:r w:rsidRPr="00793101">
        <w:rPr>
          <w:sz w:val="16"/>
          <w:szCs w:val="16"/>
          <w:lang w:val="en-CA"/>
        </w:rPr>
        <w:t xml:space="preserve"> (Dordrecht: </w:t>
      </w:r>
      <w:proofErr w:type="spellStart"/>
      <w:r w:rsidRPr="00793101">
        <w:rPr>
          <w:sz w:val="16"/>
          <w:szCs w:val="16"/>
          <w:lang w:val="en-CA"/>
        </w:rPr>
        <w:t>Martinus</w:t>
      </w:r>
      <w:proofErr w:type="spellEnd"/>
      <w:r w:rsidRPr="00793101">
        <w:rPr>
          <w:sz w:val="16"/>
          <w:szCs w:val="16"/>
          <w:lang w:val="en-CA"/>
        </w:rPr>
        <w:t xml:space="preserve"> </w:t>
      </w:r>
      <w:proofErr w:type="spellStart"/>
      <w:r w:rsidRPr="00793101">
        <w:rPr>
          <w:sz w:val="16"/>
          <w:szCs w:val="16"/>
          <w:lang w:val="en-CA"/>
        </w:rPr>
        <w:t>Nijhoff</w:t>
      </w:r>
      <w:proofErr w:type="spellEnd"/>
      <w:r w:rsidRPr="00793101">
        <w:rPr>
          <w:sz w:val="16"/>
          <w:szCs w:val="16"/>
          <w:lang w:val="en-CA"/>
        </w:rPr>
        <w:t xml:space="preserve">, 1987) at 316-318; Manfred Nowak, </w:t>
      </w:r>
      <w:r w:rsidRPr="00793101">
        <w:rPr>
          <w:i/>
          <w:sz w:val="16"/>
          <w:szCs w:val="16"/>
          <w:lang w:val="en-CA"/>
        </w:rPr>
        <w:t>UN Covenant on Civil and Political Rights: CCPR Commentary</w:t>
      </w:r>
      <w:r w:rsidRPr="00793101">
        <w:rPr>
          <w:sz w:val="16"/>
          <w:szCs w:val="16"/>
          <w:lang w:val="en-CA"/>
        </w:rPr>
        <w:t xml:space="preserve"> (</w:t>
      </w:r>
      <w:proofErr w:type="spellStart"/>
      <w:r w:rsidRPr="00793101">
        <w:rPr>
          <w:sz w:val="16"/>
          <w:szCs w:val="16"/>
          <w:lang w:val="en-CA"/>
        </w:rPr>
        <w:t>Kehl</w:t>
      </w:r>
      <w:proofErr w:type="spellEnd"/>
      <w:r w:rsidRPr="00793101">
        <w:rPr>
          <w:sz w:val="16"/>
          <w:szCs w:val="16"/>
          <w:lang w:val="en-CA"/>
        </w:rPr>
        <w:t xml:space="preserve"> am Rhein: NP Engel, 1993) at 272-273; Dominic McGoldrick, </w:t>
      </w:r>
      <w:r w:rsidRPr="00793101">
        <w:rPr>
          <w:i/>
          <w:sz w:val="16"/>
          <w:szCs w:val="16"/>
          <w:lang w:val="en-CA"/>
        </w:rPr>
        <w:t>The Human Rights Committee: Its Role in the Development of the International Covenant on Civil and Political Rights</w:t>
      </w:r>
      <w:r w:rsidRPr="00793101">
        <w:rPr>
          <w:sz w:val="16"/>
          <w:szCs w:val="16"/>
          <w:lang w:val="en-CA"/>
        </w:rPr>
        <w:t xml:space="preserve"> (Oxford: Clarendon Press, 1991). The ICTY Trial Chamber in the </w:t>
      </w:r>
      <w:proofErr w:type="spellStart"/>
      <w:r w:rsidRPr="00793101">
        <w:rPr>
          <w:i/>
          <w:sz w:val="16"/>
          <w:szCs w:val="16"/>
          <w:lang w:val="en-CA"/>
        </w:rPr>
        <w:t>Tadić</w:t>
      </w:r>
      <w:proofErr w:type="spellEnd"/>
      <w:r w:rsidRPr="00793101">
        <w:rPr>
          <w:i/>
          <w:sz w:val="16"/>
          <w:szCs w:val="16"/>
          <w:lang w:val="en-CA"/>
        </w:rPr>
        <w:t xml:space="preserve"> </w:t>
      </w:r>
      <w:r w:rsidRPr="00793101">
        <w:rPr>
          <w:sz w:val="16"/>
          <w:szCs w:val="16"/>
          <w:lang w:val="en-CA"/>
        </w:rPr>
        <w:t xml:space="preserve">case reached the same conclusion. </w:t>
      </w:r>
      <w:r w:rsidRPr="00793101">
        <w:rPr>
          <w:i/>
          <w:sz w:val="16"/>
          <w:szCs w:val="16"/>
          <w:lang w:val="en-CA"/>
        </w:rPr>
        <w:t xml:space="preserve">Prosecutor v </w:t>
      </w:r>
      <w:proofErr w:type="spellStart"/>
      <w:r w:rsidRPr="00793101">
        <w:rPr>
          <w:i/>
          <w:sz w:val="16"/>
          <w:szCs w:val="16"/>
          <w:lang w:val="en-CA"/>
        </w:rPr>
        <w:t>Dusko</w:t>
      </w:r>
      <w:proofErr w:type="spellEnd"/>
      <w:r w:rsidRPr="00793101">
        <w:rPr>
          <w:i/>
          <w:sz w:val="16"/>
          <w:szCs w:val="16"/>
          <w:lang w:val="en-CA"/>
        </w:rPr>
        <w:t xml:space="preserve"> Tadic,</w:t>
      </w:r>
      <w:r w:rsidRPr="00793101">
        <w:rPr>
          <w:sz w:val="16"/>
          <w:szCs w:val="16"/>
          <w:lang w:val="en-CA"/>
        </w:rPr>
        <w:t xml:space="preserve"> Case No IT-94-1-A, 15 July 1999.</w:t>
      </w:r>
    </w:p>
  </w:footnote>
  <w:footnote w:id="423">
    <w:p w14:paraId="35C2540E" w14:textId="2E2705FB"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Criminal Code, supra </w:t>
      </w:r>
      <w:r w:rsidRPr="00793101">
        <w:rPr>
          <w:szCs w:val="16"/>
          <w:lang w:val="en-US"/>
        </w:rPr>
        <w:t xml:space="preserve">note </w:t>
      </w:r>
      <w:r>
        <w:fldChar w:fldCharType="begin"/>
      </w:r>
      <w:r>
        <w:instrText xml:space="preserve"> NOTEREF _Ref266965463 \h  \* MERGEFORMAT </w:instrText>
      </w:r>
      <w:r>
        <w:fldChar w:fldCharType="separate"/>
      </w:r>
      <w:r>
        <w:t>10</w:t>
      </w:r>
      <w:r>
        <w:fldChar w:fldCharType="end"/>
      </w:r>
      <w:r w:rsidRPr="00793101">
        <w:rPr>
          <w:szCs w:val="16"/>
          <w:lang w:val="en-US"/>
        </w:rPr>
        <w:t>,</w:t>
      </w:r>
      <w:r w:rsidRPr="00793101">
        <w:rPr>
          <w:i/>
          <w:szCs w:val="16"/>
          <w:lang w:val="en-US"/>
        </w:rPr>
        <w:t xml:space="preserve"> </w:t>
      </w:r>
      <w:r w:rsidRPr="00793101">
        <w:rPr>
          <w:szCs w:val="16"/>
          <w:lang w:val="en-US"/>
        </w:rPr>
        <w:t>s 607.</w:t>
      </w:r>
    </w:p>
  </w:footnote>
  <w:footnote w:id="424">
    <w:p w14:paraId="7B1F769F"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R v Riddle</w:t>
      </w:r>
      <w:r w:rsidRPr="00793101">
        <w:rPr>
          <w:szCs w:val="16"/>
          <w:lang w:val="en-US"/>
        </w:rPr>
        <w:t xml:space="preserve"> [1980] 1 SCR 380.</w:t>
      </w:r>
    </w:p>
  </w:footnote>
  <w:footnote w:id="425">
    <w:p w14:paraId="0116B44A"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R v </w:t>
      </w:r>
      <w:proofErr w:type="spellStart"/>
      <w:r w:rsidRPr="00793101">
        <w:rPr>
          <w:i/>
          <w:szCs w:val="16"/>
          <w:lang w:val="en-US"/>
        </w:rPr>
        <w:t>Mahalingan</w:t>
      </w:r>
      <w:proofErr w:type="spellEnd"/>
      <w:r w:rsidRPr="00793101">
        <w:rPr>
          <w:szCs w:val="16"/>
          <w:lang w:val="en-US"/>
        </w:rPr>
        <w:t>, [2008] 3 SCR 316 [</w:t>
      </w:r>
      <w:proofErr w:type="spellStart"/>
      <w:r w:rsidRPr="00793101">
        <w:rPr>
          <w:i/>
          <w:szCs w:val="16"/>
          <w:lang w:val="en-US"/>
        </w:rPr>
        <w:t>Mahalingan</w:t>
      </w:r>
      <w:proofErr w:type="spellEnd"/>
      <w:r w:rsidRPr="00793101">
        <w:rPr>
          <w:szCs w:val="16"/>
          <w:lang w:val="en-US"/>
        </w:rPr>
        <w:t xml:space="preserve">] at para 16. See also </w:t>
      </w:r>
      <w:proofErr w:type="spellStart"/>
      <w:r w:rsidRPr="00793101">
        <w:rPr>
          <w:i/>
          <w:szCs w:val="16"/>
          <w:lang w:val="en-US"/>
        </w:rPr>
        <w:t>Gushue</w:t>
      </w:r>
      <w:proofErr w:type="spellEnd"/>
      <w:r w:rsidRPr="00793101">
        <w:rPr>
          <w:i/>
          <w:szCs w:val="16"/>
          <w:lang w:val="en-US"/>
        </w:rPr>
        <w:t xml:space="preserve"> v R</w:t>
      </w:r>
      <w:r w:rsidRPr="00793101">
        <w:rPr>
          <w:szCs w:val="16"/>
          <w:lang w:val="en-US"/>
        </w:rPr>
        <w:t xml:space="preserve">, [1980] 1 SCR </w:t>
      </w:r>
      <w:proofErr w:type="gramStart"/>
      <w:r w:rsidRPr="00793101">
        <w:rPr>
          <w:szCs w:val="16"/>
          <w:lang w:val="en-US"/>
        </w:rPr>
        <w:t>798;</w:t>
      </w:r>
      <w:proofErr w:type="gramEnd"/>
      <w:r w:rsidRPr="00793101">
        <w:rPr>
          <w:szCs w:val="16"/>
          <w:lang w:val="en-US"/>
        </w:rPr>
        <w:t xml:space="preserve"> </w:t>
      </w:r>
      <w:proofErr w:type="spellStart"/>
      <w:r w:rsidRPr="00793101">
        <w:rPr>
          <w:i/>
          <w:szCs w:val="16"/>
          <w:lang w:val="en-US"/>
        </w:rPr>
        <w:t>Grdic</w:t>
      </w:r>
      <w:proofErr w:type="spellEnd"/>
      <w:r w:rsidRPr="00793101">
        <w:rPr>
          <w:i/>
          <w:szCs w:val="16"/>
          <w:lang w:val="en-US"/>
        </w:rPr>
        <w:t xml:space="preserve"> v The Queen</w:t>
      </w:r>
      <w:r w:rsidRPr="00793101">
        <w:rPr>
          <w:szCs w:val="16"/>
          <w:lang w:val="en-US"/>
        </w:rPr>
        <w:t>, [1985] 1 SCR 810.</w:t>
      </w:r>
    </w:p>
  </w:footnote>
  <w:footnote w:id="426">
    <w:p w14:paraId="5F0F3E8B" w14:textId="3ED9F171" w:rsidR="00356280" w:rsidRPr="00356280" w:rsidRDefault="00356280" w:rsidP="0040644D">
      <w:pPr>
        <w:pStyle w:val="FootnoteText"/>
        <w:spacing w:after="0" w:line="240" w:lineRule="auto"/>
        <w:rPr>
          <w:szCs w:val="16"/>
          <w:lang w:val="es-AR"/>
        </w:rPr>
      </w:pPr>
      <w:r w:rsidRPr="00793101">
        <w:rPr>
          <w:rStyle w:val="FootnoteReference"/>
          <w:szCs w:val="16"/>
        </w:rPr>
        <w:footnoteRef/>
      </w:r>
      <w:r w:rsidRPr="00356280">
        <w:rPr>
          <w:szCs w:val="16"/>
          <w:lang w:val="es-AR"/>
        </w:rPr>
        <w:t xml:space="preserve"> </w:t>
      </w:r>
      <w:proofErr w:type="spellStart"/>
      <w:r w:rsidRPr="00356280">
        <w:rPr>
          <w:i/>
          <w:szCs w:val="16"/>
          <w:lang w:val="es-AR"/>
        </w:rPr>
        <w:t>Mahalingan</w:t>
      </w:r>
      <w:proofErr w:type="spellEnd"/>
      <w:r w:rsidRPr="00356280">
        <w:rPr>
          <w:szCs w:val="16"/>
          <w:lang w:val="es-AR"/>
        </w:rPr>
        <w:t xml:space="preserve">, </w:t>
      </w:r>
      <w:r w:rsidRPr="00356280">
        <w:rPr>
          <w:i/>
          <w:szCs w:val="16"/>
          <w:lang w:val="es-AR"/>
        </w:rPr>
        <w:t>supra</w:t>
      </w:r>
      <w:r w:rsidRPr="00356280">
        <w:rPr>
          <w:szCs w:val="16"/>
          <w:lang w:val="es-AR"/>
        </w:rPr>
        <w:t xml:space="preserve"> note </w:t>
      </w:r>
      <w:r>
        <w:fldChar w:fldCharType="begin"/>
      </w:r>
      <w:r w:rsidRPr="00356280">
        <w:rPr>
          <w:lang w:val="es-AR"/>
        </w:rPr>
        <w:instrText xml:space="preserve"> NOTEREF _Ref267054865 \h  \* MERGEFORMAT </w:instrText>
      </w:r>
      <w:r>
        <w:fldChar w:fldCharType="separate"/>
      </w:r>
      <w:r w:rsidRPr="00356280">
        <w:rPr>
          <w:szCs w:val="16"/>
          <w:lang w:val="es-AR"/>
        </w:rPr>
        <w:t>425</w:t>
      </w:r>
      <w:r>
        <w:fldChar w:fldCharType="end"/>
      </w:r>
      <w:r w:rsidRPr="00356280">
        <w:rPr>
          <w:szCs w:val="16"/>
          <w:lang w:val="es-AR"/>
        </w:rPr>
        <w:t xml:space="preserve"> at paras 14-20.</w:t>
      </w:r>
    </w:p>
  </w:footnote>
  <w:footnote w:id="427">
    <w:p w14:paraId="66DF3529"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David Goetz, Parliamentary Research Branch, Law and Government Division, </w:t>
      </w:r>
      <w:r w:rsidRPr="00793101">
        <w:rPr>
          <w:i/>
          <w:szCs w:val="16"/>
        </w:rPr>
        <w:t>Bill C-19: Crimes Against Humanity Act, LS-230E</w:t>
      </w:r>
      <w:r w:rsidRPr="00793101">
        <w:rPr>
          <w:szCs w:val="16"/>
        </w:rPr>
        <w:t>, 5 April 2000, online: Government of Canada Publications &lt;http://publications.gc.ca/Collection-R/LoPBdP/LS/362/c19-e.htm&gt;.</w:t>
      </w:r>
    </w:p>
  </w:footnote>
  <w:footnote w:id="428">
    <w:p w14:paraId="1C0742F5" w14:textId="6D6BB823"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 xml:space="preserve">Crimes Against Humanity and War Crimes Act, supra note </w:t>
      </w:r>
      <w:r>
        <w:fldChar w:fldCharType="begin"/>
      </w:r>
      <w:r>
        <w:instrText xml:space="preserve"> NOTEREF _Ref266965596 \h  \* MERGEFORMAT </w:instrText>
      </w:r>
      <w:r>
        <w:fldChar w:fldCharType="separate"/>
      </w:r>
      <w:r>
        <w:t>12</w:t>
      </w:r>
      <w:r>
        <w:fldChar w:fldCharType="end"/>
      </w:r>
      <w:r w:rsidRPr="000C692A">
        <w:rPr>
          <w:i/>
          <w:szCs w:val="16"/>
          <w:lang w:val="en-US"/>
        </w:rPr>
        <w:t xml:space="preserve">, </w:t>
      </w:r>
      <w:r w:rsidRPr="000C692A">
        <w:rPr>
          <w:szCs w:val="16"/>
          <w:lang w:val="en-US"/>
        </w:rPr>
        <w:t>s 12(2).</w:t>
      </w:r>
    </w:p>
  </w:footnote>
  <w:footnote w:id="429">
    <w:p w14:paraId="5DA07B68" w14:textId="5F1C7F5B"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 xml:space="preserve">Criminal Code, supra note </w:t>
      </w:r>
      <w:r>
        <w:fldChar w:fldCharType="begin"/>
      </w:r>
      <w:r>
        <w:instrText xml:space="preserve"> NOTEREF _Ref266965463 \h  \* MERGEFORMAT </w:instrText>
      </w:r>
      <w:r>
        <w:fldChar w:fldCharType="separate"/>
      </w:r>
      <w:r>
        <w:t>10</w:t>
      </w:r>
      <w:r>
        <w:fldChar w:fldCharType="end"/>
      </w:r>
      <w:r w:rsidRPr="000C692A">
        <w:rPr>
          <w:i/>
          <w:szCs w:val="16"/>
          <w:lang w:val="en-US"/>
        </w:rPr>
        <w:t xml:space="preserve">, </w:t>
      </w:r>
      <w:r w:rsidRPr="000C692A">
        <w:rPr>
          <w:szCs w:val="16"/>
          <w:lang w:val="en-US"/>
        </w:rPr>
        <w:t>s 607(6).</w:t>
      </w:r>
    </w:p>
  </w:footnote>
  <w:footnote w:id="430">
    <w:p w14:paraId="70AB2CC7" w14:textId="5E837C3F"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Canadian </w:t>
      </w:r>
      <w:r w:rsidRPr="00793101">
        <w:rPr>
          <w:i/>
          <w:szCs w:val="16"/>
          <w:lang w:val="en-US"/>
        </w:rPr>
        <w:t>Charter of Rights and Freedoms, supra</w:t>
      </w:r>
      <w:r w:rsidRPr="00793101">
        <w:rPr>
          <w:szCs w:val="16"/>
          <w:lang w:val="en-US"/>
        </w:rPr>
        <w:t xml:space="preserve"> note </w:t>
      </w:r>
      <w:r>
        <w:fldChar w:fldCharType="begin"/>
      </w:r>
      <w:r>
        <w:instrText xml:space="preserve"> NOTEREF _Ref267055058 \h  \* MERGEFORMAT </w:instrText>
      </w:r>
      <w:r>
        <w:fldChar w:fldCharType="separate"/>
      </w:r>
      <w:r>
        <w:t>11</w:t>
      </w:r>
      <w:r>
        <w:fldChar w:fldCharType="end"/>
      </w:r>
      <w:r w:rsidRPr="00793101">
        <w:rPr>
          <w:szCs w:val="16"/>
          <w:lang w:val="en-US"/>
        </w:rPr>
        <w:t>, s 11(h).</w:t>
      </w:r>
    </w:p>
  </w:footnote>
  <w:footnote w:id="431">
    <w:p w14:paraId="71E1D2F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R v Pan; R v Sawyer,</w:t>
      </w:r>
      <w:r w:rsidRPr="00793101">
        <w:rPr>
          <w:szCs w:val="16"/>
          <w:lang w:val="en-US"/>
        </w:rPr>
        <w:t xml:space="preserve"> [2001] 2 SCR 344.</w:t>
      </w:r>
    </w:p>
  </w:footnote>
  <w:footnote w:id="432">
    <w:p w14:paraId="7F68281F"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Ibid </w:t>
      </w:r>
      <w:r w:rsidRPr="00793101">
        <w:rPr>
          <w:szCs w:val="16"/>
          <w:lang w:val="en-US"/>
        </w:rPr>
        <w:t>at paras 113-114.</w:t>
      </w:r>
    </w:p>
  </w:footnote>
  <w:footnote w:id="433">
    <w:p w14:paraId="59D822F9"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bCs/>
          <w:i/>
          <w:szCs w:val="16"/>
          <w:lang w:val="en-US"/>
        </w:rPr>
        <w:t>R v Wigglesworth</w:t>
      </w:r>
      <w:r w:rsidRPr="00793101">
        <w:rPr>
          <w:bCs/>
          <w:szCs w:val="16"/>
          <w:lang w:val="en-US"/>
        </w:rPr>
        <w:t xml:space="preserve"> (1984), SJ no 204 SKCA at para 11.</w:t>
      </w:r>
    </w:p>
  </w:footnote>
  <w:footnote w:id="434">
    <w:p w14:paraId="53C29215"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bCs/>
          <w:i/>
          <w:szCs w:val="16"/>
          <w:lang w:val="en-US"/>
        </w:rPr>
        <w:t xml:space="preserve">R v </w:t>
      </w:r>
      <w:proofErr w:type="spellStart"/>
      <w:r w:rsidRPr="00793101">
        <w:rPr>
          <w:bCs/>
          <w:i/>
          <w:szCs w:val="16"/>
          <w:lang w:val="en-US"/>
        </w:rPr>
        <w:t>Kienapple</w:t>
      </w:r>
      <w:proofErr w:type="spellEnd"/>
      <w:r w:rsidRPr="00793101">
        <w:rPr>
          <w:bCs/>
          <w:szCs w:val="16"/>
          <w:lang w:val="en-US"/>
        </w:rPr>
        <w:t xml:space="preserve"> (1974), SCJ no 76.</w:t>
      </w:r>
    </w:p>
  </w:footnote>
  <w:footnote w:id="435">
    <w:p w14:paraId="6A6B117C" w14:textId="0DCC4652" w:rsidR="00356280" w:rsidRPr="000C692A" w:rsidRDefault="00356280" w:rsidP="0040644D">
      <w:pPr>
        <w:pStyle w:val="FootnoteText"/>
        <w:spacing w:after="0" w:line="240" w:lineRule="auto"/>
        <w:jc w:val="both"/>
        <w:rPr>
          <w:color w:val="auto"/>
          <w:szCs w:val="16"/>
          <w:lang w:val="en-US"/>
        </w:rPr>
      </w:pPr>
      <w:r w:rsidRPr="00793101">
        <w:rPr>
          <w:rStyle w:val="FootnoteReference"/>
          <w:color w:val="auto"/>
          <w:szCs w:val="16"/>
          <w:lang w:val="en-CA"/>
        </w:rPr>
        <w:footnoteRef/>
      </w:r>
      <w:r w:rsidRPr="000C692A">
        <w:rPr>
          <w:color w:val="auto"/>
          <w:szCs w:val="16"/>
          <w:lang w:val="en-US"/>
        </w:rPr>
        <w:t xml:space="preserve"> Béliveau &amp; </w:t>
      </w:r>
      <w:proofErr w:type="spellStart"/>
      <w:r w:rsidRPr="000C692A">
        <w:rPr>
          <w:color w:val="auto"/>
          <w:szCs w:val="16"/>
          <w:lang w:val="en-US"/>
        </w:rPr>
        <w:t>Vauclair</w:t>
      </w:r>
      <w:proofErr w:type="spellEnd"/>
      <w:r w:rsidRPr="000C692A">
        <w:rPr>
          <w:color w:val="auto"/>
          <w:szCs w:val="16"/>
          <w:lang w:val="en-US"/>
        </w:rPr>
        <w:t xml:space="preserve">, </w:t>
      </w:r>
      <w:r w:rsidRPr="000C692A">
        <w:rPr>
          <w:i/>
          <w:color w:val="auto"/>
          <w:szCs w:val="16"/>
          <w:lang w:val="en-US"/>
        </w:rPr>
        <w:t>supra</w:t>
      </w:r>
      <w:r w:rsidRPr="000C692A">
        <w:rPr>
          <w:color w:val="auto"/>
          <w:szCs w:val="16"/>
          <w:lang w:val="en-US"/>
        </w:rPr>
        <w:t xml:space="preserve"> note </w:t>
      </w:r>
      <w:r>
        <w:fldChar w:fldCharType="begin"/>
      </w:r>
      <w:r>
        <w:instrText xml:space="preserve"> NOTEREF _Ref267055074 \h  \* MERGEFORMAT </w:instrText>
      </w:r>
      <w:r>
        <w:fldChar w:fldCharType="separate"/>
      </w:r>
      <w:r w:rsidRPr="00E045AC">
        <w:rPr>
          <w:color w:val="auto"/>
          <w:szCs w:val="16"/>
          <w:lang w:val="en-US"/>
        </w:rPr>
        <w:t>377</w:t>
      </w:r>
      <w:r>
        <w:fldChar w:fldCharType="end"/>
      </w:r>
      <w:r w:rsidRPr="000C692A">
        <w:rPr>
          <w:color w:val="auto"/>
          <w:szCs w:val="16"/>
          <w:lang w:val="en-US"/>
        </w:rPr>
        <w:t xml:space="preserve"> at para 75; </w:t>
      </w:r>
      <w:r w:rsidRPr="000C692A">
        <w:rPr>
          <w:i/>
          <w:color w:val="auto"/>
          <w:szCs w:val="16"/>
          <w:lang w:val="en-US"/>
        </w:rPr>
        <w:t>Department of Justice Act</w:t>
      </w:r>
      <w:r w:rsidRPr="000C692A">
        <w:rPr>
          <w:color w:val="auto"/>
          <w:szCs w:val="16"/>
          <w:lang w:val="en-US"/>
        </w:rPr>
        <w:t>, RSC 1985, c J-2, s 2(2).</w:t>
      </w:r>
    </w:p>
  </w:footnote>
  <w:footnote w:id="436">
    <w:p w14:paraId="288AA46E" w14:textId="77777777" w:rsidR="00356280" w:rsidRPr="00793101" w:rsidRDefault="00356280" w:rsidP="0040644D">
      <w:pPr>
        <w:pStyle w:val="FootnoteText"/>
        <w:spacing w:after="0" w:line="240" w:lineRule="auto"/>
        <w:rPr>
          <w:bCs/>
          <w:szCs w:val="16"/>
          <w:lang w:val="en-US"/>
        </w:rPr>
      </w:pPr>
      <w:r w:rsidRPr="00793101">
        <w:rPr>
          <w:rStyle w:val="FootnoteReference"/>
          <w:szCs w:val="16"/>
        </w:rPr>
        <w:footnoteRef/>
      </w:r>
      <w:r w:rsidRPr="00793101">
        <w:rPr>
          <w:szCs w:val="16"/>
        </w:rPr>
        <w:t xml:space="preserve"> </w:t>
      </w:r>
      <w:r w:rsidRPr="00793101">
        <w:rPr>
          <w:bCs/>
          <w:i/>
          <w:szCs w:val="16"/>
          <w:lang w:val="en-US"/>
        </w:rPr>
        <w:t>An Act respecting the office of the Director of Public Prosecutions,</w:t>
      </w:r>
      <w:r w:rsidRPr="00793101">
        <w:rPr>
          <w:bCs/>
          <w:szCs w:val="16"/>
          <w:lang w:val="en-US"/>
        </w:rPr>
        <w:t xml:space="preserve"> SC 2006, c 9, s 121, s 3(4).</w:t>
      </w:r>
    </w:p>
  </w:footnote>
  <w:footnote w:id="437">
    <w:p w14:paraId="69D2D664" w14:textId="0B1CBB19" w:rsidR="00356280" w:rsidRPr="00793101" w:rsidRDefault="00356280" w:rsidP="0040644D">
      <w:pPr>
        <w:pStyle w:val="FootnoteText"/>
        <w:spacing w:after="0" w:line="240" w:lineRule="auto"/>
        <w:jc w:val="both"/>
        <w:rPr>
          <w:color w:val="auto"/>
          <w:szCs w:val="16"/>
          <w:lang w:val="fr-CA"/>
        </w:rPr>
      </w:pPr>
      <w:r w:rsidRPr="00793101">
        <w:rPr>
          <w:rStyle w:val="FootnoteReference"/>
          <w:color w:val="auto"/>
          <w:szCs w:val="16"/>
          <w:lang w:val="en-CA"/>
        </w:rPr>
        <w:footnoteRef/>
      </w:r>
      <w:r w:rsidRPr="00793101">
        <w:rPr>
          <w:color w:val="auto"/>
          <w:szCs w:val="16"/>
          <w:lang w:val="fr-CA"/>
        </w:rPr>
        <w:t xml:space="preserve"> B</w:t>
      </w:r>
      <w:proofErr w:type="spellStart"/>
      <w:r w:rsidRPr="00793101">
        <w:rPr>
          <w:color w:val="auto"/>
          <w:szCs w:val="16"/>
          <w:lang w:val="fr-FR"/>
        </w:rPr>
        <w:t>éliveau</w:t>
      </w:r>
      <w:proofErr w:type="spellEnd"/>
      <w:r w:rsidRPr="00793101">
        <w:rPr>
          <w:color w:val="auto"/>
          <w:szCs w:val="16"/>
          <w:lang w:val="fr-FR"/>
        </w:rPr>
        <w:t xml:space="preserve"> &amp; </w:t>
      </w:r>
      <w:proofErr w:type="spellStart"/>
      <w:r w:rsidRPr="00793101">
        <w:rPr>
          <w:color w:val="auto"/>
          <w:szCs w:val="16"/>
          <w:lang w:val="fr-FR"/>
        </w:rPr>
        <w:t>Vauclair</w:t>
      </w:r>
      <w:proofErr w:type="spellEnd"/>
      <w:r w:rsidRPr="00793101">
        <w:rPr>
          <w:color w:val="auto"/>
          <w:szCs w:val="16"/>
          <w:lang w:val="fr-FR"/>
        </w:rPr>
        <w:t>,</w:t>
      </w:r>
      <w:r w:rsidRPr="00793101">
        <w:rPr>
          <w:i/>
          <w:color w:val="auto"/>
          <w:szCs w:val="16"/>
          <w:lang w:val="fr-FR"/>
        </w:rPr>
        <w:t xml:space="preserve"> supra</w:t>
      </w:r>
      <w:r w:rsidRPr="00793101">
        <w:rPr>
          <w:color w:val="auto"/>
          <w:szCs w:val="16"/>
          <w:lang w:val="fr-FR"/>
        </w:rPr>
        <w:t xml:space="preserve"> note </w:t>
      </w:r>
      <w:r>
        <w:fldChar w:fldCharType="begin"/>
      </w:r>
      <w:r w:rsidRPr="000C692A">
        <w:rPr>
          <w:lang w:val="fr-CA"/>
        </w:rPr>
        <w:instrText xml:space="preserve"> NOTEREF _Ref267055074 \h  \* MERGEFORMAT </w:instrText>
      </w:r>
      <w:r>
        <w:fldChar w:fldCharType="separate"/>
      </w:r>
      <w:r w:rsidRPr="00E045AC">
        <w:rPr>
          <w:color w:val="auto"/>
          <w:szCs w:val="16"/>
          <w:lang w:val="fr-FR"/>
        </w:rPr>
        <w:t>377</w:t>
      </w:r>
      <w:r>
        <w:fldChar w:fldCharType="end"/>
      </w:r>
      <w:r w:rsidRPr="00793101">
        <w:rPr>
          <w:color w:val="auto"/>
          <w:szCs w:val="16"/>
          <w:lang w:val="fr-FR"/>
        </w:rPr>
        <w:t xml:space="preserve"> </w:t>
      </w:r>
      <w:r w:rsidRPr="00793101">
        <w:rPr>
          <w:color w:val="auto"/>
          <w:szCs w:val="16"/>
          <w:lang w:val="fr-CA"/>
        </w:rPr>
        <w:t>at para 75.</w:t>
      </w:r>
    </w:p>
  </w:footnote>
  <w:footnote w:id="438">
    <w:p w14:paraId="5877B0A4" w14:textId="56C4EFB0" w:rsidR="00356280" w:rsidRPr="00356280" w:rsidRDefault="00356280" w:rsidP="0040644D">
      <w:pPr>
        <w:pStyle w:val="FootnoteText"/>
        <w:spacing w:after="0" w:line="240" w:lineRule="auto"/>
        <w:rPr>
          <w:szCs w:val="16"/>
          <w:lang w:val="es-AR"/>
        </w:rPr>
      </w:pPr>
      <w:r w:rsidRPr="00793101">
        <w:rPr>
          <w:rStyle w:val="FootnoteReference"/>
          <w:szCs w:val="16"/>
        </w:rPr>
        <w:footnoteRef/>
      </w:r>
      <w:r w:rsidRPr="00356280">
        <w:rPr>
          <w:szCs w:val="16"/>
          <w:lang w:val="es-AR"/>
        </w:rPr>
        <w:t xml:space="preserve"> </w:t>
      </w:r>
      <w:r w:rsidRPr="00356280">
        <w:rPr>
          <w:i/>
          <w:szCs w:val="16"/>
          <w:lang w:val="es-AR"/>
        </w:rPr>
        <w:t xml:space="preserve">Krieger, supra </w:t>
      </w:r>
      <w:r w:rsidRPr="00356280">
        <w:rPr>
          <w:szCs w:val="16"/>
          <w:lang w:val="es-AR"/>
        </w:rPr>
        <w:t xml:space="preserve">note </w:t>
      </w:r>
      <w:r>
        <w:fldChar w:fldCharType="begin"/>
      </w:r>
      <w:r w:rsidRPr="00356280">
        <w:rPr>
          <w:lang w:val="es-AR"/>
        </w:rPr>
        <w:instrText xml:space="preserve"> NOTEREF _Ref267055101 \h  \* MERGEFORMAT </w:instrText>
      </w:r>
      <w:r>
        <w:fldChar w:fldCharType="separate"/>
      </w:r>
      <w:r w:rsidRPr="00356280">
        <w:rPr>
          <w:szCs w:val="16"/>
          <w:lang w:val="es-AR"/>
        </w:rPr>
        <w:t>39</w:t>
      </w:r>
      <w:r>
        <w:fldChar w:fldCharType="end"/>
      </w:r>
      <w:r w:rsidRPr="00356280">
        <w:rPr>
          <w:szCs w:val="16"/>
          <w:lang w:val="es-AR"/>
        </w:rPr>
        <w:t xml:space="preserve"> at para 46.</w:t>
      </w:r>
    </w:p>
  </w:footnote>
  <w:footnote w:id="439">
    <w:p w14:paraId="02C05627" w14:textId="225D2FAC" w:rsidR="00356280" w:rsidRPr="00793101" w:rsidRDefault="00356280" w:rsidP="0040644D">
      <w:pPr>
        <w:pStyle w:val="FootnoteText"/>
        <w:spacing w:after="0" w:line="240" w:lineRule="auto"/>
        <w:jc w:val="both"/>
        <w:rPr>
          <w:color w:val="auto"/>
          <w:szCs w:val="16"/>
          <w:lang w:val="fr-CA"/>
        </w:rPr>
      </w:pPr>
      <w:r w:rsidRPr="00793101">
        <w:rPr>
          <w:rStyle w:val="FootnoteReference"/>
          <w:color w:val="auto"/>
          <w:szCs w:val="16"/>
          <w:lang w:val="en-CA"/>
        </w:rPr>
        <w:footnoteRef/>
      </w:r>
      <w:r w:rsidRPr="00793101">
        <w:rPr>
          <w:color w:val="auto"/>
          <w:szCs w:val="16"/>
          <w:lang w:val="fr-CA"/>
        </w:rPr>
        <w:t xml:space="preserve"> B</w:t>
      </w:r>
      <w:proofErr w:type="spellStart"/>
      <w:r w:rsidRPr="00793101">
        <w:rPr>
          <w:color w:val="auto"/>
          <w:szCs w:val="16"/>
          <w:lang w:val="fr-FR"/>
        </w:rPr>
        <w:t>éliveau</w:t>
      </w:r>
      <w:proofErr w:type="spellEnd"/>
      <w:r w:rsidRPr="00793101">
        <w:rPr>
          <w:color w:val="auto"/>
          <w:szCs w:val="16"/>
          <w:lang w:val="fr-FR"/>
        </w:rPr>
        <w:t xml:space="preserve"> &amp; </w:t>
      </w:r>
      <w:proofErr w:type="spellStart"/>
      <w:r w:rsidRPr="00793101">
        <w:rPr>
          <w:color w:val="auto"/>
          <w:szCs w:val="16"/>
          <w:lang w:val="fr-FR"/>
        </w:rPr>
        <w:t>Vauclair</w:t>
      </w:r>
      <w:proofErr w:type="spellEnd"/>
      <w:r w:rsidRPr="00793101">
        <w:rPr>
          <w:color w:val="auto"/>
          <w:szCs w:val="16"/>
          <w:lang w:val="fr-FR"/>
        </w:rPr>
        <w:t>,</w:t>
      </w:r>
      <w:r w:rsidRPr="00793101">
        <w:rPr>
          <w:i/>
          <w:color w:val="auto"/>
          <w:szCs w:val="16"/>
          <w:lang w:val="fr-FR"/>
        </w:rPr>
        <w:t xml:space="preserve"> supra</w:t>
      </w:r>
      <w:r w:rsidRPr="00793101">
        <w:rPr>
          <w:color w:val="auto"/>
          <w:szCs w:val="16"/>
          <w:lang w:val="fr-FR"/>
        </w:rPr>
        <w:t xml:space="preserve"> note </w:t>
      </w:r>
      <w:r>
        <w:fldChar w:fldCharType="begin"/>
      </w:r>
      <w:r w:rsidRPr="000C692A">
        <w:rPr>
          <w:lang w:val="fr-CA"/>
        </w:rPr>
        <w:instrText xml:space="preserve"> NOTEREF _Ref267055074 \h  \* MERGEFORMAT </w:instrText>
      </w:r>
      <w:r>
        <w:fldChar w:fldCharType="separate"/>
      </w:r>
      <w:r w:rsidRPr="00E045AC">
        <w:rPr>
          <w:color w:val="auto"/>
          <w:szCs w:val="16"/>
          <w:lang w:val="fr-FR"/>
        </w:rPr>
        <w:t>377</w:t>
      </w:r>
      <w:r>
        <w:fldChar w:fldCharType="end"/>
      </w:r>
      <w:r w:rsidRPr="00793101">
        <w:rPr>
          <w:color w:val="auto"/>
          <w:szCs w:val="16"/>
          <w:lang w:val="fr-FR"/>
        </w:rPr>
        <w:t xml:space="preserve"> </w:t>
      </w:r>
      <w:r w:rsidRPr="00793101">
        <w:rPr>
          <w:color w:val="auto"/>
          <w:szCs w:val="16"/>
          <w:lang w:val="fr-CA"/>
        </w:rPr>
        <w:t>at para 78.</w:t>
      </w:r>
    </w:p>
  </w:footnote>
  <w:footnote w:id="440">
    <w:p w14:paraId="27B5D017" w14:textId="77777777" w:rsidR="00356280" w:rsidRPr="00793101" w:rsidRDefault="00356280" w:rsidP="0040644D">
      <w:pPr>
        <w:pStyle w:val="FootnoteText"/>
        <w:spacing w:after="0" w:line="240" w:lineRule="auto"/>
        <w:jc w:val="both"/>
        <w:rPr>
          <w:color w:val="auto"/>
          <w:szCs w:val="16"/>
          <w:lang w:val="fr-CA"/>
        </w:rPr>
      </w:pPr>
      <w:r w:rsidRPr="00793101">
        <w:rPr>
          <w:rStyle w:val="FootnoteReference"/>
          <w:color w:val="auto"/>
          <w:szCs w:val="16"/>
          <w:lang w:val="en-CA"/>
        </w:rPr>
        <w:footnoteRef/>
      </w:r>
      <w:r w:rsidRPr="00793101">
        <w:rPr>
          <w:color w:val="auto"/>
          <w:szCs w:val="16"/>
          <w:lang w:val="fr-CA"/>
        </w:rPr>
        <w:t xml:space="preserve"> </w:t>
      </w:r>
      <w:r w:rsidRPr="00793101">
        <w:rPr>
          <w:i/>
          <w:color w:val="auto"/>
          <w:szCs w:val="16"/>
          <w:lang w:val="fr-CA"/>
        </w:rPr>
        <w:t>Nelles</w:t>
      </w:r>
      <w:r w:rsidRPr="00793101">
        <w:rPr>
          <w:color w:val="auto"/>
          <w:szCs w:val="16"/>
          <w:lang w:val="fr-CA"/>
        </w:rPr>
        <w:t xml:space="preserve"> v </w:t>
      </w:r>
      <w:r w:rsidRPr="00793101">
        <w:rPr>
          <w:i/>
          <w:color w:val="auto"/>
          <w:szCs w:val="16"/>
          <w:lang w:val="fr-CA"/>
        </w:rPr>
        <w:t>Ontario</w:t>
      </w:r>
      <w:r w:rsidRPr="00793101">
        <w:rPr>
          <w:color w:val="auto"/>
          <w:szCs w:val="16"/>
          <w:lang w:val="fr-CA"/>
        </w:rPr>
        <w:t xml:space="preserve">, [1989] 2 SCR 170. </w:t>
      </w:r>
    </w:p>
  </w:footnote>
  <w:footnote w:id="441">
    <w:p w14:paraId="04FCC57F" w14:textId="77777777" w:rsidR="00356280" w:rsidRPr="00793101" w:rsidRDefault="00356280" w:rsidP="0040644D">
      <w:pPr>
        <w:pStyle w:val="FootnoteText"/>
        <w:spacing w:after="0" w:line="240" w:lineRule="auto"/>
        <w:jc w:val="both"/>
        <w:rPr>
          <w:color w:val="auto"/>
          <w:szCs w:val="16"/>
          <w:lang w:val="fr-CA"/>
        </w:rPr>
      </w:pPr>
      <w:r w:rsidRPr="00793101">
        <w:rPr>
          <w:rStyle w:val="FootnoteReference"/>
          <w:color w:val="auto"/>
          <w:szCs w:val="16"/>
          <w:lang w:val="en-CA"/>
        </w:rPr>
        <w:footnoteRef/>
      </w:r>
      <w:r w:rsidRPr="00793101">
        <w:rPr>
          <w:color w:val="auto"/>
          <w:szCs w:val="16"/>
          <w:lang w:val="fr-CA"/>
        </w:rPr>
        <w:t xml:space="preserve"> </w:t>
      </w:r>
      <w:r w:rsidRPr="00793101">
        <w:rPr>
          <w:i/>
          <w:color w:val="auto"/>
          <w:szCs w:val="16"/>
          <w:lang w:val="fr-CA"/>
        </w:rPr>
        <w:t>Proulx v Québec (PG),</w:t>
      </w:r>
      <w:r w:rsidRPr="00793101">
        <w:rPr>
          <w:color w:val="auto"/>
          <w:szCs w:val="16"/>
          <w:lang w:val="fr-CA"/>
        </w:rPr>
        <w:t xml:space="preserve"> [2001] 3 SCR 9, 2001 SCC 66.</w:t>
      </w:r>
    </w:p>
  </w:footnote>
  <w:footnote w:id="442">
    <w:p w14:paraId="70315A06"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Kamloops</w:t>
      </w:r>
      <w:r w:rsidRPr="00793101">
        <w:rPr>
          <w:color w:val="auto"/>
          <w:szCs w:val="16"/>
          <w:lang w:val="en-CA"/>
        </w:rPr>
        <w:t xml:space="preserve"> v </w:t>
      </w:r>
      <w:r w:rsidRPr="00793101">
        <w:rPr>
          <w:i/>
          <w:color w:val="auto"/>
          <w:szCs w:val="16"/>
          <w:lang w:val="en-CA"/>
        </w:rPr>
        <w:t>Nielson</w:t>
      </w:r>
      <w:r w:rsidRPr="00793101">
        <w:rPr>
          <w:color w:val="auto"/>
          <w:szCs w:val="16"/>
          <w:lang w:val="en-CA"/>
        </w:rPr>
        <w:t>, [1984] 2 RCS at 24.</w:t>
      </w:r>
    </w:p>
  </w:footnote>
  <w:footnote w:id="443">
    <w:p w14:paraId="30577D8F" w14:textId="08996D0A"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pacing w:val="-3"/>
          <w:szCs w:val="16"/>
          <w:lang w:val="en-CA"/>
        </w:rPr>
        <w:t>Power</w:t>
      </w:r>
      <w:r w:rsidRPr="00793101">
        <w:rPr>
          <w:color w:val="auto"/>
          <w:spacing w:val="-3"/>
          <w:szCs w:val="16"/>
          <w:lang w:val="en-CA"/>
        </w:rPr>
        <w:t>,</w:t>
      </w:r>
      <w:r w:rsidRPr="00793101">
        <w:rPr>
          <w:i/>
          <w:color w:val="auto"/>
          <w:spacing w:val="-3"/>
          <w:szCs w:val="16"/>
          <w:lang w:val="en-CA"/>
        </w:rPr>
        <w:t xml:space="preserve"> supra</w:t>
      </w:r>
      <w:r w:rsidRPr="00793101">
        <w:rPr>
          <w:color w:val="auto"/>
          <w:spacing w:val="-3"/>
          <w:szCs w:val="16"/>
          <w:lang w:val="en-CA"/>
        </w:rPr>
        <w:t xml:space="preserve"> note </w:t>
      </w:r>
      <w:r>
        <w:fldChar w:fldCharType="begin"/>
      </w:r>
      <w:r>
        <w:instrText xml:space="preserve"> NOTEREF _Ref267055101 \h  \* MERGEFORMAT </w:instrText>
      </w:r>
      <w:r>
        <w:fldChar w:fldCharType="separate"/>
      </w:r>
      <w:r w:rsidRPr="00E045AC">
        <w:rPr>
          <w:color w:val="auto"/>
          <w:spacing w:val="-3"/>
          <w:szCs w:val="16"/>
          <w:lang w:val="en-CA"/>
        </w:rPr>
        <w:t>39</w:t>
      </w:r>
      <w:r>
        <w:fldChar w:fldCharType="end"/>
      </w:r>
      <w:r w:rsidRPr="00793101">
        <w:rPr>
          <w:color w:val="auto"/>
          <w:spacing w:val="-3"/>
          <w:szCs w:val="16"/>
          <w:lang w:val="en-CA"/>
        </w:rPr>
        <w:t xml:space="preserve"> at para 12.</w:t>
      </w:r>
    </w:p>
  </w:footnote>
  <w:footnote w:id="444">
    <w:p w14:paraId="2778A7A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Ibid</w:t>
      </w:r>
      <w:r w:rsidRPr="00793101">
        <w:rPr>
          <w:szCs w:val="16"/>
          <w:lang w:val="en-US"/>
        </w:rPr>
        <w:t>.</w:t>
      </w:r>
    </w:p>
  </w:footnote>
  <w:footnote w:id="445">
    <w:p w14:paraId="5AC456D5" w14:textId="77777777" w:rsidR="00356280" w:rsidRPr="00793101" w:rsidRDefault="00356280" w:rsidP="0040644D">
      <w:pPr>
        <w:spacing w:after="0" w:line="240" w:lineRule="auto"/>
        <w:jc w:val="both"/>
        <w:rPr>
          <w:color w:val="auto"/>
          <w:spacing w:val="-3"/>
          <w:sz w:val="16"/>
          <w:szCs w:val="16"/>
          <w:lang w:val="en-CA"/>
        </w:rPr>
      </w:pPr>
      <w:r w:rsidRPr="00793101">
        <w:rPr>
          <w:rStyle w:val="FootnoteReference"/>
          <w:color w:val="auto"/>
          <w:sz w:val="16"/>
          <w:szCs w:val="16"/>
          <w:lang w:val="en-CA"/>
        </w:rPr>
        <w:footnoteRef/>
      </w:r>
      <w:r w:rsidRPr="00793101">
        <w:rPr>
          <w:color w:val="auto"/>
          <w:sz w:val="16"/>
          <w:szCs w:val="16"/>
          <w:lang w:val="en-CA"/>
        </w:rPr>
        <w:t xml:space="preserve"> </w:t>
      </w:r>
      <w:r w:rsidRPr="00793101">
        <w:rPr>
          <w:i/>
          <w:color w:val="auto"/>
          <w:sz w:val="16"/>
          <w:szCs w:val="16"/>
          <w:lang w:val="en-CA"/>
        </w:rPr>
        <w:t>Boucher v The Queen</w:t>
      </w:r>
      <w:r w:rsidRPr="00793101">
        <w:rPr>
          <w:color w:val="auto"/>
          <w:sz w:val="16"/>
          <w:szCs w:val="16"/>
          <w:lang w:val="en-CA"/>
        </w:rPr>
        <w:t xml:space="preserve">, [1955] SCR 16 at paras 23-24. Those paragraphs were also cited in </w:t>
      </w:r>
      <w:r w:rsidRPr="00793101">
        <w:rPr>
          <w:i/>
          <w:color w:val="auto"/>
          <w:sz w:val="16"/>
          <w:szCs w:val="16"/>
          <w:lang w:val="en-CA"/>
        </w:rPr>
        <w:t>R</w:t>
      </w:r>
      <w:r w:rsidRPr="00793101">
        <w:rPr>
          <w:color w:val="auto"/>
          <w:sz w:val="16"/>
          <w:szCs w:val="16"/>
          <w:lang w:val="en-CA"/>
        </w:rPr>
        <w:t xml:space="preserve"> </w:t>
      </w:r>
      <w:r w:rsidRPr="00793101">
        <w:rPr>
          <w:iCs/>
          <w:color w:val="auto"/>
          <w:sz w:val="16"/>
          <w:szCs w:val="16"/>
          <w:lang w:val="en-CA"/>
        </w:rPr>
        <w:t>v</w:t>
      </w:r>
      <w:r w:rsidRPr="00793101">
        <w:rPr>
          <w:color w:val="auto"/>
          <w:sz w:val="16"/>
          <w:szCs w:val="16"/>
          <w:lang w:val="en-CA"/>
        </w:rPr>
        <w:t xml:space="preserve"> </w:t>
      </w:r>
      <w:r w:rsidRPr="00793101">
        <w:rPr>
          <w:i/>
          <w:color w:val="auto"/>
          <w:sz w:val="16"/>
          <w:szCs w:val="16"/>
          <w:lang w:val="en-CA"/>
        </w:rPr>
        <w:t>Stinchcombe</w:t>
      </w:r>
      <w:r w:rsidRPr="00793101">
        <w:rPr>
          <w:color w:val="auto"/>
          <w:sz w:val="16"/>
          <w:szCs w:val="16"/>
          <w:lang w:val="en-CA"/>
        </w:rPr>
        <w:t xml:space="preserve">, [1991] 3 SCR 326; </w:t>
      </w:r>
      <w:r w:rsidRPr="00793101">
        <w:rPr>
          <w:i/>
          <w:color w:val="auto"/>
          <w:sz w:val="16"/>
          <w:szCs w:val="16"/>
          <w:lang w:val="en-CA"/>
        </w:rPr>
        <w:t>R</w:t>
      </w:r>
      <w:r w:rsidRPr="00793101">
        <w:rPr>
          <w:color w:val="auto"/>
          <w:sz w:val="16"/>
          <w:szCs w:val="16"/>
          <w:lang w:val="en-CA"/>
        </w:rPr>
        <w:t xml:space="preserve"> v </w:t>
      </w:r>
      <w:proofErr w:type="spellStart"/>
      <w:r w:rsidRPr="00793101">
        <w:rPr>
          <w:i/>
          <w:color w:val="auto"/>
          <w:sz w:val="16"/>
          <w:szCs w:val="16"/>
          <w:lang w:val="en-CA"/>
        </w:rPr>
        <w:t>Taillefer</w:t>
      </w:r>
      <w:proofErr w:type="spellEnd"/>
      <w:r w:rsidRPr="00793101">
        <w:rPr>
          <w:color w:val="auto"/>
          <w:sz w:val="16"/>
          <w:szCs w:val="16"/>
          <w:lang w:val="en-CA"/>
        </w:rPr>
        <w:t xml:space="preserve">; </w:t>
      </w:r>
      <w:r w:rsidRPr="00793101">
        <w:rPr>
          <w:i/>
          <w:color w:val="auto"/>
          <w:sz w:val="16"/>
          <w:szCs w:val="16"/>
          <w:lang w:val="en-CA"/>
        </w:rPr>
        <w:t>R</w:t>
      </w:r>
      <w:r w:rsidRPr="00793101">
        <w:rPr>
          <w:color w:val="auto"/>
          <w:sz w:val="16"/>
          <w:szCs w:val="16"/>
          <w:lang w:val="en-CA"/>
        </w:rPr>
        <w:t xml:space="preserve"> v </w:t>
      </w:r>
      <w:r w:rsidRPr="00793101">
        <w:rPr>
          <w:i/>
          <w:color w:val="auto"/>
          <w:sz w:val="16"/>
          <w:szCs w:val="16"/>
          <w:lang w:val="en-CA"/>
        </w:rPr>
        <w:t>Duguay,</w:t>
      </w:r>
      <w:r w:rsidRPr="00793101">
        <w:rPr>
          <w:color w:val="auto"/>
          <w:sz w:val="16"/>
          <w:szCs w:val="16"/>
          <w:lang w:val="en-CA"/>
        </w:rPr>
        <w:t xml:space="preserve"> [2003] 3 RCS 307 at para 68. It was reiterated in </w:t>
      </w:r>
      <w:r w:rsidRPr="00793101">
        <w:rPr>
          <w:i/>
          <w:color w:val="auto"/>
          <w:sz w:val="16"/>
          <w:szCs w:val="16"/>
          <w:lang w:val="en-CA"/>
        </w:rPr>
        <w:t>Application under s 83.28 of the Criminal Code (Re)</w:t>
      </w:r>
      <w:r w:rsidRPr="00793101">
        <w:rPr>
          <w:color w:val="auto"/>
          <w:sz w:val="16"/>
          <w:szCs w:val="16"/>
          <w:lang w:val="en-CA"/>
        </w:rPr>
        <w:t>, [2004] 2 SCR 248, 2004 SCC 42 at para 95.</w:t>
      </w:r>
    </w:p>
  </w:footnote>
  <w:footnote w:id="446">
    <w:p w14:paraId="394406D1"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R v Bain, </w:t>
      </w:r>
      <w:r w:rsidRPr="00793101">
        <w:rPr>
          <w:szCs w:val="16"/>
          <w:lang w:val="en-US"/>
        </w:rPr>
        <w:t>[1992] 1 SCR 91 at para 16.</w:t>
      </w:r>
    </w:p>
  </w:footnote>
  <w:footnote w:id="447">
    <w:p w14:paraId="01C646D0" w14:textId="3C4E6AE9" w:rsidR="00356280" w:rsidRPr="00793101" w:rsidRDefault="00356280" w:rsidP="0040644D">
      <w:pPr>
        <w:pStyle w:val="FootnoteText"/>
        <w:spacing w:after="0" w:line="240" w:lineRule="auto"/>
        <w:jc w:val="both"/>
        <w:rPr>
          <w:color w:val="auto"/>
          <w:szCs w:val="16"/>
          <w:highlight w:val="green"/>
          <w:lang w:val="en-CA"/>
        </w:rPr>
      </w:pPr>
      <w:r w:rsidRPr="00793101">
        <w:rPr>
          <w:rStyle w:val="FootnoteReference"/>
          <w:color w:val="auto"/>
          <w:szCs w:val="16"/>
          <w:lang w:val="en-CA"/>
        </w:rPr>
        <w:footnoteRef/>
      </w:r>
      <w:r w:rsidRPr="00793101">
        <w:rPr>
          <w:color w:val="auto"/>
          <w:szCs w:val="16"/>
          <w:lang w:val="en-CA"/>
        </w:rPr>
        <w:t xml:space="preserve"> Lafontaine, </w:t>
      </w:r>
      <w:r w:rsidRPr="00793101">
        <w:rPr>
          <w:i/>
          <w:color w:val="auto"/>
          <w:szCs w:val="16"/>
          <w:lang w:val="en-CA"/>
        </w:rPr>
        <w:t xml:space="preserve">supra </w:t>
      </w:r>
      <w:r w:rsidRPr="00793101">
        <w:rPr>
          <w:color w:val="auto"/>
          <w:szCs w:val="16"/>
          <w:lang w:val="en-CA"/>
        </w:rPr>
        <w:t xml:space="preserve">note </w:t>
      </w:r>
      <w:r>
        <w:fldChar w:fldCharType="begin"/>
      </w:r>
      <w:r>
        <w:instrText xml:space="preserve"> NOTEREF _Ref265358056 \h  \* MERGEFORMAT </w:instrText>
      </w:r>
      <w:r>
        <w:fldChar w:fldCharType="separate"/>
      </w:r>
      <w:r w:rsidRPr="00E045AC">
        <w:rPr>
          <w:color w:val="auto"/>
          <w:szCs w:val="16"/>
          <w:lang w:val="en-CA"/>
        </w:rPr>
        <w:t>98</w:t>
      </w:r>
      <w:r>
        <w:fldChar w:fldCharType="end"/>
      </w:r>
      <w:r w:rsidRPr="00793101">
        <w:rPr>
          <w:color w:val="auto"/>
          <w:szCs w:val="16"/>
          <w:lang w:val="en-CA"/>
        </w:rPr>
        <w:t xml:space="preserve"> at 83 citing </w:t>
      </w:r>
      <w:r w:rsidRPr="00793101">
        <w:rPr>
          <w:bCs/>
          <w:i/>
          <w:szCs w:val="16"/>
          <w:lang w:val="en-US"/>
        </w:rPr>
        <w:t>An Act respecting the office of the Director of Public Prosecutions</w:t>
      </w:r>
      <w:r w:rsidRPr="00793101">
        <w:rPr>
          <w:color w:val="auto"/>
          <w:szCs w:val="16"/>
          <w:lang w:val="en-CA"/>
        </w:rPr>
        <w:t xml:space="preserve">, supra note </w:t>
      </w:r>
      <w:r>
        <w:fldChar w:fldCharType="begin"/>
      </w:r>
      <w:r>
        <w:instrText xml:space="preserve"> NOTEREF _Ref267055362 \h  \* MERGEFORMAT </w:instrText>
      </w:r>
      <w:r>
        <w:fldChar w:fldCharType="separate"/>
      </w:r>
      <w:r w:rsidRPr="00E045AC">
        <w:rPr>
          <w:color w:val="auto"/>
          <w:szCs w:val="16"/>
          <w:lang w:val="en-CA"/>
        </w:rPr>
        <w:t>436</w:t>
      </w:r>
      <w:r>
        <w:fldChar w:fldCharType="end"/>
      </w:r>
      <w:r w:rsidRPr="00793101">
        <w:rPr>
          <w:color w:val="auto"/>
          <w:szCs w:val="16"/>
          <w:lang w:val="en-CA"/>
        </w:rPr>
        <w:t>, s 3(3) and “Unlike the Federal Prosecution Service, which was part of the Department of Justice, the Public Prosecution Service of Canada is an independent organization, reporting to Parliament through the Attorney General of Canada. […] The creation of the PPSC reflects the decision to make transparent the principle of prosecutorial independence, free from any improper influence” (information available on the site of the Public Prosecution Service of Canada, online: &lt;http://www.ppsc-sppc.gc.ca/eng/bas/abt-suj.html&gt;).</w:t>
      </w:r>
    </w:p>
  </w:footnote>
  <w:footnote w:id="448">
    <w:p w14:paraId="2E974699" w14:textId="77777777" w:rsidR="00356280" w:rsidRPr="00793101" w:rsidRDefault="00356280" w:rsidP="0040644D">
      <w:pPr>
        <w:pStyle w:val="AIBodyText"/>
        <w:spacing w:after="0" w:line="240" w:lineRule="auto"/>
        <w:rPr>
          <w:sz w:val="16"/>
          <w:szCs w:val="16"/>
          <w:highlight w:val="green"/>
          <w:lang w:val="en-CA"/>
        </w:rPr>
      </w:pPr>
      <w:r w:rsidRPr="00793101">
        <w:rPr>
          <w:rStyle w:val="FootnoteReference"/>
          <w:sz w:val="16"/>
          <w:szCs w:val="16"/>
          <w:lang w:val="en-CA"/>
        </w:rPr>
        <w:footnoteRef/>
      </w:r>
      <w:r w:rsidRPr="00793101">
        <w:rPr>
          <w:sz w:val="16"/>
          <w:szCs w:val="16"/>
          <w:lang w:val="en-CA"/>
        </w:rPr>
        <w:t xml:space="preserve"> Political decisions to prosecute could, in some instances, be inconsistent with the </w:t>
      </w:r>
      <w:r w:rsidRPr="00793101">
        <w:rPr>
          <w:i/>
          <w:sz w:val="16"/>
          <w:szCs w:val="16"/>
          <w:lang w:val="en-CA"/>
        </w:rPr>
        <w:t>Guidelines on the Role of Prosecutors</w:t>
      </w:r>
      <w:r w:rsidRPr="00793101">
        <w:rPr>
          <w:sz w:val="16"/>
          <w:szCs w:val="16"/>
          <w:lang w:val="en-CA"/>
        </w:rPr>
        <w:t>, adopted by the 8</w:t>
      </w:r>
      <w:r w:rsidRPr="00793101">
        <w:rPr>
          <w:sz w:val="16"/>
          <w:szCs w:val="16"/>
          <w:vertAlign w:val="superscript"/>
          <w:lang w:val="en-CA"/>
        </w:rPr>
        <w:t>th</w:t>
      </w:r>
      <w:r w:rsidRPr="00793101">
        <w:rPr>
          <w:sz w:val="16"/>
          <w:szCs w:val="16"/>
          <w:lang w:val="en-CA"/>
        </w:rPr>
        <w:t xml:space="preserve"> UN Congress on the Prevention of the Crime and the Treatment of Offenders, Havana, Cuba, 27 August to 7 September 1990.  For example, Guideline 12 (a) requires prosecutors to “perform their duties fairly”; Guideline 13 requires  prosecutors to “[c]</w:t>
      </w:r>
      <w:proofErr w:type="spellStart"/>
      <w:r w:rsidRPr="00793101">
        <w:rPr>
          <w:sz w:val="16"/>
          <w:szCs w:val="16"/>
          <w:lang w:val="en-CA"/>
        </w:rPr>
        <w:t>arry</w:t>
      </w:r>
      <w:proofErr w:type="spellEnd"/>
      <w:r w:rsidRPr="00793101">
        <w:rPr>
          <w:sz w:val="16"/>
          <w:szCs w:val="16"/>
          <w:lang w:val="en-CA"/>
        </w:rPr>
        <w:t xml:space="preserve"> out their functions impartially and avoid all political, social, religious, racial, cultural, sexual or any other kind of discrimination”; Guideline 13 (b) requires prosecutors to “[p]</w:t>
      </w:r>
      <w:proofErr w:type="spellStart"/>
      <w:r w:rsidRPr="00793101">
        <w:rPr>
          <w:sz w:val="16"/>
          <w:szCs w:val="16"/>
          <w:lang w:val="en-CA"/>
        </w:rPr>
        <w:t>rotect</w:t>
      </w:r>
      <w:proofErr w:type="spellEnd"/>
      <w:r w:rsidRPr="00793101">
        <w:rPr>
          <w:sz w:val="16"/>
          <w:szCs w:val="16"/>
          <w:lang w:val="en-CA"/>
        </w:rPr>
        <w:t xml:space="preserve"> the public interest, act with objectivity, take proper account of the position of the suspect and the victim, and pay attention to all relevant circumstances, irrespective of whether they are to the advantage or disadvantage of the suspect” and Guideline 14 states that “[p]</w:t>
      </w:r>
      <w:proofErr w:type="spellStart"/>
      <w:r w:rsidRPr="00793101">
        <w:rPr>
          <w:sz w:val="16"/>
          <w:szCs w:val="16"/>
          <w:lang w:val="en-CA"/>
        </w:rPr>
        <w:t>rosecutors</w:t>
      </w:r>
      <w:proofErr w:type="spellEnd"/>
      <w:r w:rsidRPr="00793101">
        <w:rPr>
          <w:sz w:val="16"/>
          <w:szCs w:val="16"/>
          <w:lang w:val="en-CA"/>
        </w:rPr>
        <w:t xml:space="preserve"> shall not initiate or continue prosecution, or shall make every effort to stay proceedings, when an impartial investigation shows the charge to be unfounded.”</w:t>
      </w:r>
    </w:p>
  </w:footnote>
  <w:footnote w:id="449">
    <w:p w14:paraId="7C7C156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George W Bush and the “War on Terror”,</w:t>
      </w:r>
      <w:r w:rsidRPr="00793101">
        <w:rPr>
          <w:szCs w:val="16"/>
        </w:rPr>
        <w:t xml:space="preserve"> online: Canadian Centre for International Justice </w:t>
      </w:r>
      <w:r w:rsidRPr="00793101">
        <w:rPr>
          <w:szCs w:val="16"/>
          <w:lang w:val="en-US"/>
        </w:rPr>
        <w:t>&lt;</w:t>
      </w:r>
      <w:r w:rsidRPr="00793101">
        <w:rPr>
          <w:szCs w:val="16"/>
        </w:rPr>
        <w:t>http://www.ccij.ca/programs/cases/guantanamo/index.php&gt;. Amnesty International also called on Canada to arrest and charge Mr. Bush (“Canada urged to arrest and prosecute George W. Bush” (12 October 2011), online: Amnesty International &lt;http://www.amnesty.org&gt;).</w:t>
      </w:r>
    </w:p>
  </w:footnote>
  <w:footnote w:id="450">
    <w:p w14:paraId="3F4EF022" w14:textId="43AA9864"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See prohibition on discrimination before the law in </w:t>
      </w:r>
      <w:r w:rsidRPr="00793101">
        <w:rPr>
          <w:i/>
          <w:szCs w:val="16"/>
          <w:lang w:val="en-CA"/>
        </w:rPr>
        <w:t>ICCPR, supra</w:t>
      </w:r>
      <w:r w:rsidRPr="00793101">
        <w:rPr>
          <w:szCs w:val="16"/>
          <w:lang w:val="en-CA"/>
        </w:rPr>
        <w:t xml:space="preserve"> note </w:t>
      </w:r>
      <w:r>
        <w:fldChar w:fldCharType="begin"/>
      </w:r>
      <w:r>
        <w:instrText xml:space="preserve"> NOTEREF _Ref267054773 \h  \* MERGEFORMAT </w:instrText>
      </w:r>
      <w:r>
        <w:fldChar w:fldCharType="separate"/>
      </w:r>
      <w:r w:rsidRPr="00E045AC">
        <w:rPr>
          <w:szCs w:val="16"/>
          <w:lang w:val="en-CA"/>
        </w:rPr>
        <w:t>411</w:t>
      </w:r>
      <w:r>
        <w:fldChar w:fldCharType="end"/>
      </w:r>
      <w:r w:rsidRPr="00793101">
        <w:rPr>
          <w:szCs w:val="16"/>
          <w:lang w:val="en-CA"/>
        </w:rPr>
        <w:t xml:space="preserve">, art 26.  Other characteristics besides gender for which a person might suffer discrimination include age, race, colour, language, </w:t>
      </w:r>
      <w:proofErr w:type="gramStart"/>
      <w:r w:rsidRPr="00793101">
        <w:rPr>
          <w:szCs w:val="16"/>
          <w:lang w:val="en-CA"/>
        </w:rPr>
        <w:t>religion</w:t>
      </w:r>
      <w:proofErr w:type="gramEnd"/>
      <w:r w:rsidRPr="00793101">
        <w:rPr>
          <w:szCs w:val="16"/>
          <w:lang w:val="en-CA"/>
        </w:rPr>
        <w:t xml:space="preserve"> or belief, political or other opinion, national, ethnic or social origin, wealth, birth or other status. See, for example, </w:t>
      </w:r>
      <w:r w:rsidRPr="00793101">
        <w:rPr>
          <w:i/>
          <w:szCs w:val="16"/>
          <w:lang w:val="en-CA"/>
        </w:rPr>
        <w:t xml:space="preserve">Rome Statute supra note </w:t>
      </w:r>
      <w:r>
        <w:fldChar w:fldCharType="begin"/>
      </w:r>
      <w:r>
        <w:instrText xml:space="preserve"> NOTEREF _Ref266968903 \h  \* MERGEFORMAT </w:instrText>
      </w:r>
      <w:r>
        <w:fldChar w:fldCharType="separate"/>
      </w:r>
      <w:r w:rsidRPr="00E045AC">
        <w:rPr>
          <w:i/>
          <w:szCs w:val="16"/>
          <w:lang w:val="en-CA"/>
        </w:rPr>
        <w:t>97</w:t>
      </w:r>
      <w:r>
        <w:fldChar w:fldCharType="end"/>
      </w:r>
      <w:r w:rsidRPr="00793101">
        <w:rPr>
          <w:i/>
          <w:szCs w:val="16"/>
          <w:lang w:val="en-CA"/>
        </w:rPr>
        <w:t xml:space="preserve">, </w:t>
      </w:r>
      <w:r w:rsidRPr="00793101">
        <w:rPr>
          <w:szCs w:val="16"/>
          <w:lang w:val="en-CA"/>
        </w:rPr>
        <w:t xml:space="preserve">art 21(3). </w:t>
      </w:r>
    </w:p>
  </w:footnote>
  <w:footnote w:id="451">
    <w:p w14:paraId="525F13CE" w14:textId="77777777" w:rsidR="00356280" w:rsidRPr="00793101" w:rsidRDefault="00356280" w:rsidP="0040644D">
      <w:pPr>
        <w:pStyle w:val="FootnoteText"/>
        <w:spacing w:after="0" w:line="240" w:lineRule="auto"/>
        <w:rPr>
          <w:bCs/>
          <w:szCs w:val="16"/>
          <w:lang w:val="en-US"/>
        </w:rPr>
      </w:pPr>
      <w:r w:rsidRPr="00793101">
        <w:rPr>
          <w:rStyle w:val="FootnoteReference"/>
          <w:szCs w:val="16"/>
        </w:rPr>
        <w:footnoteRef/>
      </w:r>
      <w:r w:rsidRPr="00793101">
        <w:rPr>
          <w:szCs w:val="16"/>
        </w:rPr>
        <w:t xml:space="preserve"> </w:t>
      </w:r>
      <w:r w:rsidRPr="00793101">
        <w:rPr>
          <w:szCs w:val="16"/>
          <w:lang w:val="en-US"/>
        </w:rPr>
        <w:t xml:space="preserve">See e.g. Jane Bailey, “Reopening Law’s Gate: Public Interest Standing and Access to Justice” (2011) </w:t>
      </w:r>
      <w:r w:rsidRPr="00793101">
        <w:rPr>
          <w:bCs/>
          <w:szCs w:val="16"/>
          <w:lang w:val="en-US"/>
        </w:rPr>
        <w:t xml:space="preserve">44 UBCL Rev 255. </w:t>
      </w:r>
    </w:p>
  </w:footnote>
  <w:footnote w:id="452">
    <w:p w14:paraId="24879C4E" w14:textId="114E3719"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gramStart"/>
      <w:r w:rsidRPr="00793101">
        <w:rPr>
          <w:bCs/>
          <w:i/>
          <w:szCs w:val="16"/>
          <w:lang w:val="en-US"/>
        </w:rPr>
        <w:t>Constitution Act,</w:t>
      </w:r>
      <w:proofErr w:type="gramEnd"/>
      <w:r w:rsidRPr="00793101">
        <w:rPr>
          <w:bCs/>
          <w:i/>
          <w:szCs w:val="16"/>
          <w:lang w:val="en-US"/>
        </w:rPr>
        <w:t xml:space="preserve"> supra</w:t>
      </w:r>
      <w:r w:rsidRPr="00793101">
        <w:rPr>
          <w:bCs/>
          <w:szCs w:val="16"/>
          <w:lang w:val="en-US"/>
        </w:rPr>
        <w:t xml:space="preserve"> note </w:t>
      </w:r>
      <w:r>
        <w:fldChar w:fldCharType="begin"/>
      </w:r>
      <w:r>
        <w:instrText xml:space="preserve"> NOTEREF _Ref267055438 \h  \* MERGEFORMAT </w:instrText>
      </w:r>
      <w:r>
        <w:fldChar w:fldCharType="separate"/>
      </w:r>
      <w:r w:rsidRPr="00E045AC">
        <w:rPr>
          <w:bCs/>
          <w:szCs w:val="16"/>
          <w:lang w:val="en-US"/>
        </w:rPr>
        <w:t>19</w:t>
      </w:r>
      <w:r>
        <w:fldChar w:fldCharType="end"/>
      </w:r>
      <w:r w:rsidRPr="00793101">
        <w:rPr>
          <w:bCs/>
          <w:szCs w:val="16"/>
          <w:lang w:val="en-US"/>
        </w:rPr>
        <w:t xml:space="preserve">. </w:t>
      </w:r>
    </w:p>
  </w:footnote>
  <w:footnote w:id="453">
    <w:p w14:paraId="01842758" w14:textId="3FFA84E4"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Canadian </w:t>
      </w:r>
      <w:r w:rsidRPr="00793101">
        <w:rPr>
          <w:i/>
          <w:szCs w:val="16"/>
          <w:lang w:val="en-US"/>
        </w:rPr>
        <w:t xml:space="preserve">Charter of Rights and Freedoms, supra </w:t>
      </w:r>
      <w:r w:rsidRPr="00793101">
        <w:rPr>
          <w:szCs w:val="16"/>
          <w:lang w:val="en-US"/>
        </w:rPr>
        <w:t xml:space="preserve">note </w:t>
      </w:r>
      <w:r>
        <w:fldChar w:fldCharType="begin"/>
      </w:r>
      <w:r>
        <w:instrText xml:space="preserve"> NOTEREF _Ref267055058 \h  \* MERGEFORMAT </w:instrText>
      </w:r>
      <w:r>
        <w:fldChar w:fldCharType="separate"/>
      </w:r>
      <w:r>
        <w:t>11</w:t>
      </w:r>
      <w:r>
        <w:fldChar w:fldCharType="end"/>
      </w:r>
      <w:r w:rsidRPr="00793101">
        <w:rPr>
          <w:szCs w:val="16"/>
          <w:lang w:val="en-US"/>
        </w:rPr>
        <w:t xml:space="preserve"> s 15.</w:t>
      </w:r>
    </w:p>
  </w:footnote>
  <w:footnote w:id="454">
    <w:p w14:paraId="45E607A0"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 </w:t>
      </w:r>
      <w:proofErr w:type="spellStart"/>
      <w:r w:rsidRPr="00793101">
        <w:rPr>
          <w:i/>
          <w:szCs w:val="16"/>
          <w:lang w:val="en-US"/>
        </w:rPr>
        <w:t>Vriend</w:t>
      </w:r>
      <w:proofErr w:type="spellEnd"/>
      <w:r w:rsidRPr="00793101">
        <w:rPr>
          <w:i/>
          <w:szCs w:val="16"/>
          <w:lang w:val="en-US"/>
        </w:rPr>
        <w:t xml:space="preserve"> v Alberta</w:t>
      </w:r>
      <w:r w:rsidRPr="00793101">
        <w:rPr>
          <w:szCs w:val="16"/>
          <w:lang w:val="en-US"/>
        </w:rPr>
        <w:t>, [1998] 1 SCR 493.</w:t>
      </w:r>
    </w:p>
  </w:footnote>
  <w:footnote w:id="455">
    <w:p w14:paraId="24BF68DC"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lang w:val="en-US"/>
        </w:rPr>
        <w:t>Miron</w:t>
      </w:r>
      <w:proofErr w:type="spellEnd"/>
      <w:r w:rsidRPr="00793101">
        <w:rPr>
          <w:i/>
          <w:szCs w:val="16"/>
          <w:lang w:val="en-US"/>
        </w:rPr>
        <w:t xml:space="preserve"> v </w:t>
      </w:r>
      <w:proofErr w:type="spellStart"/>
      <w:r w:rsidRPr="00793101">
        <w:rPr>
          <w:i/>
          <w:szCs w:val="16"/>
          <w:lang w:val="en-US"/>
        </w:rPr>
        <w:t>Trudel</w:t>
      </w:r>
      <w:proofErr w:type="spellEnd"/>
      <w:r w:rsidRPr="00793101">
        <w:rPr>
          <w:szCs w:val="16"/>
          <w:lang w:val="en-US"/>
        </w:rPr>
        <w:t>, [1995] 2 SCR 415.</w:t>
      </w:r>
    </w:p>
  </w:footnote>
  <w:footnote w:id="456">
    <w:p w14:paraId="5E2675C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lang w:val="en-US"/>
        </w:rPr>
        <w:t>Corbiere</w:t>
      </w:r>
      <w:proofErr w:type="spellEnd"/>
      <w:r w:rsidRPr="00793101">
        <w:rPr>
          <w:i/>
          <w:szCs w:val="16"/>
          <w:lang w:val="en-US"/>
        </w:rPr>
        <w:t xml:space="preserve"> v Canada</w:t>
      </w:r>
      <w:r w:rsidRPr="00793101">
        <w:rPr>
          <w:szCs w:val="16"/>
          <w:lang w:val="en-US"/>
        </w:rPr>
        <w:t>, [1999] 2 SCR 203.</w:t>
      </w:r>
    </w:p>
  </w:footnote>
  <w:footnote w:id="457">
    <w:p w14:paraId="0481DD98"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Andrews v Law Society of British Columbia</w:t>
      </w:r>
      <w:r w:rsidRPr="00793101">
        <w:rPr>
          <w:szCs w:val="16"/>
          <w:lang w:val="en-US"/>
        </w:rPr>
        <w:t>, [1989] 1 SCR 143.</w:t>
      </w:r>
    </w:p>
  </w:footnote>
  <w:footnote w:id="458">
    <w:p w14:paraId="051EB277"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bCs/>
          <w:i/>
          <w:szCs w:val="16"/>
          <w:lang w:val="en-US"/>
        </w:rPr>
        <w:t>Canadian Human Rights Act, </w:t>
      </w:r>
      <w:r w:rsidRPr="00793101">
        <w:rPr>
          <w:bCs/>
          <w:szCs w:val="16"/>
          <w:lang w:val="en-US"/>
        </w:rPr>
        <w:t>RSC 1985, c H-6.</w:t>
      </w:r>
    </w:p>
  </w:footnote>
  <w:footnote w:id="459">
    <w:p w14:paraId="05B1331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For an example of provincial legislation, see e.g. Ontario </w:t>
      </w:r>
      <w:r w:rsidRPr="00793101">
        <w:rPr>
          <w:i/>
          <w:szCs w:val="16"/>
          <w:lang w:val="en-US"/>
        </w:rPr>
        <w:t>Human Rights Code</w:t>
      </w:r>
      <w:r w:rsidRPr="00793101">
        <w:rPr>
          <w:szCs w:val="16"/>
          <w:lang w:val="en-US"/>
        </w:rPr>
        <w:t>, RSO 1990, c H-19.</w:t>
      </w:r>
    </w:p>
  </w:footnote>
  <w:footnote w:id="460">
    <w:p w14:paraId="7A017AC7" w14:textId="505BA72E" w:rsidR="00356280" w:rsidRPr="000C692A" w:rsidRDefault="00356280" w:rsidP="0040644D">
      <w:pPr>
        <w:pStyle w:val="AIBodyText"/>
        <w:spacing w:after="0" w:line="240" w:lineRule="auto"/>
        <w:rPr>
          <w:sz w:val="16"/>
          <w:szCs w:val="16"/>
          <w:lang w:val="en-US"/>
        </w:rPr>
      </w:pPr>
      <w:r w:rsidRPr="00793101">
        <w:rPr>
          <w:rStyle w:val="FootnoteReference"/>
          <w:sz w:val="16"/>
          <w:szCs w:val="16"/>
          <w:lang w:val="en-CA"/>
        </w:rPr>
        <w:footnoteRef/>
      </w:r>
      <w:r w:rsidRPr="00793101">
        <w:rPr>
          <w:sz w:val="16"/>
          <w:szCs w:val="16"/>
          <w:lang w:val="en-CA"/>
        </w:rPr>
        <w:t xml:space="preserve"> See, for example, Amnesty International, </w:t>
      </w:r>
      <w:r w:rsidRPr="00793101">
        <w:rPr>
          <w:i/>
          <w:sz w:val="16"/>
          <w:szCs w:val="16"/>
          <w:lang w:val="en-CA"/>
        </w:rPr>
        <w:t>Sierra Leone: Special Court for Sierra Leone: denial of right to appeal and prohibition of amnesties for crimes under international law</w:t>
      </w:r>
      <w:r w:rsidRPr="00793101">
        <w:rPr>
          <w:sz w:val="16"/>
          <w:szCs w:val="16"/>
          <w:lang w:val="en-CA"/>
        </w:rPr>
        <w:t xml:space="preserve">, AI Index: AI: AFR 51/012/2003, (Amnesty International, 2003).  The Committee against Torture has concluded that amnesties for torture and enforced disappearances are prohibited under international law. </w:t>
      </w:r>
      <w:r w:rsidRPr="00793101">
        <w:rPr>
          <w:i/>
          <w:sz w:val="16"/>
          <w:szCs w:val="16"/>
          <w:lang w:val="en-CA"/>
        </w:rPr>
        <w:t>CAT General Comment 2, supra</w:t>
      </w:r>
      <w:r w:rsidRPr="00793101">
        <w:rPr>
          <w:sz w:val="16"/>
          <w:szCs w:val="16"/>
          <w:lang w:val="en-CA"/>
        </w:rPr>
        <w:t xml:space="preserve"> note </w:t>
      </w:r>
      <w:r>
        <w:fldChar w:fldCharType="begin"/>
      </w:r>
      <w:r>
        <w:instrText xml:space="preserve"> NOTEREF _Ref267051086 \h  \* MERGEFORMAT </w:instrText>
      </w:r>
      <w:r>
        <w:fldChar w:fldCharType="separate"/>
      </w:r>
      <w:r w:rsidRPr="00E045AC">
        <w:rPr>
          <w:sz w:val="16"/>
          <w:szCs w:val="16"/>
          <w:lang w:val="en-CA"/>
        </w:rPr>
        <w:t>303</w:t>
      </w:r>
      <w:r>
        <w:fldChar w:fldCharType="end"/>
      </w:r>
      <w:r w:rsidRPr="00793101">
        <w:rPr>
          <w:sz w:val="16"/>
          <w:szCs w:val="16"/>
          <w:lang w:val="en-CA"/>
        </w:rPr>
        <w:t xml:space="preserve"> at para 5. See also Committee against Torture, </w:t>
      </w:r>
      <w:r w:rsidRPr="00793101">
        <w:rPr>
          <w:i/>
          <w:sz w:val="16"/>
          <w:szCs w:val="16"/>
          <w:lang w:val="en-CA"/>
        </w:rPr>
        <w:t>Concluding observations – Spain</w:t>
      </w:r>
      <w:r w:rsidRPr="00793101">
        <w:rPr>
          <w:sz w:val="16"/>
          <w:szCs w:val="16"/>
          <w:lang w:val="en-CA"/>
        </w:rPr>
        <w:t xml:space="preserve">, </w:t>
      </w:r>
      <w:r w:rsidRPr="00793101">
        <w:rPr>
          <w:i/>
          <w:iCs/>
          <w:sz w:val="16"/>
          <w:szCs w:val="16"/>
          <w:lang w:val="en-CA"/>
        </w:rPr>
        <w:t>supra</w:t>
      </w:r>
      <w:r w:rsidRPr="00793101">
        <w:rPr>
          <w:sz w:val="16"/>
          <w:szCs w:val="16"/>
          <w:lang w:val="en-CA"/>
        </w:rPr>
        <w:t xml:space="preserve"> note </w:t>
      </w:r>
      <w:r>
        <w:fldChar w:fldCharType="begin"/>
      </w:r>
      <w:r>
        <w:instrText xml:space="preserve"> NOTEREF _Ref267054697 \h  \* MERGEFORMAT </w:instrText>
      </w:r>
      <w:r>
        <w:fldChar w:fldCharType="separate"/>
      </w:r>
      <w:r w:rsidRPr="00E045AC">
        <w:rPr>
          <w:sz w:val="16"/>
          <w:szCs w:val="16"/>
          <w:lang w:val="en-CA"/>
        </w:rPr>
        <w:t>380</w:t>
      </w:r>
      <w:r>
        <w:fldChar w:fldCharType="end"/>
      </w:r>
      <w:r w:rsidRPr="00793101">
        <w:rPr>
          <w:sz w:val="16"/>
          <w:szCs w:val="16"/>
          <w:lang w:val="en-CA"/>
        </w:rPr>
        <w:t xml:space="preserve"> at </w:t>
      </w:r>
      <w:r w:rsidRPr="000C692A">
        <w:rPr>
          <w:sz w:val="16"/>
          <w:szCs w:val="16"/>
          <w:lang w:val="en-US"/>
        </w:rPr>
        <w:t>para 21.</w:t>
      </w:r>
    </w:p>
  </w:footnote>
  <w:footnote w:id="461">
    <w:p w14:paraId="25D00F71" w14:textId="77777777" w:rsidR="00356280" w:rsidRPr="00793101" w:rsidRDefault="00356280" w:rsidP="0040644D">
      <w:pPr>
        <w:pStyle w:val="FootnoteText"/>
        <w:spacing w:after="0" w:line="240" w:lineRule="auto"/>
        <w:jc w:val="both"/>
        <w:rPr>
          <w:color w:val="auto"/>
          <w:szCs w:val="16"/>
          <w:lang w:val="fr-CA"/>
        </w:rPr>
      </w:pPr>
      <w:r w:rsidRPr="00793101">
        <w:rPr>
          <w:rStyle w:val="FootnoteReference"/>
          <w:color w:val="auto"/>
          <w:szCs w:val="16"/>
          <w:lang w:val="en-CA"/>
        </w:rPr>
        <w:footnoteRef/>
      </w:r>
      <w:r w:rsidRPr="00793101">
        <w:rPr>
          <w:color w:val="auto"/>
          <w:szCs w:val="16"/>
          <w:lang w:val="fr-CA"/>
        </w:rPr>
        <w:t xml:space="preserve"> </w:t>
      </w:r>
      <w:r w:rsidRPr="00793101">
        <w:rPr>
          <w:i/>
          <w:iCs/>
          <w:color w:val="auto"/>
          <w:szCs w:val="16"/>
          <w:lang w:val="fr-CA"/>
        </w:rPr>
        <w:t xml:space="preserve">Canada (Ministre de l’Emploi et de l’Immigration) </w:t>
      </w:r>
      <w:r w:rsidRPr="00793101">
        <w:rPr>
          <w:iCs/>
          <w:color w:val="auto"/>
          <w:szCs w:val="16"/>
          <w:lang w:val="fr-CA"/>
        </w:rPr>
        <w:t>v</w:t>
      </w:r>
      <w:r w:rsidRPr="00793101">
        <w:rPr>
          <w:i/>
          <w:iCs/>
          <w:color w:val="auto"/>
          <w:szCs w:val="16"/>
          <w:lang w:val="fr-CA"/>
        </w:rPr>
        <w:t xml:space="preserve"> </w:t>
      </w:r>
      <w:proofErr w:type="spellStart"/>
      <w:r w:rsidRPr="00793101">
        <w:rPr>
          <w:i/>
          <w:iCs/>
          <w:color w:val="auto"/>
          <w:szCs w:val="16"/>
          <w:lang w:val="fr-CA"/>
        </w:rPr>
        <w:t>Burgon</w:t>
      </w:r>
      <w:proofErr w:type="spellEnd"/>
      <w:r w:rsidRPr="00793101">
        <w:rPr>
          <w:color w:val="auto"/>
          <w:szCs w:val="16"/>
          <w:lang w:val="fr-CA"/>
        </w:rPr>
        <w:t>, [1991] 3 CF 44 (CAF).</w:t>
      </w:r>
    </w:p>
  </w:footnote>
  <w:footnote w:id="462">
    <w:p w14:paraId="39ED324D" w14:textId="77777777" w:rsidR="00356280" w:rsidRPr="000C692A" w:rsidRDefault="00356280" w:rsidP="0040644D">
      <w:pPr>
        <w:pStyle w:val="FootnoteText"/>
        <w:spacing w:after="0" w:line="240" w:lineRule="auto"/>
        <w:jc w:val="both"/>
        <w:rPr>
          <w:color w:val="auto"/>
          <w:szCs w:val="16"/>
          <w:lang w:val="en-US"/>
        </w:rPr>
      </w:pPr>
      <w:r w:rsidRPr="00793101">
        <w:rPr>
          <w:rStyle w:val="FootnoteReference"/>
          <w:color w:val="auto"/>
          <w:szCs w:val="16"/>
          <w:lang w:val="en-CA"/>
        </w:rPr>
        <w:footnoteRef/>
      </w:r>
      <w:r w:rsidRPr="000C692A">
        <w:rPr>
          <w:i/>
          <w:color w:val="auto"/>
          <w:szCs w:val="16"/>
          <w:lang w:val="en-US"/>
        </w:rPr>
        <w:t xml:space="preserve"> Ibid</w:t>
      </w:r>
      <w:r w:rsidRPr="000C692A">
        <w:rPr>
          <w:color w:val="auto"/>
          <w:szCs w:val="16"/>
          <w:lang w:val="en-US"/>
        </w:rPr>
        <w:t xml:space="preserve"> at 62.</w:t>
      </w:r>
    </w:p>
  </w:footnote>
  <w:footnote w:id="463">
    <w:p w14:paraId="5BAF7C0D"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Canada (Minister of Citizenship and Immigration)</w:t>
      </w:r>
      <w:r w:rsidRPr="00793101">
        <w:rPr>
          <w:color w:val="auto"/>
          <w:szCs w:val="16"/>
          <w:lang w:val="en-CA"/>
        </w:rPr>
        <w:t xml:space="preserve"> v </w:t>
      </w:r>
      <w:r w:rsidRPr="00793101">
        <w:rPr>
          <w:i/>
          <w:color w:val="auto"/>
          <w:szCs w:val="16"/>
          <w:lang w:val="en-CA"/>
        </w:rPr>
        <w:t>Saini</w:t>
      </w:r>
      <w:r w:rsidRPr="00793101">
        <w:rPr>
          <w:color w:val="auto"/>
          <w:szCs w:val="16"/>
          <w:lang w:val="en-CA"/>
        </w:rPr>
        <w:t xml:space="preserve"> (CA), 2001 FCA 311, [2002] 1 FC 200 [</w:t>
      </w:r>
      <w:r w:rsidRPr="00793101">
        <w:rPr>
          <w:i/>
          <w:color w:val="auto"/>
          <w:szCs w:val="16"/>
          <w:lang w:val="en-CA"/>
        </w:rPr>
        <w:t>Saini</w:t>
      </w:r>
      <w:r w:rsidRPr="00793101">
        <w:rPr>
          <w:color w:val="auto"/>
          <w:szCs w:val="16"/>
          <w:lang w:val="en-CA"/>
        </w:rPr>
        <w:t>] at para 48.</w:t>
      </w:r>
    </w:p>
  </w:footnote>
  <w:footnote w:id="464">
    <w:p w14:paraId="7636F4E2" w14:textId="77777777" w:rsidR="00356280" w:rsidRPr="007E4354" w:rsidRDefault="00356280" w:rsidP="000D6C42">
      <w:pPr>
        <w:pStyle w:val="FootnoteText"/>
        <w:spacing w:after="0" w:line="240" w:lineRule="auto"/>
        <w:rPr>
          <w:color w:val="auto"/>
          <w:szCs w:val="16"/>
          <w:lang w:val="en-CA"/>
        </w:rPr>
      </w:pPr>
      <w:r w:rsidRPr="007E4354">
        <w:rPr>
          <w:rStyle w:val="FootnoteReference"/>
          <w:color w:val="auto"/>
          <w:szCs w:val="16"/>
          <w:lang w:val="en-CA"/>
        </w:rPr>
        <w:footnoteRef/>
      </w:r>
      <w:r w:rsidRPr="007E4354">
        <w:rPr>
          <w:color w:val="auto"/>
          <w:szCs w:val="16"/>
          <w:lang w:val="en-CA"/>
        </w:rPr>
        <w:t xml:space="preserve"> </w:t>
      </w:r>
      <w:proofErr w:type="spellStart"/>
      <w:r w:rsidRPr="007E4354">
        <w:rPr>
          <w:i/>
          <w:color w:val="auto"/>
          <w:szCs w:val="16"/>
          <w:lang w:val="en-CA"/>
        </w:rPr>
        <w:t>Choujounian-Abulu</w:t>
      </w:r>
      <w:proofErr w:type="spellEnd"/>
      <w:r w:rsidRPr="007E4354">
        <w:rPr>
          <w:color w:val="auto"/>
          <w:szCs w:val="16"/>
          <w:lang w:val="en-CA"/>
        </w:rPr>
        <w:t xml:space="preserve"> v </w:t>
      </w:r>
      <w:r w:rsidRPr="007E4354">
        <w:rPr>
          <w:i/>
          <w:color w:val="auto"/>
          <w:szCs w:val="16"/>
          <w:lang w:val="en-CA"/>
        </w:rPr>
        <w:t>Canada (Citizenship and Immigration)</w:t>
      </w:r>
      <w:r w:rsidRPr="007E4354">
        <w:rPr>
          <w:color w:val="auto"/>
          <w:szCs w:val="16"/>
          <w:lang w:val="en-CA"/>
        </w:rPr>
        <w:t>, 2004 CanLII 56712 (IRB) at para 16.</w:t>
      </w:r>
    </w:p>
  </w:footnote>
  <w:footnote w:id="465">
    <w:p w14:paraId="355D6D1A" w14:textId="39D482A1" w:rsidR="00356280" w:rsidRPr="007E4354" w:rsidRDefault="00356280" w:rsidP="000D6C42">
      <w:pPr>
        <w:pStyle w:val="FootnoteText"/>
        <w:spacing w:after="0" w:line="240" w:lineRule="auto"/>
        <w:rPr>
          <w:color w:val="auto"/>
          <w:szCs w:val="16"/>
          <w:lang w:val="en-CA"/>
        </w:rPr>
      </w:pPr>
      <w:r w:rsidRPr="007E4354">
        <w:rPr>
          <w:rStyle w:val="FootnoteReference"/>
          <w:color w:val="auto"/>
          <w:szCs w:val="16"/>
          <w:lang w:val="en-CA"/>
        </w:rPr>
        <w:footnoteRef/>
      </w:r>
      <w:r w:rsidRPr="007E4354">
        <w:rPr>
          <w:color w:val="auto"/>
          <w:szCs w:val="16"/>
          <w:lang w:val="en-CA"/>
        </w:rPr>
        <w:t xml:space="preserve"> </w:t>
      </w:r>
      <w:r w:rsidRPr="007E4354">
        <w:rPr>
          <w:i/>
          <w:color w:val="auto"/>
          <w:szCs w:val="16"/>
          <w:lang w:val="en-CA"/>
        </w:rPr>
        <w:t>Saini</w:t>
      </w:r>
      <w:r w:rsidRPr="007E4354">
        <w:rPr>
          <w:color w:val="auto"/>
          <w:szCs w:val="16"/>
          <w:lang w:val="en-CA"/>
        </w:rPr>
        <w:t xml:space="preserve">, </w:t>
      </w:r>
      <w:r w:rsidRPr="007E4354">
        <w:rPr>
          <w:i/>
          <w:color w:val="auto"/>
          <w:szCs w:val="16"/>
          <w:lang w:val="en-CA"/>
        </w:rPr>
        <w:t>supra</w:t>
      </w:r>
      <w:r w:rsidRPr="007E4354">
        <w:rPr>
          <w:color w:val="auto"/>
          <w:szCs w:val="16"/>
          <w:lang w:val="en-CA"/>
        </w:rPr>
        <w:t xml:space="preserve"> note </w:t>
      </w:r>
      <w:r w:rsidRPr="007E4354">
        <w:rPr>
          <w:szCs w:val="16"/>
        </w:rPr>
        <w:fldChar w:fldCharType="begin"/>
      </w:r>
      <w:r w:rsidRPr="00AA6144">
        <w:rPr>
          <w:szCs w:val="16"/>
        </w:rPr>
        <w:instrText xml:space="preserve"> NOTEREF _Ref267055507 \h  \* MERGEFORMAT </w:instrText>
      </w:r>
      <w:r w:rsidRPr="007E4354">
        <w:rPr>
          <w:szCs w:val="16"/>
        </w:rPr>
      </w:r>
      <w:r w:rsidRPr="007E4354">
        <w:rPr>
          <w:szCs w:val="16"/>
        </w:rPr>
        <w:fldChar w:fldCharType="separate"/>
      </w:r>
      <w:r w:rsidRPr="00E045AC">
        <w:rPr>
          <w:color w:val="auto"/>
          <w:szCs w:val="16"/>
          <w:lang w:val="en-CA"/>
        </w:rPr>
        <w:t>463</w:t>
      </w:r>
      <w:r w:rsidRPr="007E4354">
        <w:rPr>
          <w:szCs w:val="16"/>
        </w:rPr>
        <w:fldChar w:fldCharType="end"/>
      </w:r>
      <w:r w:rsidRPr="007E4354">
        <w:rPr>
          <w:color w:val="auto"/>
          <w:szCs w:val="16"/>
          <w:lang w:val="en-CA"/>
        </w:rPr>
        <w:t xml:space="preserve"> at para 35.</w:t>
      </w:r>
    </w:p>
  </w:footnote>
  <w:footnote w:id="466">
    <w:p w14:paraId="5C2F409B" w14:textId="77777777" w:rsidR="00356280" w:rsidRPr="007E4354" w:rsidRDefault="00356280" w:rsidP="000D6C42">
      <w:pPr>
        <w:pStyle w:val="FootnoteText"/>
        <w:spacing w:after="0" w:line="240" w:lineRule="auto"/>
        <w:rPr>
          <w:color w:val="auto"/>
          <w:szCs w:val="16"/>
          <w:lang w:val="en-CA"/>
        </w:rPr>
      </w:pPr>
      <w:r w:rsidRPr="007E4354">
        <w:rPr>
          <w:rStyle w:val="FootnoteReference"/>
          <w:color w:val="auto"/>
          <w:szCs w:val="16"/>
          <w:lang w:val="en-CA"/>
        </w:rPr>
        <w:footnoteRef/>
      </w:r>
      <w:r w:rsidRPr="007E4354">
        <w:rPr>
          <w:i/>
          <w:color w:val="auto"/>
          <w:szCs w:val="16"/>
          <w:lang w:val="en-CA"/>
        </w:rPr>
        <w:t xml:space="preserve"> Ibid</w:t>
      </w:r>
      <w:r w:rsidRPr="007E4354">
        <w:rPr>
          <w:color w:val="auto"/>
          <w:szCs w:val="16"/>
          <w:lang w:val="en-CA"/>
        </w:rPr>
        <w:t xml:space="preserve"> at para 40.</w:t>
      </w:r>
    </w:p>
  </w:footnote>
  <w:footnote w:id="467">
    <w:p w14:paraId="1BCE6310" w14:textId="77777777" w:rsidR="00356280" w:rsidRPr="007E4354" w:rsidRDefault="00356280" w:rsidP="000D6C42">
      <w:pPr>
        <w:pStyle w:val="FootnoteText"/>
        <w:spacing w:after="0" w:line="240" w:lineRule="auto"/>
        <w:rPr>
          <w:color w:val="auto"/>
          <w:szCs w:val="16"/>
          <w:lang w:val="en-CA"/>
        </w:rPr>
      </w:pPr>
      <w:r w:rsidRPr="007E4354">
        <w:rPr>
          <w:rStyle w:val="FootnoteReference"/>
          <w:color w:val="auto"/>
          <w:szCs w:val="16"/>
          <w:lang w:val="en-CA"/>
        </w:rPr>
        <w:footnoteRef/>
      </w:r>
      <w:r w:rsidRPr="007E4354">
        <w:rPr>
          <w:color w:val="auto"/>
          <w:szCs w:val="16"/>
          <w:lang w:val="en-CA"/>
        </w:rPr>
        <w:t xml:space="preserve"> </w:t>
      </w:r>
      <w:r w:rsidRPr="007E4354">
        <w:rPr>
          <w:i/>
          <w:color w:val="auto"/>
          <w:szCs w:val="16"/>
          <w:lang w:val="en-CA"/>
        </w:rPr>
        <w:t>Smith</w:t>
      </w:r>
      <w:r w:rsidRPr="007E4354">
        <w:rPr>
          <w:color w:val="auto"/>
          <w:szCs w:val="16"/>
          <w:lang w:val="en-CA"/>
        </w:rPr>
        <w:t xml:space="preserve"> v </w:t>
      </w:r>
      <w:r w:rsidRPr="007E4354">
        <w:rPr>
          <w:i/>
          <w:color w:val="auto"/>
          <w:szCs w:val="16"/>
          <w:lang w:val="en-CA"/>
        </w:rPr>
        <w:t>Canada (Minister of Citizenship and Immigration)</w:t>
      </w:r>
      <w:r w:rsidRPr="007E4354">
        <w:rPr>
          <w:color w:val="auto"/>
          <w:szCs w:val="16"/>
          <w:lang w:val="en-CA"/>
        </w:rPr>
        <w:t>, [1998] 3 FC 144 (TD).</w:t>
      </w:r>
    </w:p>
  </w:footnote>
  <w:footnote w:id="468">
    <w:p w14:paraId="57BB0DBD" w14:textId="77777777" w:rsidR="00356280" w:rsidRPr="007E4354" w:rsidRDefault="00356280" w:rsidP="000D6C42">
      <w:pPr>
        <w:pStyle w:val="FootnoteText"/>
        <w:spacing w:after="0" w:line="240" w:lineRule="auto"/>
        <w:rPr>
          <w:color w:val="auto"/>
          <w:szCs w:val="16"/>
          <w:lang w:val="en-CA"/>
        </w:rPr>
      </w:pPr>
      <w:r w:rsidRPr="007E4354">
        <w:rPr>
          <w:rStyle w:val="FootnoteReference"/>
          <w:color w:val="auto"/>
          <w:szCs w:val="16"/>
          <w:lang w:val="en-CA"/>
        </w:rPr>
        <w:footnoteRef/>
      </w:r>
      <w:r w:rsidRPr="007E4354">
        <w:rPr>
          <w:color w:val="auto"/>
          <w:szCs w:val="16"/>
          <w:lang w:val="en-CA"/>
        </w:rPr>
        <w:t xml:space="preserve"> </w:t>
      </w:r>
      <w:r w:rsidRPr="007E4354">
        <w:rPr>
          <w:i/>
          <w:color w:val="auto"/>
          <w:szCs w:val="16"/>
          <w:lang w:val="en-CA"/>
        </w:rPr>
        <w:t>Therrien (Re)</w:t>
      </w:r>
      <w:r w:rsidRPr="007E4354">
        <w:rPr>
          <w:color w:val="auto"/>
          <w:szCs w:val="16"/>
          <w:lang w:val="en-CA"/>
        </w:rPr>
        <w:t>, [2001] 2 SCR 3, 2001 SCC 35 [</w:t>
      </w:r>
      <w:r w:rsidRPr="007E4354">
        <w:rPr>
          <w:i/>
          <w:color w:val="auto"/>
          <w:szCs w:val="16"/>
          <w:lang w:val="en-CA"/>
        </w:rPr>
        <w:t>Therrien (Re)</w:t>
      </w:r>
      <w:r w:rsidRPr="007E4354">
        <w:rPr>
          <w:color w:val="auto"/>
          <w:szCs w:val="16"/>
          <w:lang w:val="en-CA"/>
        </w:rPr>
        <w:t>].</w:t>
      </w:r>
    </w:p>
  </w:footnote>
  <w:footnote w:id="469">
    <w:p w14:paraId="3E0AFCF4" w14:textId="3DEB7286" w:rsidR="00356280" w:rsidRPr="007E4354" w:rsidRDefault="00356280" w:rsidP="000D6C42">
      <w:pPr>
        <w:pStyle w:val="FootnoteText"/>
        <w:spacing w:after="0" w:line="240" w:lineRule="auto"/>
        <w:rPr>
          <w:szCs w:val="16"/>
          <w:lang w:val="en-US"/>
        </w:rPr>
      </w:pPr>
      <w:r w:rsidRPr="007E4354">
        <w:rPr>
          <w:rStyle w:val="FootnoteReference"/>
          <w:szCs w:val="16"/>
        </w:rPr>
        <w:footnoteRef/>
      </w:r>
      <w:r w:rsidRPr="007E4354">
        <w:rPr>
          <w:szCs w:val="16"/>
        </w:rPr>
        <w:t xml:space="preserve"> </w:t>
      </w:r>
      <w:r w:rsidRPr="007E4354">
        <w:rPr>
          <w:i/>
          <w:color w:val="auto"/>
          <w:szCs w:val="16"/>
          <w:lang w:val="en-CA"/>
        </w:rPr>
        <w:t>Saini</w:t>
      </w:r>
      <w:r w:rsidRPr="007E4354">
        <w:rPr>
          <w:color w:val="auto"/>
          <w:szCs w:val="16"/>
          <w:lang w:val="en-CA"/>
        </w:rPr>
        <w:t xml:space="preserve">, </w:t>
      </w:r>
      <w:r w:rsidRPr="007E4354">
        <w:rPr>
          <w:i/>
          <w:color w:val="auto"/>
          <w:szCs w:val="16"/>
          <w:lang w:val="en-CA"/>
        </w:rPr>
        <w:t>supra</w:t>
      </w:r>
      <w:r w:rsidRPr="007E4354">
        <w:rPr>
          <w:color w:val="auto"/>
          <w:szCs w:val="16"/>
          <w:lang w:val="en-CA"/>
        </w:rPr>
        <w:t xml:space="preserve"> note </w:t>
      </w:r>
      <w:r w:rsidRPr="007E4354">
        <w:rPr>
          <w:szCs w:val="16"/>
        </w:rPr>
        <w:fldChar w:fldCharType="begin"/>
      </w:r>
      <w:r w:rsidRPr="00AA6144">
        <w:rPr>
          <w:szCs w:val="16"/>
        </w:rPr>
        <w:instrText xml:space="preserve"> NOTEREF _Ref267055507 \h  \* MERGEFORMAT </w:instrText>
      </w:r>
      <w:r w:rsidRPr="007E4354">
        <w:rPr>
          <w:szCs w:val="16"/>
        </w:rPr>
      </w:r>
      <w:r w:rsidRPr="007E4354">
        <w:rPr>
          <w:szCs w:val="16"/>
        </w:rPr>
        <w:fldChar w:fldCharType="separate"/>
      </w:r>
      <w:r w:rsidRPr="00E045AC">
        <w:rPr>
          <w:color w:val="auto"/>
          <w:szCs w:val="16"/>
          <w:lang w:val="en-CA"/>
        </w:rPr>
        <w:t>463</w:t>
      </w:r>
      <w:r w:rsidRPr="007E4354">
        <w:rPr>
          <w:szCs w:val="16"/>
        </w:rPr>
        <w:fldChar w:fldCharType="end"/>
      </w:r>
      <w:r w:rsidRPr="007E4354">
        <w:rPr>
          <w:color w:val="auto"/>
          <w:szCs w:val="16"/>
          <w:lang w:val="en-CA"/>
        </w:rPr>
        <w:t xml:space="preserve"> at para 40.</w:t>
      </w:r>
    </w:p>
  </w:footnote>
  <w:footnote w:id="470">
    <w:p w14:paraId="4696E8B1" w14:textId="59E4874E" w:rsidR="00356280" w:rsidRPr="007E4354" w:rsidRDefault="00356280" w:rsidP="000D6C42">
      <w:pPr>
        <w:pStyle w:val="FootnoteText"/>
        <w:spacing w:after="0" w:line="240" w:lineRule="auto"/>
        <w:rPr>
          <w:color w:val="auto"/>
          <w:szCs w:val="16"/>
          <w:lang w:val="en-CA"/>
        </w:rPr>
      </w:pPr>
      <w:r w:rsidRPr="007E4354">
        <w:rPr>
          <w:rStyle w:val="FootnoteReference"/>
          <w:color w:val="auto"/>
          <w:szCs w:val="16"/>
          <w:lang w:val="en-CA"/>
        </w:rPr>
        <w:footnoteRef/>
      </w:r>
      <w:r w:rsidRPr="007E4354">
        <w:rPr>
          <w:color w:val="auto"/>
          <w:szCs w:val="16"/>
          <w:lang w:val="en-CA"/>
        </w:rPr>
        <w:t xml:space="preserve"> </w:t>
      </w:r>
      <w:r w:rsidRPr="007E4354">
        <w:rPr>
          <w:i/>
          <w:color w:val="auto"/>
          <w:szCs w:val="16"/>
          <w:lang w:val="en-CA"/>
        </w:rPr>
        <w:t>Therrien (Re)</w:t>
      </w:r>
      <w:r w:rsidRPr="007E4354">
        <w:rPr>
          <w:color w:val="auto"/>
          <w:szCs w:val="16"/>
          <w:lang w:val="en-CA"/>
        </w:rPr>
        <w:t xml:space="preserve">, </w:t>
      </w:r>
      <w:r w:rsidRPr="007E4354">
        <w:rPr>
          <w:i/>
          <w:color w:val="auto"/>
          <w:szCs w:val="16"/>
          <w:lang w:val="en-CA"/>
        </w:rPr>
        <w:t xml:space="preserve">supra </w:t>
      </w:r>
      <w:r w:rsidRPr="007E4354">
        <w:rPr>
          <w:color w:val="auto"/>
          <w:szCs w:val="16"/>
          <w:lang w:val="en-CA"/>
        </w:rPr>
        <w:t xml:space="preserve">note </w:t>
      </w:r>
      <w:r w:rsidRPr="007E4354">
        <w:rPr>
          <w:szCs w:val="16"/>
        </w:rPr>
        <w:fldChar w:fldCharType="begin"/>
      </w:r>
      <w:r w:rsidRPr="00AA6144">
        <w:rPr>
          <w:szCs w:val="16"/>
        </w:rPr>
        <w:instrText xml:space="preserve"> NOTEREF _Ref267055531 \h  \* MERGEFORMAT </w:instrText>
      </w:r>
      <w:r w:rsidRPr="007E4354">
        <w:rPr>
          <w:szCs w:val="16"/>
        </w:rPr>
      </w:r>
      <w:r w:rsidRPr="007E4354">
        <w:rPr>
          <w:szCs w:val="16"/>
        </w:rPr>
        <w:fldChar w:fldCharType="separate"/>
      </w:r>
      <w:r w:rsidRPr="00E045AC">
        <w:rPr>
          <w:color w:val="auto"/>
          <w:szCs w:val="16"/>
          <w:lang w:val="en-CA"/>
        </w:rPr>
        <w:t>468</w:t>
      </w:r>
      <w:r w:rsidRPr="007E4354">
        <w:rPr>
          <w:szCs w:val="16"/>
        </w:rPr>
        <w:fldChar w:fldCharType="end"/>
      </w:r>
      <w:r w:rsidRPr="007E4354">
        <w:rPr>
          <w:color w:val="auto"/>
          <w:szCs w:val="16"/>
          <w:lang w:val="en-CA"/>
        </w:rPr>
        <w:t>.</w:t>
      </w:r>
    </w:p>
  </w:footnote>
  <w:footnote w:id="471">
    <w:p w14:paraId="2669B627" w14:textId="77777777" w:rsidR="00356280" w:rsidRPr="00AA6144" w:rsidRDefault="00356280" w:rsidP="000D6C42">
      <w:pPr>
        <w:pStyle w:val="FootnoteText"/>
        <w:spacing w:after="0" w:line="240" w:lineRule="auto"/>
        <w:rPr>
          <w:szCs w:val="16"/>
          <w:lang w:val="en-CA"/>
        </w:rPr>
      </w:pPr>
      <w:r w:rsidRPr="007E4354">
        <w:rPr>
          <w:rStyle w:val="FootnoteReference"/>
          <w:szCs w:val="16"/>
        </w:rPr>
        <w:footnoteRef/>
      </w:r>
      <w:r w:rsidRPr="00AA6144">
        <w:rPr>
          <w:szCs w:val="16"/>
          <w:lang w:val="en-CA"/>
        </w:rPr>
        <w:t xml:space="preserve"> </w:t>
      </w:r>
      <w:proofErr w:type="gramStart"/>
      <w:r w:rsidRPr="00AA6144">
        <w:rPr>
          <w:i/>
          <w:szCs w:val="16"/>
          <w:lang w:val="en-CA"/>
        </w:rPr>
        <w:t>Saini</w:t>
      </w:r>
      <w:r w:rsidRPr="007E4354">
        <w:rPr>
          <w:color w:val="auto"/>
          <w:szCs w:val="16"/>
          <w:lang w:val="en-CA"/>
        </w:rPr>
        <w:t>,</w:t>
      </w:r>
      <w:proofErr w:type="gramEnd"/>
      <w:r w:rsidRPr="007E4354">
        <w:rPr>
          <w:color w:val="auto"/>
          <w:szCs w:val="16"/>
          <w:lang w:val="en-CA"/>
        </w:rPr>
        <w:t xml:space="preserve"> </w:t>
      </w:r>
      <w:r w:rsidRPr="007E4354">
        <w:rPr>
          <w:i/>
          <w:color w:val="auto"/>
          <w:szCs w:val="16"/>
          <w:lang w:val="en-CA"/>
        </w:rPr>
        <w:t>supra</w:t>
      </w:r>
      <w:r w:rsidRPr="007E4354">
        <w:rPr>
          <w:color w:val="auto"/>
          <w:szCs w:val="16"/>
          <w:lang w:val="en-CA"/>
        </w:rPr>
        <w:t xml:space="preserve"> note 411 at </w:t>
      </w:r>
      <w:r w:rsidRPr="00AA6144">
        <w:rPr>
          <w:szCs w:val="16"/>
          <w:lang w:val="en-CA"/>
        </w:rPr>
        <w:t>para 40.</w:t>
      </w:r>
    </w:p>
  </w:footnote>
  <w:footnote w:id="472">
    <w:p w14:paraId="3C2E5AE1" w14:textId="3677B6BC" w:rsidR="00356280" w:rsidRPr="000D6C42" w:rsidRDefault="00356280" w:rsidP="000D6C42">
      <w:pPr>
        <w:pStyle w:val="FootnoteText"/>
        <w:spacing w:after="0" w:line="240" w:lineRule="auto"/>
        <w:rPr>
          <w:color w:val="auto"/>
          <w:szCs w:val="16"/>
          <w:lang w:val="en-CA"/>
        </w:rPr>
      </w:pPr>
      <w:r w:rsidRPr="000D6C42">
        <w:rPr>
          <w:color w:val="auto"/>
          <w:vertAlign w:val="superscript"/>
          <w:lang w:val="en-CA"/>
        </w:rPr>
        <w:footnoteRef/>
      </w:r>
      <w:r w:rsidRPr="000D6C42">
        <w:rPr>
          <w:color w:val="auto"/>
          <w:szCs w:val="16"/>
          <w:vertAlign w:val="superscript"/>
          <w:lang w:val="en-CA"/>
        </w:rPr>
        <w:t xml:space="preserve"> </w:t>
      </w:r>
      <w:proofErr w:type="spellStart"/>
      <w:r w:rsidRPr="000D6C42">
        <w:rPr>
          <w:i/>
          <w:iCs/>
          <w:color w:val="auto"/>
          <w:szCs w:val="16"/>
          <w:lang w:val="en-CA"/>
        </w:rPr>
        <w:t>Magtibay</w:t>
      </w:r>
      <w:proofErr w:type="spellEnd"/>
      <w:r w:rsidRPr="000D6C42">
        <w:rPr>
          <w:i/>
          <w:iCs/>
          <w:color w:val="auto"/>
          <w:szCs w:val="16"/>
          <w:lang w:val="en-CA"/>
        </w:rPr>
        <w:t xml:space="preserve"> v. Canada (Minister of Citizenship and Immigration</w:t>
      </w:r>
      <w:r>
        <w:rPr>
          <w:i/>
          <w:iCs/>
          <w:color w:val="auto"/>
          <w:szCs w:val="16"/>
          <w:lang w:val="en-CA"/>
        </w:rPr>
        <w:t>)</w:t>
      </w:r>
      <w:r w:rsidRPr="000D6C42">
        <w:rPr>
          <w:color w:val="auto"/>
          <w:szCs w:val="16"/>
          <w:lang w:val="en-CA"/>
        </w:rPr>
        <w:t>, 2005 FC 397, at para 18.</w:t>
      </w:r>
    </w:p>
  </w:footnote>
  <w:footnote w:id="473">
    <w:p w14:paraId="0D0C0AE8" w14:textId="367EF06A" w:rsidR="00356280" w:rsidRPr="00AA6144" w:rsidRDefault="00356280" w:rsidP="000D6C42">
      <w:pPr>
        <w:pStyle w:val="FootnoteText"/>
        <w:spacing w:after="0" w:line="240" w:lineRule="auto"/>
        <w:rPr>
          <w:rFonts w:ascii="Times New Roman" w:hAnsi="Times New Roman"/>
          <w:color w:val="auto"/>
          <w:szCs w:val="16"/>
          <w:lang w:val="en-CA" w:eastAsia="en-US"/>
        </w:rPr>
      </w:pPr>
      <w:r w:rsidRPr="000D6C42">
        <w:rPr>
          <w:color w:val="auto"/>
          <w:vertAlign w:val="superscript"/>
          <w:lang w:val="en-CA"/>
        </w:rPr>
        <w:footnoteRef/>
      </w:r>
      <w:r w:rsidRPr="000D6C42">
        <w:rPr>
          <w:color w:val="auto"/>
          <w:szCs w:val="16"/>
          <w:vertAlign w:val="superscript"/>
          <w:lang w:val="en-CA"/>
        </w:rPr>
        <w:t xml:space="preserve"> </w:t>
      </w:r>
      <w:proofErr w:type="spellStart"/>
      <w:r w:rsidRPr="000D6C42">
        <w:rPr>
          <w:i/>
          <w:iCs/>
          <w:color w:val="auto"/>
          <w:szCs w:val="16"/>
          <w:lang w:val="en-CA"/>
        </w:rPr>
        <w:t>Sicuro</w:t>
      </w:r>
      <w:proofErr w:type="spellEnd"/>
      <w:r w:rsidRPr="000D6C42">
        <w:rPr>
          <w:i/>
          <w:iCs/>
          <w:color w:val="auto"/>
          <w:szCs w:val="16"/>
          <w:lang w:val="en-CA"/>
        </w:rPr>
        <w:t xml:space="preserve"> v. Canada (Minister of Citizenship and Immigration),</w:t>
      </w:r>
      <w:r w:rsidRPr="000D6C42">
        <w:rPr>
          <w:color w:val="auto"/>
          <w:szCs w:val="16"/>
          <w:lang w:val="en-CA"/>
        </w:rPr>
        <w:t xml:space="preserve"> 2004 FC 461, at para 27.</w:t>
      </w:r>
      <w:r w:rsidRPr="00AA6144">
        <w:rPr>
          <w:rFonts w:ascii="Verdana" w:hAnsi="Verdana"/>
          <w:color w:val="212529"/>
          <w:szCs w:val="16"/>
          <w:shd w:val="clear" w:color="auto" w:fill="FFFFFF"/>
          <w:lang w:val="en-CA" w:eastAsia="en-US"/>
        </w:rPr>
        <w:t xml:space="preserve"> </w:t>
      </w:r>
    </w:p>
  </w:footnote>
  <w:footnote w:id="474">
    <w:p w14:paraId="6AA7DB26" w14:textId="29AA0B09" w:rsidR="00356280" w:rsidRPr="000D6C42" w:rsidRDefault="00356280" w:rsidP="000D6C42">
      <w:pPr>
        <w:widowControl/>
        <w:suppressAutoHyphens w:val="0"/>
        <w:spacing w:after="0" w:line="240" w:lineRule="auto"/>
        <w:rPr>
          <w:rFonts w:ascii="Times New Roman" w:hAnsi="Times New Roman"/>
          <w:color w:val="auto"/>
          <w:sz w:val="16"/>
          <w:szCs w:val="16"/>
          <w:lang w:val="en-CA" w:eastAsia="en-US"/>
        </w:rPr>
      </w:pPr>
      <w:r w:rsidRPr="00AA6144">
        <w:rPr>
          <w:rStyle w:val="FootnoteReference"/>
          <w:sz w:val="16"/>
          <w:szCs w:val="16"/>
        </w:rPr>
        <w:footnoteRef/>
      </w:r>
      <w:r w:rsidRPr="00AA6144">
        <w:rPr>
          <w:sz w:val="16"/>
          <w:szCs w:val="16"/>
          <w:lang w:val="en-CA"/>
        </w:rPr>
        <w:t xml:space="preserve"> </w:t>
      </w:r>
      <w:r w:rsidRPr="000D6C42">
        <w:rPr>
          <w:i/>
          <w:iCs/>
          <w:sz w:val="16"/>
          <w:szCs w:val="16"/>
          <w:lang w:val="en-CA"/>
        </w:rPr>
        <w:t>S.A. v. Canada (Minister of Citizenship and Immigration),</w:t>
      </w:r>
      <w:r w:rsidRPr="00AA6144">
        <w:rPr>
          <w:sz w:val="16"/>
          <w:szCs w:val="16"/>
          <w:lang w:val="en-CA"/>
        </w:rPr>
        <w:t xml:space="preserve"> </w:t>
      </w:r>
      <w:r w:rsidRPr="000D6C42">
        <w:rPr>
          <w:color w:val="auto"/>
          <w:sz w:val="16"/>
          <w:szCs w:val="16"/>
          <w:lang w:val="en-CA"/>
        </w:rPr>
        <w:t>2006 FC 515, at para 18.</w:t>
      </w:r>
    </w:p>
  </w:footnote>
  <w:footnote w:id="475">
    <w:p w14:paraId="407DC691" w14:textId="77777777" w:rsidR="00356280" w:rsidRPr="00793101" w:rsidRDefault="00356280" w:rsidP="000D6C42">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bCs/>
          <w:i/>
          <w:szCs w:val="16"/>
          <w:lang w:val="en-US"/>
        </w:rPr>
        <w:t xml:space="preserve">Criminal Records Act, </w:t>
      </w:r>
      <w:r w:rsidRPr="00793101">
        <w:rPr>
          <w:bCs/>
          <w:szCs w:val="16"/>
          <w:lang w:val="en-US"/>
        </w:rPr>
        <w:t>RSC 1985, c C-47.</w:t>
      </w:r>
    </w:p>
  </w:footnote>
  <w:footnote w:id="476">
    <w:p w14:paraId="34377EB2"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color w:val="auto"/>
          <w:szCs w:val="16"/>
          <w:lang w:val="en-CA"/>
        </w:rPr>
        <w:footnoteRef/>
      </w:r>
      <w:r w:rsidRPr="00793101">
        <w:rPr>
          <w:color w:val="auto"/>
          <w:szCs w:val="16"/>
          <w:lang w:val="en-CA"/>
        </w:rPr>
        <w:t xml:space="preserve"> </w:t>
      </w:r>
      <w:r w:rsidRPr="00793101">
        <w:rPr>
          <w:i/>
          <w:color w:val="auto"/>
          <w:szCs w:val="16"/>
          <w:lang w:val="en-CA"/>
        </w:rPr>
        <w:t xml:space="preserve">Order Declaring an Amnesty Period, </w:t>
      </w:r>
      <w:r w:rsidRPr="00793101">
        <w:rPr>
          <w:color w:val="auto"/>
          <w:szCs w:val="16"/>
          <w:lang w:val="en-CA"/>
        </w:rPr>
        <w:t xml:space="preserve">SOR/98-467; </w:t>
      </w:r>
      <w:r w:rsidRPr="00793101">
        <w:rPr>
          <w:i/>
          <w:color w:val="auto"/>
          <w:szCs w:val="16"/>
          <w:lang w:val="en-CA"/>
        </w:rPr>
        <w:t xml:space="preserve">Order Declaring an Amnesty Period, </w:t>
      </w:r>
      <w:r w:rsidRPr="00793101">
        <w:rPr>
          <w:color w:val="auto"/>
          <w:szCs w:val="16"/>
          <w:lang w:val="en-CA"/>
        </w:rPr>
        <w:t>SOR/2006-95.</w:t>
      </w:r>
    </w:p>
  </w:footnote>
  <w:footnote w:id="477">
    <w:p w14:paraId="50043A38" w14:textId="1D53485B"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proofErr w:type="gramStart"/>
      <w:r w:rsidRPr="00793101">
        <w:rPr>
          <w:i/>
          <w:szCs w:val="16"/>
          <w:lang w:val="en-US"/>
        </w:rPr>
        <w:t>Extradition Act,</w:t>
      </w:r>
      <w:proofErr w:type="gramEnd"/>
      <w:r w:rsidRPr="00793101">
        <w:rPr>
          <w:i/>
          <w:szCs w:val="16"/>
          <w:lang w:val="en-US"/>
        </w:rPr>
        <w:t xml:space="preserve"> supra</w:t>
      </w:r>
      <w:r w:rsidRPr="00793101">
        <w:rPr>
          <w:szCs w:val="16"/>
          <w:lang w:val="en-US"/>
        </w:rPr>
        <w:t xml:space="preserve"> note </w:t>
      </w:r>
      <w:r>
        <w:fldChar w:fldCharType="begin"/>
      </w:r>
      <w:r>
        <w:instrText xml:space="preserve"> NOTEREF _Ref267054270 \h  \* MERGEFORMAT </w:instrText>
      </w:r>
      <w:r>
        <w:fldChar w:fldCharType="separate"/>
      </w:r>
      <w:r w:rsidRPr="00E045AC">
        <w:rPr>
          <w:szCs w:val="16"/>
          <w:lang w:val="en-US"/>
        </w:rPr>
        <w:t>376</w:t>
      </w:r>
      <w:r>
        <w:fldChar w:fldCharType="end"/>
      </w:r>
      <w:r w:rsidRPr="00793101">
        <w:rPr>
          <w:szCs w:val="16"/>
          <w:lang w:val="en-US"/>
        </w:rPr>
        <w:t>.</w:t>
      </w:r>
    </w:p>
  </w:footnote>
  <w:footnote w:id="478">
    <w:p w14:paraId="4D3A6217"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Canada has bilateral extradition treaties (whether under its own auspices or those of Great Britain for treaties which predate the Statute of Westminster) with fifty nation-states including: Albania (1928), Argentina (1894), Austria (2000), Belgium (1902), Bolivia (1898), Brazil (signed in 1995 but not yet in force), Chile (1898), Colombia (1899), Cuba (1905), Czech Republic (1926), Denmark (1979), Ecuador (1886), El Salvador (1883), Estonia (1928), Finland (1985), France (1989), Germany (1979), Greece (1912), Guatemala (1886), Haiti (1876), Hong Kong (1997), Hungary (1874), Iceland (1873), India (1987), Israel (1969), Italy (2010), Korea (1995), Latvia (1928), Liberia (1894), Lithuania (1928), Luxemburg (1881), Mexico (1990), Monaco (1892), Netherlands (1991), Nicaragua (1906), Norway (1873), Panama (1907), Paraguay (1911), Peru (1907), Philippines (1990), Portugal (1894), Romania (1894), San Marino (1900), South Africa (2001), Spain (1990), Sweden (2001), Switzerland (1996), Thailand (1911), the United States (1976), and Uruguay (1885).</w:t>
      </w:r>
    </w:p>
  </w:footnote>
  <w:footnote w:id="479">
    <w:p w14:paraId="53D1EDD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Canada has signed 27 multilateral international conventions or protocols with provisions relating to extradition. For a complete list, see </w:t>
      </w:r>
      <w:r w:rsidRPr="00793101">
        <w:rPr>
          <w:szCs w:val="16"/>
        </w:rPr>
        <w:t xml:space="preserve">Gary Botting, </w:t>
      </w:r>
      <w:r w:rsidRPr="00793101">
        <w:rPr>
          <w:i/>
          <w:szCs w:val="16"/>
        </w:rPr>
        <w:t>Canadian Extradition Law Practice,</w:t>
      </w:r>
      <w:r w:rsidRPr="00793101">
        <w:rPr>
          <w:szCs w:val="16"/>
        </w:rPr>
        <w:t xml:space="preserve"> 2012 ed, (Markham, ON: LexisNexis Canada, 2012) at p. 393.  See also online: Canada Treaty </w:t>
      </w:r>
      <w:proofErr w:type="gramStart"/>
      <w:r w:rsidRPr="00793101">
        <w:rPr>
          <w:szCs w:val="16"/>
        </w:rPr>
        <w:t>Information  &lt;</w:t>
      </w:r>
      <w:proofErr w:type="gramEnd"/>
      <w:r w:rsidRPr="00793101">
        <w:rPr>
          <w:szCs w:val="16"/>
        </w:rPr>
        <w:t xml:space="preserve"> www.treaty-accord.gc.ca &gt;.</w:t>
      </w:r>
    </w:p>
  </w:footnote>
  <w:footnote w:id="480">
    <w:p w14:paraId="379E10A5" w14:textId="1B8E4B11"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Vienna Convention on the Law of Treaties, supra </w:t>
      </w:r>
      <w:r w:rsidRPr="00793101">
        <w:rPr>
          <w:szCs w:val="16"/>
          <w:lang w:val="en-US"/>
        </w:rPr>
        <w:t xml:space="preserve">note </w:t>
      </w:r>
      <w:r>
        <w:fldChar w:fldCharType="begin"/>
      </w:r>
      <w:r>
        <w:instrText xml:space="preserve"> NOTEREF _Ref265762095 \h  \* MERGEFORMAT </w:instrText>
      </w:r>
      <w:r>
        <w:fldChar w:fldCharType="separate"/>
      </w:r>
      <w:r w:rsidRPr="00E045AC">
        <w:rPr>
          <w:szCs w:val="16"/>
          <w:lang w:val="en-US"/>
        </w:rPr>
        <w:t>13</w:t>
      </w:r>
      <w:r>
        <w:fldChar w:fldCharType="end"/>
      </w:r>
      <w:r w:rsidRPr="00793101">
        <w:rPr>
          <w:szCs w:val="16"/>
          <w:lang w:val="en-US"/>
        </w:rPr>
        <w:t>,</w:t>
      </w:r>
      <w:r w:rsidRPr="00793101">
        <w:rPr>
          <w:i/>
          <w:szCs w:val="16"/>
          <w:lang w:val="en-US"/>
        </w:rPr>
        <w:t xml:space="preserve"> </w:t>
      </w:r>
      <w:r w:rsidRPr="00793101">
        <w:rPr>
          <w:szCs w:val="16"/>
          <w:lang w:val="en-US"/>
        </w:rPr>
        <w:t>art 27.</w:t>
      </w:r>
    </w:p>
  </w:footnote>
  <w:footnote w:id="481">
    <w:p w14:paraId="45F164FB" w14:textId="5AE79E65"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Extradition Act, supra</w:t>
      </w:r>
      <w:r w:rsidRPr="00793101">
        <w:rPr>
          <w:szCs w:val="16"/>
          <w:lang w:val="en-US"/>
        </w:rPr>
        <w:t xml:space="preserve"> note </w:t>
      </w:r>
      <w:r>
        <w:fldChar w:fldCharType="begin"/>
      </w:r>
      <w:r>
        <w:instrText xml:space="preserve"> NOTEREF _Ref267054270 \h  \* MERGEFORMAT </w:instrText>
      </w:r>
      <w:r>
        <w:fldChar w:fldCharType="separate"/>
      </w:r>
      <w:r w:rsidRPr="00E045AC">
        <w:rPr>
          <w:szCs w:val="16"/>
          <w:lang w:val="en-US"/>
        </w:rPr>
        <w:t>376</w:t>
      </w:r>
      <w:r>
        <w:fldChar w:fldCharType="end"/>
      </w:r>
      <w:r w:rsidRPr="00793101">
        <w:rPr>
          <w:szCs w:val="16"/>
          <w:lang w:val="en-US"/>
        </w:rPr>
        <w:t>, s 10.</w:t>
      </w:r>
    </w:p>
  </w:footnote>
  <w:footnote w:id="482">
    <w:p w14:paraId="58BBBF42"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78(1).</w:t>
      </w:r>
    </w:p>
  </w:footnote>
  <w:footnote w:id="483">
    <w:p w14:paraId="35A52B28"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s77.</w:t>
      </w:r>
    </w:p>
  </w:footnote>
  <w:footnote w:id="484">
    <w:p w14:paraId="1C7571C1"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Ibid, </w:t>
      </w:r>
      <w:r w:rsidRPr="00793101">
        <w:rPr>
          <w:szCs w:val="16"/>
        </w:rPr>
        <w:t>s 79(1).</w:t>
      </w:r>
    </w:p>
  </w:footnote>
  <w:footnote w:id="485">
    <w:p w14:paraId="6099B2E2"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rStyle w:val="tightinline"/>
          <w:szCs w:val="16"/>
        </w:rPr>
        <w:t>s 79(2).</w:t>
      </w:r>
    </w:p>
  </w:footnote>
  <w:footnote w:id="486">
    <w:p w14:paraId="037063A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78.</w:t>
      </w:r>
    </w:p>
  </w:footnote>
  <w:footnote w:id="487">
    <w:p w14:paraId="09AC4940"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10.</w:t>
      </w:r>
    </w:p>
  </w:footnote>
  <w:footnote w:id="488">
    <w:p w14:paraId="3182E395"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Treaty on Extradition between the Government of Canada and the Government of the United States of America, 3 December 1971, E101323-Can TS 1976 No 3 (entered into force 22 March 1976), art 2(1). See also </w:t>
      </w:r>
      <w:r w:rsidRPr="00793101">
        <w:rPr>
          <w:i/>
          <w:szCs w:val="16"/>
        </w:rPr>
        <w:t>Protocol amending the Treaty on Extradition between the Government of Canada and the Government of the United States of America</w:t>
      </w:r>
      <w:r w:rsidRPr="00793101">
        <w:rPr>
          <w:bCs/>
          <w:szCs w:val="16"/>
          <w:lang w:val="en-US"/>
        </w:rPr>
        <w:t xml:space="preserve">, 3 </w:t>
      </w:r>
      <w:r w:rsidRPr="00793101">
        <w:rPr>
          <w:szCs w:val="16"/>
        </w:rPr>
        <w:t>December 1971</w:t>
      </w:r>
      <w:r w:rsidRPr="00793101">
        <w:rPr>
          <w:bCs/>
          <w:szCs w:val="16"/>
          <w:lang w:val="en-US"/>
        </w:rPr>
        <w:t xml:space="preserve">; and </w:t>
      </w:r>
      <w:r w:rsidRPr="00793101">
        <w:rPr>
          <w:i/>
          <w:szCs w:val="16"/>
        </w:rPr>
        <w:t>Second Protocol amending the Treaty on Extradition between the Government of Canada and the Government of the United States of America, 12 January 2001</w:t>
      </w:r>
      <w:r w:rsidRPr="00793101">
        <w:rPr>
          <w:bCs/>
          <w:szCs w:val="16"/>
          <w:lang w:val="en-US"/>
        </w:rPr>
        <w:t xml:space="preserve"> (entry into force 30 April 2003).</w:t>
      </w:r>
    </w:p>
  </w:footnote>
  <w:footnote w:id="489">
    <w:p w14:paraId="0561A1FA" w14:textId="5FD28EF2"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Extradition Act, supra </w:t>
      </w:r>
      <w:r w:rsidRPr="00793101">
        <w:rPr>
          <w:szCs w:val="16"/>
          <w:lang w:val="en-US"/>
        </w:rPr>
        <w:t xml:space="preserve">note </w:t>
      </w:r>
      <w:r>
        <w:fldChar w:fldCharType="begin"/>
      </w:r>
      <w:r>
        <w:instrText xml:space="preserve"> NOTEREF _Ref267054270 \h  \* MERGEFORMAT </w:instrText>
      </w:r>
      <w:r>
        <w:fldChar w:fldCharType="separate"/>
      </w:r>
      <w:r w:rsidRPr="00E045AC">
        <w:rPr>
          <w:szCs w:val="16"/>
          <w:lang w:val="en-US"/>
        </w:rPr>
        <w:t>376</w:t>
      </w:r>
      <w:r>
        <w:fldChar w:fldCharType="end"/>
      </w:r>
      <w:r w:rsidRPr="00793101">
        <w:rPr>
          <w:szCs w:val="16"/>
          <w:lang w:val="en-US"/>
        </w:rPr>
        <w:t>, s 2.</w:t>
      </w:r>
    </w:p>
  </w:footnote>
  <w:footnote w:id="490">
    <w:p w14:paraId="0D8F94F1"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3(1).</w:t>
      </w:r>
    </w:p>
  </w:footnote>
  <w:footnote w:id="491">
    <w:p w14:paraId="58519FF7"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s 3.</w:t>
      </w:r>
    </w:p>
  </w:footnote>
  <w:footnote w:id="492">
    <w:p w14:paraId="4E72AC55"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s 10.</w:t>
      </w:r>
    </w:p>
  </w:footnote>
  <w:footnote w:id="493">
    <w:p w14:paraId="204A1E69"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Ibid, </w:t>
      </w:r>
      <w:r w:rsidRPr="00793101">
        <w:rPr>
          <w:szCs w:val="16"/>
          <w:lang w:val="en-US"/>
        </w:rPr>
        <w:t>s 15.</w:t>
      </w:r>
    </w:p>
  </w:footnote>
  <w:footnote w:id="494">
    <w:p w14:paraId="567D5A57"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Ibid, </w:t>
      </w:r>
      <w:r w:rsidRPr="00793101">
        <w:rPr>
          <w:szCs w:val="16"/>
          <w:lang w:val="en-US"/>
        </w:rPr>
        <w:t>s 15.</w:t>
      </w:r>
    </w:p>
  </w:footnote>
  <w:footnote w:id="495">
    <w:p w14:paraId="21FF9E4A"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s 24.</w:t>
      </w:r>
    </w:p>
  </w:footnote>
  <w:footnote w:id="496">
    <w:p w14:paraId="666838D3"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lang w:val="en-US"/>
        </w:rPr>
        <w:t>Ferras</w:t>
      </w:r>
      <w:proofErr w:type="spellEnd"/>
      <w:r w:rsidRPr="00793101">
        <w:rPr>
          <w:i/>
          <w:szCs w:val="16"/>
          <w:lang w:val="en-US"/>
        </w:rPr>
        <w:t xml:space="preserve">; United States of America v </w:t>
      </w:r>
      <w:proofErr w:type="spellStart"/>
      <w:r w:rsidRPr="00793101">
        <w:rPr>
          <w:i/>
          <w:szCs w:val="16"/>
          <w:lang w:val="en-US"/>
        </w:rPr>
        <w:t>Latty</w:t>
      </w:r>
      <w:proofErr w:type="spellEnd"/>
      <w:r w:rsidRPr="00793101">
        <w:rPr>
          <w:szCs w:val="16"/>
          <w:lang w:val="en-US"/>
        </w:rPr>
        <w:t>, 2006 SCC 33, [2006] 2 SCR 77 [</w:t>
      </w:r>
      <w:proofErr w:type="spellStart"/>
      <w:r w:rsidRPr="00793101">
        <w:rPr>
          <w:i/>
          <w:szCs w:val="16"/>
          <w:lang w:val="en-US"/>
        </w:rPr>
        <w:t>Ferras</w:t>
      </w:r>
      <w:proofErr w:type="spellEnd"/>
      <w:r w:rsidRPr="00793101">
        <w:rPr>
          <w:i/>
          <w:szCs w:val="16"/>
          <w:lang w:val="en-US"/>
        </w:rPr>
        <w:t xml:space="preserve"> &amp; </w:t>
      </w:r>
      <w:proofErr w:type="spellStart"/>
      <w:r w:rsidRPr="00793101">
        <w:rPr>
          <w:i/>
          <w:szCs w:val="16"/>
          <w:lang w:val="en-US"/>
        </w:rPr>
        <w:t>Latty</w:t>
      </w:r>
      <w:proofErr w:type="spellEnd"/>
      <w:r w:rsidRPr="00793101">
        <w:rPr>
          <w:szCs w:val="16"/>
          <w:lang w:val="en-US"/>
        </w:rPr>
        <w:t>], para 36.</w:t>
      </w:r>
    </w:p>
  </w:footnote>
  <w:footnote w:id="497">
    <w:p w14:paraId="4758DC7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Ibid </w:t>
      </w:r>
      <w:r w:rsidRPr="00793101">
        <w:rPr>
          <w:szCs w:val="16"/>
          <w:lang w:val="en-US"/>
        </w:rPr>
        <w:t>at para 36.</w:t>
      </w:r>
    </w:p>
  </w:footnote>
  <w:footnote w:id="498">
    <w:p w14:paraId="370F2EC1"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at </w:t>
      </w:r>
      <w:r w:rsidRPr="00793101">
        <w:rPr>
          <w:szCs w:val="16"/>
          <w:lang w:val="en-US"/>
        </w:rPr>
        <w:t>para 26.</w:t>
      </w:r>
    </w:p>
  </w:footnote>
  <w:footnote w:id="499">
    <w:p w14:paraId="5C81744F" w14:textId="0D4AE401"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rStyle w:val="italic"/>
          <w:i/>
          <w:szCs w:val="16"/>
        </w:rPr>
        <w:t>Extradition Act</w:t>
      </w:r>
      <w:r w:rsidRPr="00793101">
        <w:rPr>
          <w:rStyle w:val="verdana"/>
          <w:i/>
          <w:szCs w:val="16"/>
        </w:rPr>
        <w:t>, supra</w:t>
      </w:r>
      <w:r w:rsidRPr="00793101">
        <w:rPr>
          <w:rStyle w:val="verdana"/>
          <w:szCs w:val="16"/>
        </w:rPr>
        <w:t xml:space="preserve"> note </w:t>
      </w:r>
      <w:r>
        <w:fldChar w:fldCharType="begin"/>
      </w:r>
      <w:r>
        <w:instrText xml:space="preserve"> NOTEREF _Ref267054270 \h  \* MERGEFORMAT </w:instrText>
      </w:r>
      <w:r>
        <w:fldChar w:fldCharType="separate"/>
      </w:r>
      <w:r w:rsidRPr="00E045AC">
        <w:rPr>
          <w:rStyle w:val="verdana"/>
          <w:szCs w:val="16"/>
        </w:rPr>
        <w:t>376</w:t>
      </w:r>
      <w:r>
        <w:fldChar w:fldCharType="end"/>
      </w:r>
      <w:r w:rsidRPr="00793101">
        <w:rPr>
          <w:rStyle w:val="verdana"/>
          <w:szCs w:val="16"/>
        </w:rPr>
        <w:t>,</w:t>
      </w:r>
      <w:r w:rsidRPr="00793101">
        <w:rPr>
          <w:szCs w:val="16"/>
        </w:rPr>
        <w:t xml:space="preserve"> </w:t>
      </w:r>
      <w:r w:rsidRPr="00793101">
        <w:rPr>
          <w:rStyle w:val="verdana"/>
          <w:szCs w:val="16"/>
        </w:rPr>
        <w:t xml:space="preserve">s 25. In </w:t>
      </w:r>
      <w:r w:rsidRPr="00793101">
        <w:rPr>
          <w:rStyle w:val="verdana"/>
          <w:i/>
          <w:szCs w:val="16"/>
        </w:rPr>
        <w:t xml:space="preserve">Lake, supra </w:t>
      </w:r>
      <w:r w:rsidRPr="00793101">
        <w:rPr>
          <w:rStyle w:val="verdana"/>
          <w:szCs w:val="16"/>
        </w:rPr>
        <w:t xml:space="preserve">note 329: “for the purposes of the </w:t>
      </w:r>
      <w:r w:rsidRPr="00793101">
        <w:rPr>
          <w:rStyle w:val="verdana"/>
          <w:i/>
          <w:szCs w:val="16"/>
        </w:rPr>
        <w:t>Constitution Act</w:t>
      </w:r>
      <w:r w:rsidRPr="00793101">
        <w:rPr>
          <w:rStyle w:val="verdana"/>
          <w:szCs w:val="16"/>
        </w:rPr>
        <w:t xml:space="preserve">, </w:t>
      </w:r>
      <w:r w:rsidRPr="00793101">
        <w:rPr>
          <w:rStyle w:val="verdana"/>
          <w:i/>
          <w:szCs w:val="16"/>
        </w:rPr>
        <w:t>1982</w:t>
      </w:r>
      <w:r w:rsidRPr="00793101">
        <w:rPr>
          <w:rStyle w:val="verdana"/>
          <w:szCs w:val="16"/>
        </w:rPr>
        <w:t>, a judge has, with respect to the functions that the judge is required to perform in applying this Act, the same competence that that judge possesses by virtue of being a superior court judge.”</w:t>
      </w:r>
      <w:r w:rsidRPr="00793101">
        <w:rPr>
          <w:rStyle w:val="verdana"/>
          <w:i/>
          <w:szCs w:val="16"/>
        </w:rPr>
        <w:t xml:space="preserve"> </w:t>
      </w:r>
      <w:r w:rsidRPr="00793101">
        <w:rPr>
          <w:rStyle w:val="verdana"/>
          <w:szCs w:val="16"/>
        </w:rPr>
        <w:t xml:space="preserve">See also </w:t>
      </w:r>
      <w:proofErr w:type="spellStart"/>
      <w:r w:rsidRPr="00793101">
        <w:rPr>
          <w:rStyle w:val="verdana"/>
          <w:i/>
          <w:szCs w:val="16"/>
        </w:rPr>
        <w:t>Ferras</w:t>
      </w:r>
      <w:proofErr w:type="spellEnd"/>
      <w:r w:rsidRPr="00793101">
        <w:rPr>
          <w:rStyle w:val="verdana"/>
          <w:i/>
          <w:szCs w:val="16"/>
        </w:rPr>
        <w:t xml:space="preserve"> &amp; </w:t>
      </w:r>
      <w:proofErr w:type="spellStart"/>
      <w:r w:rsidRPr="00793101">
        <w:rPr>
          <w:rStyle w:val="verdana"/>
          <w:i/>
          <w:szCs w:val="16"/>
        </w:rPr>
        <w:t>Latty</w:t>
      </w:r>
      <w:proofErr w:type="spellEnd"/>
      <w:r w:rsidRPr="00793101">
        <w:rPr>
          <w:rStyle w:val="verdana"/>
          <w:szCs w:val="16"/>
        </w:rPr>
        <w:t xml:space="preserve">, </w:t>
      </w:r>
      <w:r w:rsidRPr="00793101">
        <w:rPr>
          <w:rStyle w:val="verdana"/>
          <w:i/>
          <w:szCs w:val="16"/>
        </w:rPr>
        <w:t xml:space="preserve">supra </w:t>
      </w:r>
      <w:r w:rsidRPr="00793101">
        <w:rPr>
          <w:rStyle w:val="verdana"/>
          <w:szCs w:val="16"/>
        </w:rPr>
        <w:t xml:space="preserve">note </w:t>
      </w:r>
      <w:r>
        <w:fldChar w:fldCharType="begin"/>
      </w:r>
      <w:r>
        <w:instrText xml:space="preserve"> NOTEREF _Ref267055640 \h  \* MERGEFORMAT </w:instrText>
      </w:r>
      <w:r>
        <w:fldChar w:fldCharType="separate"/>
      </w:r>
      <w:r w:rsidRPr="00E045AC">
        <w:rPr>
          <w:rStyle w:val="verdana"/>
          <w:szCs w:val="16"/>
        </w:rPr>
        <w:t>496</w:t>
      </w:r>
      <w:r>
        <w:fldChar w:fldCharType="end"/>
      </w:r>
      <w:r w:rsidRPr="00793101">
        <w:rPr>
          <w:rStyle w:val="verdana"/>
          <w:szCs w:val="16"/>
        </w:rPr>
        <w:t xml:space="preserve"> at para 42..Note at the committal stage only Charter issues relevant to the committal proceeding itself are considered; see </w:t>
      </w:r>
      <w:r w:rsidRPr="00793101">
        <w:rPr>
          <w:rStyle w:val="verdana"/>
          <w:i/>
          <w:szCs w:val="16"/>
        </w:rPr>
        <w:t>Kwok</w:t>
      </w:r>
      <w:r w:rsidRPr="00793101">
        <w:rPr>
          <w:rStyle w:val="verdana"/>
          <w:szCs w:val="16"/>
        </w:rPr>
        <w:t xml:space="preserve">, </w:t>
      </w:r>
      <w:r w:rsidRPr="00793101">
        <w:rPr>
          <w:rStyle w:val="verdana"/>
          <w:i/>
          <w:szCs w:val="16"/>
        </w:rPr>
        <w:t>supra</w:t>
      </w:r>
      <w:r w:rsidRPr="00793101">
        <w:rPr>
          <w:rStyle w:val="verdana"/>
          <w:szCs w:val="16"/>
        </w:rPr>
        <w:t xml:space="preserve"> note </w:t>
      </w:r>
      <w:r>
        <w:fldChar w:fldCharType="begin"/>
      </w:r>
      <w:r>
        <w:instrText xml:space="preserve"> NOTEREF _Ref267055074 \h  \* MERGEFORMAT </w:instrText>
      </w:r>
      <w:r>
        <w:fldChar w:fldCharType="separate"/>
      </w:r>
      <w:r w:rsidRPr="00E045AC">
        <w:rPr>
          <w:rStyle w:val="verdana"/>
          <w:szCs w:val="16"/>
        </w:rPr>
        <w:t>377</w:t>
      </w:r>
      <w:r>
        <w:fldChar w:fldCharType="end"/>
      </w:r>
      <w:r w:rsidRPr="00793101">
        <w:rPr>
          <w:rStyle w:val="verdana"/>
          <w:szCs w:val="16"/>
        </w:rPr>
        <w:t xml:space="preserve">. </w:t>
      </w:r>
    </w:p>
  </w:footnote>
  <w:footnote w:id="500">
    <w:p w14:paraId="6D57DE80" w14:textId="2FC1252A"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lang w:val="en-US"/>
        </w:rPr>
        <w:t>Extradition Act</w:t>
      </w:r>
      <w:r w:rsidRPr="00793101">
        <w:rPr>
          <w:szCs w:val="16"/>
          <w:lang w:val="en-US"/>
        </w:rPr>
        <w:t>,</w:t>
      </w:r>
      <w:r w:rsidRPr="00793101">
        <w:rPr>
          <w:i/>
          <w:szCs w:val="16"/>
          <w:lang w:val="en-US"/>
        </w:rPr>
        <w:t xml:space="preserve"> supra</w:t>
      </w:r>
      <w:r w:rsidRPr="00793101">
        <w:rPr>
          <w:szCs w:val="16"/>
          <w:lang w:val="en-US"/>
        </w:rPr>
        <w:t xml:space="preserve"> note </w:t>
      </w:r>
      <w:r>
        <w:fldChar w:fldCharType="begin"/>
      </w:r>
      <w:r>
        <w:instrText xml:space="preserve"> NOTEREF _Ref267054270 \h  \* MERGEFORMAT </w:instrText>
      </w:r>
      <w:r>
        <w:fldChar w:fldCharType="separate"/>
      </w:r>
      <w:r w:rsidRPr="00E045AC">
        <w:rPr>
          <w:szCs w:val="16"/>
          <w:lang w:val="en-US"/>
        </w:rPr>
        <w:t>376</w:t>
      </w:r>
      <w:r>
        <w:fldChar w:fldCharType="end"/>
      </w:r>
      <w:r w:rsidRPr="00793101">
        <w:rPr>
          <w:szCs w:val="16"/>
          <w:lang w:val="en-US"/>
        </w:rPr>
        <w:t xml:space="preserve"> at s 33(1)(a).</w:t>
      </w:r>
    </w:p>
  </w:footnote>
  <w:footnote w:id="501">
    <w:p w14:paraId="5EFFD29A"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See </w:t>
      </w:r>
      <w:r w:rsidRPr="00793101">
        <w:rPr>
          <w:i/>
          <w:szCs w:val="16"/>
          <w:lang w:val="en-US"/>
        </w:rPr>
        <w:t>House of Commons Debates</w:t>
      </w:r>
      <w:r w:rsidRPr="00793101">
        <w:rPr>
          <w:szCs w:val="16"/>
          <w:lang w:val="en-US"/>
        </w:rPr>
        <w:t>, 8 October 1998, 1st Sess., 36</w:t>
      </w:r>
      <w:r w:rsidRPr="00793101">
        <w:rPr>
          <w:szCs w:val="16"/>
          <w:vertAlign w:val="superscript"/>
          <w:lang w:val="en-US"/>
        </w:rPr>
        <w:t>th</w:t>
      </w:r>
      <w:r w:rsidRPr="00793101">
        <w:rPr>
          <w:szCs w:val="16"/>
          <w:lang w:val="en-US"/>
        </w:rPr>
        <w:t xml:space="preserve"> Parliament, </w:t>
      </w:r>
      <w:r w:rsidRPr="00793101">
        <w:rPr>
          <w:i/>
          <w:szCs w:val="16"/>
          <w:lang w:val="en-US"/>
        </w:rPr>
        <w:t>Hansard</w:t>
      </w:r>
      <w:r w:rsidRPr="00793101">
        <w:rPr>
          <w:szCs w:val="16"/>
          <w:lang w:val="en-US"/>
        </w:rPr>
        <w:t xml:space="preserve">, v 135 at 9003-9004, cited in Elaine F </w:t>
      </w:r>
      <w:proofErr w:type="spellStart"/>
      <w:r w:rsidRPr="00793101">
        <w:rPr>
          <w:szCs w:val="16"/>
          <w:lang w:val="en-US"/>
        </w:rPr>
        <w:t>Krivel</w:t>
      </w:r>
      <w:proofErr w:type="spellEnd"/>
      <w:r w:rsidRPr="00793101">
        <w:rPr>
          <w:szCs w:val="16"/>
          <w:lang w:val="en-US"/>
        </w:rPr>
        <w:t xml:space="preserve">, Thomas Beveridge and John W Hayward, </w:t>
      </w:r>
      <w:r w:rsidRPr="00793101">
        <w:rPr>
          <w:i/>
          <w:szCs w:val="16"/>
          <w:lang w:val="en-US"/>
        </w:rPr>
        <w:t>A Practical Guide to Canadian Extradition</w:t>
      </w:r>
      <w:r w:rsidRPr="00793101">
        <w:rPr>
          <w:szCs w:val="16"/>
          <w:lang w:val="en-US"/>
        </w:rPr>
        <w:t xml:space="preserve"> (Toronto: Carswell, 2002) at 264-265.</w:t>
      </w:r>
    </w:p>
  </w:footnote>
  <w:footnote w:id="502">
    <w:p w14:paraId="173F52C3" w14:textId="76F6573B"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Extradition Act</w:t>
      </w:r>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_Ref267054270 \h  \* MERGEFORMAT </w:instrText>
      </w:r>
      <w:r>
        <w:fldChar w:fldCharType="separate"/>
      </w:r>
      <w:r w:rsidRPr="00E045AC">
        <w:rPr>
          <w:szCs w:val="16"/>
        </w:rPr>
        <w:t>376</w:t>
      </w:r>
      <w:r>
        <w:fldChar w:fldCharType="end"/>
      </w:r>
      <w:r w:rsidRPr="00793101">
        <w:rPr>
          <w:szCs w:val="16"/>
        </w:rPr>
        <w:t>, s 32(2).</w:t>
      </w:r>
    </w:p>
  </w:footnote>
  <w:footnote w:id="503">
    <w:p w14:paraId="7356BD22"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Ibid, </w:t>
      </w:r>
      <w:r w:rsidRPr="00793101">
        <w:rPr>
          <w:szCs w:val="16"/>
          <w:lang w:val="en-US"/>
        </w:rPr>
        <w:t>s 33(3).</w:t>
      </w:r>
    </w:p>
  </w:footnote>
  <w:footnote w:id="504">
    <w:p w14:paraId="61A2A754"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United States of America v </w:t>
      </w:r>
      <w:proofErr w:type="spellStart"/>
      <w:r w:rsidRPr="00793101">
        <w:rPr>
          <w:i/>
          <w:szCs w:val="16"/>
          <w:lang w:val="en-US"/>
        </w:rPr>
        <w:t>Anekwu</w:t>
      </w:r>
      <w:proofErr w:type="spellEnd"/>
      <w:r w:rsidRPr="00793101">
        <w:rPr>
          <w:szCs w:val="16"/>
          <w:lang w:val="en-US"/>
        </w:rPr>
        <w:t xml:space="preserve"> [2009] 3 SCR 3 at para 30.</w:t>
      </w:r>
    </w:p>
  </w:footnote>
  <w:footnote w:id="505">
    <w:p w14:paraId="37FA2399" w14:textId="5C67A29F"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Extradition Act, supra </w:t>
      </w:r>
      <w:r w:rsidRPr="00793101">
        <w:rPr>
          <w:szCs w:val="16"/>
          <w:lang w:val="en-US"/>
        </w:rPr>
        <w:t xml:space="preserve">note </w:t>
      </w:r>
      <w:r>
        <w:fldChar w:fldCharType="begin"/>
      </w:r>
      <w:r>
        <w:instrText xml:space="preserve"> NOTEREF _Ref267054270 \h  \* MERGEFORMAT </w:instrText>
      </w:r>
      <w:r>
        <w:fldChar w:fldCharType="separate"/>
      </w:r>
      <w:r w:rsidRPr="00E045AC">
        <w:rPr>
          <w:szCs w:val="16"/>
          <w:lang w:val="en-US"/>
        </w:rPr>
        <w:t>376</w:t>
      </w:r>
      <w:r>
        <w:fldChar w:fldCharType="end"/>
      </w:r>
      <w:r w:rsidRPr="00793101">
        <w:rPr>
          <w:szCs w:val="16"/>
          <w:lang w:val="en-US"/>
        </w:rPr>
        <w:t>, s 44(1)(a).</w:t>
      </w:r>
    </w:p>
  </w:footnote>
  <w:footnote w:id="506">
    <w:p w14:paraId="12347582"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s 44(1)(b).</w:t>
      </w:r>
    </w:p>
  </w:footnote>
  <w:footnote w:id="507">
    <w:p w14:paraId="018CB64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s 46(1).</w:t>
      </w:r>
    </w:p>
  </w:footnote>
  <w:footnote w:id="508">
    <w:p w14:paraId="0E3A52AF"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s 44(2).</w:t>
      </w:r>
    </w:p>
  </w:footnote>
  <w:footnote w:id="509">
    <w:p w14:paraId="6E82CB94" w14:textId="77777777" w:rsidR="00356280" w:rsidRPr="00793101" w:rsidRDefault="00356280" w:rsidP="00D62BBC">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s 47.</w:t>
      </w:r>
    </w:p>
  </w:footnote>
  <w:footnote w:id="510">
    <w:p w14:paraId="5E660F5C" w14:textId="44BF9F59" w:rsidR="00356280" w:rsidRPr="00AA6144" w:rsidRDefault="00356280" w:rsidP="00AA6144">
      <w:pPr>
        <w:pStyle w:val="FootnoteText"/>
        <w:spacing w:after="0" w:line="240" w:lineRule="auto"/>
        <w:rPr>
          <w:lang w:val="en-CA"/>
        </w:rPr>
      </w:pPr>
      <w:r>
        <w:rPr>
          <w:rStyle w:val="FootnoteReference"/>
        </w:rPr>
        <w:footnoteRef/>
      </w:r>
      <w:r>
        <w:t xml:space="preserve"> </w:t>
      </w:r>
      <w:r w:rsidRPr="00793101">
        <w:rPr>
          <w:i/>
          <w:szCs w:val="16"/>
          <w:lang w:val="en-US"/>
        </w:rPr>
        <w:t>Extradition Act</w:t>
      </w:r>
      <w:r>
        <w:rPr>
          <w:i/>
          <w:szCs w:val="16"/>
          <w:lang w:val="en-US"/>
        </w:rPr>
        <w:t>, supra</w:t>
      </w:r>
      <w:r>
        <w:rPr>
          <w:szCs w:val="16"/>
          <w:lang w:val="en-US"/>
        </w:rPr>
        <w:t xml:space="preserve"> note 377, s 6.1.</w:t>
      </w:r>
    </w:p>
  </w:footnote>
  <w:footnote w:id="511">
    <w:p w14:paraId="2AC8E776" w14:textId="77777777" w:rsidR="00356280" w:rsidRPr="00793101" w:rsidRDefault="00356280" w:rsidP="00D62BBC">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43(1).</w:t>
      </w:r>
    </w:p>
  </w:footnote>
  <w:footnote w:id="512">
    <w:p w14:paraId="7864714E"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40(1).</w:t>
      </w:r>
    </w:p>
  </w:footnote>
  <w:footnote w:id="513">
    <w:p w14:paraId="405BBC91"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40(3) “including a condition that the person not be prosecuted, nor that a sentence be imposed on or enforced against the person, in respect of any offences or conduct other than that referred to in the order of surrender.”</w:t>
      </w:r>
    </w:p>
  </w:footnote>
  <w:footnote w:id="514">
    <w:p w14:paraId="1A5DCAA3"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s 57(1).</w:t>
      </w:r>
    </w:p>
  </w:footnote>
  <w:footnote w:id="515">
    <w:p w14:paraId="1B339F64"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64.</w:t>
      </w:r>
    </w:p>
  </w:footnote>
  <w:footnote w:id="516">
    <w:p w14:paraId="26768071" w14:textId="5936786F"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 xml:space="preserve">Lake, supra </w:t>
      </w:r>
      <w:r w:rsidRPr="00793101">
        <w:rPr>
          <w:szCs w:val="16"/>
          <w:lang w:val="en-CA"/>
        </w:rPr>
        <w:t xml:space="preserve">note </w:t>
      </w:r>
      <w:r>
        <w:fldChar w:fldCharType="begin"/>
      </w:r>
      <w:r>
        <w:instrText xml:space="preserve"> NOTEREF _Ref267055074 \h  \* MERGEFORMAT </w:instrText>
      </w:r>
      <w:r>
        <w:fldChar w:fldCharType="separate"/>
      </w:r>
      <w:r w:rsidRPr="00E045AC">
        <w:rPr>
          <w:szCs w:val="16"/>
          <w:lang w:val="en-CA"/>
        </w:rPr>
        <w:t>377</w:t>
      </w:r>
      <w:r>
        <w:fldChar w:fldCharType="end"/>
      </w:r>
      <w:r w:rsidRPr="00793101">
        <w:rPr>
          <w:szCs w:val="16"/>
          <w:lang w:val="en-CA"/>
        </w:rPr>
        <w:t xml:space="preserve"> at para 22 citing </w:t>
      </w:r>
      <w:proofErr w:type="spellStart"/>
      <w:r w:rsidRPr="00793101">
        <w:rPr>
          <w:i/>
          <w:szCs w:val="16"/>
          <w:lang w:val="en-CA"/>
        </w:rPr>
        <w:t>Idziak</w:t>
      </w:r>
      <w:proofErr w:type="spellEnd"/>
      <w:r w:rsidRPr="00793101">
        <w:rPr>
          <w:i/>
          <w:szCs w:val="16"/>
          <w:lang w:val="en-CA"/>
        </w:rPr>
        <w:t xml:space="preserve"> v Canada (Minister of Justice)</w:t>
      </w:r>
      <w:r w:rsidRPr="00793101">
        <w:rPr>
          <w:szCs w:val="16"/>
          <w:lang w:val="en-CA"/>
        </w:rPr>
        <w:t xml:space="preserve"> [1989] OJ No 1809, 48 CRR 179 (</w:t>
      </w:r>
      <w:proofErr w:type="spellStart"/>
      <w:r w:rsidRPr="00793101">
        <w:rPr>
          <w:szCs w:val="16"/>
          <w:lang w:val="en-CA"/>
        </w:rPr>
        <w:t>Ont</w:t>
      </w:r>
      <w:proofErr w:type="spellEnd"/>
      <w:r w:rsidRPr="00793101">
        <w:rPr>
          <w:szCs w:val="16"/>
          <w:lang w:val="en-CA"/>
        </w:rPr>
        <w:t xml:space="preserve"> HC), aff’d [1990] OJ No 717, 48 CRR 187 (</w:t>
      </w:r>
      <w:proofErr w:type="spellStart"/>
      <w:r w:rsidRPr="00793101">
        <w:rPr>
          <w:szCs w:val="16"/>
          <w:lang w:val="en-CA"/>
        </w:rPr>
        <w:t>Ont</w:t>
      </w:r>
      <w:proofErr w:type="spellEnd"/>
      <w:r w:rsidRPr="00793101">
        <w:rPr>
          <w:szCs w:val="16"/>
          <w:lang w:val="en-CA"/>
        </w:rPr>
        <w:t xml:space="preserve"> CA), aff’d [1992] SCJ no 97, [1992] 3 SCR 631.</w:t>
      </w:r>
    </w:p>
  </w:footnote>
  <w:footnote w:id="517">
    <w:p w14:paraId="2B2A42F9"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For example, there were competing extradition requests for Jorge Vinicio </w:t>
      </w:r>
      <w:proofErr w:type="spellStart"/>
      <w:r w:rsidRPr="00793101">
        <w:rPr>
          <w:szCs w:val="16"/>
        </w:rPr>
        <w:t>Orantes</w:t>
      </w:r>
      <w:proofErr w:type="spellEnd"/>
      <w:r w:rsidRPr="00793101">
        <w:rPr>
          <w:szCs w:val="16"/>
        </w:rPr>
        <w:t xml:space="preserve"> Sosa, who is a former 2</w:t>
      </w:r>
      <w:r w:rsidRPr="00793101">
        <w:rPr>
          <w:szCs w:val="16"/>
          <w:vertAlign w:val="superscript"/>
        </w:rPr>
        <w:t>nd</w:t>
      </w:r>
      <w:r w:rsidRPr="00793101">
        <w:rPr>
          <w:szCs w:val="16"/>
        </w:rPr>
        <w:t xml:space="preserve"> lieutenant of the Guatemalan military’s </w:t>
      </w:r>
      <w:proofErr w:type="spellStart"/>
      <w:r w:rsidRPr="00793101">
        <w:rPr>
          <w:i/>
          <w:szCs w:val="16"/>
        </w:rPr>
        <w:t>kaibiles</w:t>
      </w:r>
      <w:proofErr w:type="spellEnd"/>
      <w:r w:rsidRPr="00793101">
        <w:rPr>
          <w:szCs w:val="16"/>
        </w:rPr>
        <w:t xml:space="preserve"> unit responsible for the murder of at least 251 men, women, and children at Dos </w:t>
      </w:r>
      <w:proofErr w:type="spellStart"/>
      <w:r w:rsidRPr="00793101">
        <w:rPr>
          <w:szCs w:val="16"/>
        </w:rPr>
        <w:t>Erres</w:t>
      </w:r>
      <w:proofErr w:type="spellEnd"/>
      <w:r w:rsidRPr="00793101">
        <w:rPr>
          <w:szCs w:val="16"/>
        </w:rPr>
        <w:t xml:space="preserve">, Guatemala in 1982; see </w:t>
      </w:r>
      <w:r w:rsidRPr="00793101">
        <w:rPr>
          <w:i/>
          <w:szCs w:val="16"/>
        </w:rPr>
        <w:t xml:space="preserve">Case of the “Las Dos </w:t>
      </w:r>
      <w:proofErr w:type="spellStart"/>
      <w:r w:rsidRPr="00793101">
        <w:rPr>
          <w:i/>
          <w:szCs w:val="16"/>
        </w:rPr>
        <w:t>Erres</w:t>
      </w:r>
      <w:proofErr w:type="spellEnd"/>
      <w:r w:rsidRPr="00793101">
        <w:rPr>
          <w:i/>
          <w:szCs w:val="16"/>
        </w:rPr>
        <w:t>” Massacre v Guatemala</w:t>
      </w:r>
      <w:r w:rsidRPr="00793101">
        <w:rPr>
          <w:szCs w:val="16"/>
        </w:rPr>
        <w:t xml:space="preserve"> (2009), Preliminary Objection, Merits, Reparations and Costs (24 November 2009), IACHR (Ser C) No. 211 at 62-65 [</w:t>
      </w:r>
      <w:r w:rsidRPr="00793101">
        <w:rPr>
          <w:i/>
          <w:szCs w:val="16"/>
        </w:rPr>
        <w:t xml:space="preserve">Dos </w:t>
      </w:r>
      <w:proofErr w:type="spellStart"/>
      <w:r w:rsidRPr="00793101">
        <w:rPr>
          <w:i/>
          <w:szCs w:val="16"/>
        </w:rPr>
        <w:t>Erres</w:t>
      </w:r>
      <w:proofErr w:type="spellEnd"/>
      <w:r w:rsidRPr="00793101">
        <w:rPr>
          <w:szCs w:val="16"/>
        </w:rPr>
        <w:t xml:space="preserve">]. The United States sought Sosa’s extradition for immigration fraud (for failing to disclose his military service while applying for residency and citizenship) while Guatemala sought his extradition for his complicity in the crimes committed at Dos </w:t>
      </w:r>
      <w:proofErr w:type="spellStart"/>
      <w:r w:rsidRPr="00793101">
        <w:rPr>
          <w:szCs w:val="16"/>
        </w:rPr>
        <w:t>Erres</w:t>
      </w:r>
      <w:proofErr w:type="spellEnd"/>
      <w:r w:rsidRPr="00793101">
        <w:rPr>
          <w:szCs w:val="16"/>
        </w:rPr>
        <w:t>.</w:t>
      </w:r>
      <w:r w:rsidRPr="00793101">
        <w:rPr>
          <w:szCs w:val="16"/>
          <w:lang w:val="en-US"/>
        </w:rPr>
        <w:t xml:space="preserve"> Sosa </w:t>
      </w:r>
      <w:r w:rsidRPr="00793101">
        <w:rPr>
          <w:szCs w:val="16"/>
        </w:rPr>
        <w:t xml:space="preserve">was extradited from Canada to the United States in September 2012 and found guilty of immigration fraud </w:t>
      </w:r>
      <w:proofErr w:type="gramStart"/>
      <w:r w:rsidRPr="00793101">
        <w:rPr>
          <w:szCs w:val="16"/>
        </w:rPr>
        <w:t>On</w:t>
      </w:r>
      <w:proofErr w:type="gramEnd"/>
      <w:r w:rsidRPr="00793101">
        <w:rPr>
          <w:szCs w:val="16"/>
        </w:rPr>
        <w:t xml:space="preserve"> 10 February 2014, he was sentenced to the maximum term of imprisonment of 10 years.</w:t>
      </w:r>
    </w:p>
  </w:footnote>
  <w:footnote w:id="518">
    <w:p w14:paraId="0F580EB8" w14:textId="1EFAC78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Extradition Act</w:t>
      </w:r>
      <w:r w:rsidRPr="00793101">
        <w:rPr>
          <w:szCs w:val="16"/>
        </w:rPr>
        <w:t xml:space="preserve">, supra note </w:t>
      </w:r>
      <w:r>
        <w:fldChar w:fldCharType="begin"/>
      </w:r>
      <w:r>
        <w:instrText xml:space="preserve"> NOTEREF _Ref267054270 \h  \* MERGEFORMAT </w:instrText>
      </w:r>
      <w:r>
        <w:fldChar w:fldCharType="separate"/>
      </w:r>
      <w:r w:rsidRPr="00E045AC">
        <w:rPr>
          <w:szCs w:val="16"/>
        </w:rPr>
        <w:t>376</w:t>
      </w:r>
      <w:r>
        <w:fldChar w:fldCharType="end"/>
      </w:r>
      <w:r w:rsidRPr="00793101">
        <w:rPr>
          <w:szCs w:val="16"/>
        </w:rPr>
        <w:t xml:space="preserve">, s 15(2).  </w:t>
      </w:r>
    </w:p>
  </w:footnote>
  <w:footnote w:id="519">
    <w:p w14:paraId="40396E87"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lang w:val="en-CA"/>
        </w:rPr>
        <w:t>Ibid</w:t>
      </w:r>
      <w:r w:rsidRPr="00793101">
        <w:rPr>
          <w:i/>
          <w:szCs w:val="16"/>
        </w:rPr>
        <w:t xml:space="preserve">, </w:t>
      </w:r>
      <w:r w:rsidRPr="00793101">
        <w:rPr>
          <w:szCs w:val="16"/>
        </w:rPr>
        <w:t xml:space="preserve">s 15(1).  In the case of Mr. Sosa, the United States’ request was given priority and the committal order granted on the count of perjury; see </w:t>
      </w:r>
      <w:r w:rsidRPr="00793101">
        <w:rPr>
          <w:rStyle w:val="bold"/>
          <w:i/>
          <w:szCs w:val="16"/>
        </w:rPr>
        <w:t>United States v Sosa</w:t>
      </w:r>
      <w:r w:rsidRPr="00793101">
        <w:rPr>
          <w:rStyle w:val="bold"/>
          <w:szCs w:val="16"/>
        </w:rPr>
        <w:t>, 2011 ABQB 534, [2011] 521 AR 356.</w:t>
      </w:r>
    </w:p>
  </w:footnote>
  <w:footnote w:id="520">
    <w:p w14:paraId="76520808" w14:textId="77777777" w:rsidR="00356280" w:rsidRPr="00793101" w:rsidRDefault="00356280" w:rsidP="0040644D">
      <w:pPr>
        <w:pStyle w:val="AIBodyText"/>
        <w:spacing w:after="0" w:line="240" w:lineRule="auto"/>
        <w:rPr>
          <w:sz w:val="16"/>
          <w:szCs w:val="16"/>
          <w:lang w:val="en-CA"/>
        </w:rPr>
      </w:pPr>
      <w:r w:rsidRPr="00793101">
        <w:rPr>
          <w:rStyle w:val="FootnoteReference"/>
          <w:sz w:val="16"/>
          <w:szCs w:val="16"/>
          <w:lang w:val="en-CA"/>
        </w:rPr>
        <w:footnoteRef/>
      </w:r>
      <w:r w:rsidRPr="00793101">
        <w:rPr>
          <w:sz w:val="16"/>
          <w:szCs w:val="16"/>
          <w:lang w:val="en-CA"/>
        </w:rPr>
        <w:t xml:space="preserve"> </w:t>
      </w:r>
      <w:r w:rsidRPr="00793101">
        <w:rPr>
          <w:i/>
          <w:sz w:val="16"/>
          <w:szCs w:val="16"/>
          <w:lang w:val="en-CA"/>
        </w:rPr>
        <w:t>United States v Burns</w:t>
      </w:r>
      <w:r w:rsidRPr="00793101">
        <w:rPr>
          <w:sz w:val="16"/>
          <w:szCs w:val="16"/>
          <w:lang w:val="en-CA"/>
        </w:rPr>
        <w:t>, [2001] 1 SCR 283, [2001] SCJ No 8, 2001 SCC 7 [</w:t>
      </w:r>
      <w:r w:rsidRPr="00793101">
        <w:rPr>
          <w:i/>
          <w:sz w:val="16"/>
          <w:szCs w:val="16"/>
          <w:lang w:val="en-CA"/>
        </w:rPr>
        <w:t>Burns</w:t>
      </w:r>
      <w:r w:rsidRPr="00793101">
        <w:rPr>
          <w:sz w:val="16"/>
          <w:szCs w:val="16"/>
          <w:lang w:val="en-CA"/>
        </w:rPr>
        <w:t>].</w:t>
      </w:r>
    </w:p>
  </w:footnote>
  <w:footnote w:id="521">
    <w:p w14:paraId="440B16B0" w14:textId="4CEB7614"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w:t>
      </w:r>
      <w:r w:rsidRPr="00793101">
        <w:rPr>
          <w:i/>
          <w:szCs w:val="16"/>
        </w:rPr>
        <w:t>Canadian Charter of Rights and Freedoms</w:t>
      </w:r>
      <w:r w:rsidRPr="00793101">
        <w:rPr>
          <w:szCs w:val="16"/>
        </w:rPr>
        <w:t xml:space="preserve">, </w:t>
      </w:r>
      <w:r w:rsidRPr="00793101">
        <w:rPr>
          <w:i/>
          <w:szCs w:val="16"/>
        </w:rPr>
        <w:t xml:space="preserve">supra </w:t>
      </w:r>
      <w:r w:rsidRPr="00793101">
        <w:rPr>
          <w:szCs w:val="16"/>
        </w:rPr>
        <w:t xml:space="preserve">note </w:t>
      </w:r>
      <w:r>
        <w:fldChar w:fldCharType="begin"/>
      </w:r>
      <w:r>
        <w:instrText xml:space="preserve"> NOTEREF _Ref267055058 \h  \* MERGEFORMAT </w:instrText>
      </w:r>
      <w:r>
        <w:fldChar w:fldCharType="separate"/>
      </w:r>
      <w:r>
        <w:t>11</w:t>
      </w:r>
      <w:r>
        <w:fldChar w:fldCharType="end"/>
      </w:r>
      <w:r w:rsidRPr="00793101">
        <w:rPr>
          <w:szCs w:val="16"/>
        </w:rPr>
        <w:t>, s 6(1): “Every citizen of Canada has the right to enter, remain in and leave Canada.”</w:t>
      </w:r>
    </w:p>
  </w:footnote>
  <w:footnote w:id="522">
    <w:p w14:paraId="78723A79"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See e.g. </w:t>
      </w:r>
      <w:r w:rsidRPr="00793101">
        <w:rPr>
          <w:i/>
          <w:szCs w:val="16"/>
          <w:lang w:val="en-US"/>
        </w:rPr>
        <w:t>United States v Dhillon [No 2]</w:t>
      </w:r>
      <w:r w:rsidRPr="00793101">
        <w:rPr>
          <w:szCs w:val="16"/>
          <w:lang w:val="en-US"/>
        </w:rPr>
        <w:t>, [2009] OJ No 1129, 2009 ONCE 247 (</w:t>
      </w:r>
      <w:proofErr w:type="spellStart"/>
      <w:r w:rsidRPr="00793101">
        <w:rPr>
          <w:szCs w:val="16"/>
          <w:lang w:val="en-US"/>
        </w:rPr>
        <w:t>Ont</w:t>
      </w:r>
      <w:proofErr w:type="spellEnd"/>
      <w:r w:rsidRPr="00793101">
        <w:rPr>
          <w:szCs w:val="16"/>
          <w:lang w:val="en-US"/>
        </w:rPr>
        <w:t xml:space="preserve"> CA) (appeal from committal and judicial review).</w:t>
      </w:r>
    </w:p>
  </w:footnote>
  <w:footnote w:id="523">
    <w:p w14:paraId="513A1A4F" w14:textId="10D523AA"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rStyle w:val="verdana"/>
          <w:i/>
          <w:szCs w:val="16"/>
        </w:rPr>
        <w:t>Ferras</w:t>
      </w:r>
      <w:proofErr w:type="spellEnd"/>
      <w:r w:rsidRPr="00793101">
        <w:rPr>
          <w:rStyle w:val="verdana"/>
          <w:i/>
          <w:szCs w:val="16"/>
        </w:rPr>
        <w:t xml:space="preserve"> &amp; </w:t>
      </w:r>
      <w:proofErr w:type="spellStart"/>
      <w:r w:rsidRPr="00793101">
        <w:rPr>
          <w:rStyle w:val="verdana"/>
          <w:i/>
          <w:szCs w:val="16"/>
        </w:rPr>
        <w:t>Latty</w:t>
      </w:r>
      <w:proofErr w:type="spellEnd"/>
      <w:r w:rsidRPr="00793101">
        <w:rPr>
          <w:rStyle w:val="verdana"/>
          <w:szCs w:val="16"/>
        </w:rPr>
        <w:t xml:space="preserve">, </w:t>
      </w:r>
      <w:r w:rsidRPr="00793101">
        <w:rPr>
          <w:rStyle w:val="verdana"/>
          <w:i/>
          <w:szCs w:val="16"/>
        </w:rPr>
        <w:t xml:space="preserve">supra </w:t>
      </w:r>
      <w:r w:rsidRPr="00793101">
        <w:rPr>
          <w:rStyle w:val="verdana"/>
          <w:szCs w:val="16"/>
        </w:rPr>
        <w:t xml:space="preserve">note </w:t>
      </w:r>
      <w:r>
        <w:fldChar w:fldCharType="begin"/>
      </w:r>
      <w:r>
        <w:instrText xml:space="preserve"> NOTEREF _Ref267055640 \h  \* MERGEFORMAT </w:instrText>
      </w:r>
      <w:r>
        <w:fldChar w:fldCharType="separate"/>
      </w:r>
      <w:r w:rsidRPr="00E045AC">
        <w:rPr>
          <w:rStyle w:val="verdana"/>
          <w:szCs w:val="16"/>
        </w:rPr>
        <w:t>496</w:t>
      </w:r>
      <w:r>
        <w:fldChar w:fldCharType="end"/>
      </w:r>
      <w:r w:rsidRPr="00793101">
        <w:rPr>
          <w:rStyle w:val="verdana"/>
          <w:szCs w:val="16"/>
        </w:rPr>
        <w:t>.</w:t>
      </w:r>
    </w:p>
  </w:footnote>
  <w:footnote w:id="524">
    <w:p w14:paraId="3D102756" w14:textId="500E6624"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w:t>
      </w:r>
      <w:r w:rsidRPr="00793101">
        <w:rPr>
          <w:i/>
          <w:szCs w:val="16"/>
          <w:lang w:val="en-CA"/>
        </w:rPr>
        <w:t xml:space="preserve">Lake, supra </w:t>
      </w:r>
      <w:r w:rsidRPr="00793101">
        <w:rPr>
          <w:szCs w:val="16"/>
          <w:lang w:val="en-CA"/>
        </w:rPr>
        <w:t xml:space="preserve">note </w:t>
      </w:r>
      <w:r>
        <w:fldChar w:fldCharType="begin"/>
      </w:r>
      <w:r>
        <w:instrText xml:space="preserve"> NOTEREF _Ref267055074 \h  \* MERGEFORMAT </w:instrText>
      </w:r>
      <w:r>
        <w:fldChar w:fldCharType="separate"/>
      </w:r>
      <w:r w:rsidRPr="00E045AC">
        <w:rPr>
          <w:szCs w:val="16"/>
          <w:lang w:val="en-CA"/>
        </w:rPr>
        <w:t>377</w:t>
      </w:r>
      <w:r>
        <w:fldChar w:fldCharType="end"/>
      </w:r>
      <w:r w:rsidRPr="00793101">
        <w:rPr>
          <w:i/>
          <w:szCs w:val="16"/>
          <w:lang w:val="en-CA"/>
        </w:rPr>
        <w:t xml:space="preserve"> </w:t>
      </w:r>
      <w:r w:rsidRPr="00793101">
        <w:rPr>
          <w:szCs w:val="16"/>
          <w:lang w:val="en-CA"/>
        </w:rPr>
        <w:t xml:space="preserve">at </w:t>
      </w:r>
      <w:r w:rsidRPr="00793101">
        <w:rPr>
          <w:szCs w:val="16"/>
        </w:rPr>
        <w:t>42.</w:t>
      </w:r>
    </w:p>
  </w:footnote>
  <w:footnote w:id="525">
    <w:p w14:paraId="2FC1D187" w14:textId="3C3EE971"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w:t>
      </w:r>
      <w:proofErr w:type="spellStart"/>
      <w:r w:rsidRPr="00793101">
        <w:rPr>
          <w:rStyle w:val="verdana"/>
          <w:i/>
          <w:szCs w:val="16"/>
        </w:rPr>
        <w:t>Ferras</w:t>
      </w:r>
      <w:proofErr w:type="spellEnd"/>
      <w:r w:rsidRPr="00793101">
        <w:rPr>
          <w:rStyle w:val="verdana"/>
          <w:i/>
          <w:szCs w:val="16"/>
        </w:rPr>
        <w:t xml:space="preserve"> &amp; </w:t>
      </w:r>
      <w:proofErr w:type="spellStart"/>
      <w:r w:rsidRPr="00793101">
        <w:rPr>
          <w:rStyle w:val="verdana"/>
          <w:i/>
          <w:szCs w:val="16"/>
        </w:rPr>
        <w:t>Latty</w:t>
      </w:r>
      <w:proofErr w:type="spellEnd"/>
      <w:r w:rsidRPr="00793101">
        <w:rPr>
          <w:rStyle w:val="verdana"/>
          <w:szCs w:val="16"/>
        </w:rPr>
        <w:t xml:space="preserve">, </w:t>
      </w:r>
      <w:r w:rsidRPr="00793101">
        <w:rPr>
          <w:rStyle w:val="verdana"/>
          <w:i/>
          <w:szCs w:val="16"/>
        </w:rPr>
        <w:t xml:space="preserve">supra </w:t>
      </w:r>
      <w:r w:rsidRPr="00793101">
        <w:rPr>
          <w:rStyle w:val="verdana"/>
          <w:szCs w:val="16"/>
        </w:rPr>
        <w:t xml:space="preserve">note </w:t>
      </w:r>
      <w:r>
        <w:fldChar w:fldCharType="begin"/>
      </w:r>
      <w:r>
        <w:instrText xml:space="preserve"> NOTEREF _Ref267055640 \h  \* MERGEFORMAT </w:instrText>
      </w:r>
      <w:r>
        <w:fldChar w:fldCharType="separate"/>
      </w:r>
      <w:r w:rsidRPr="00E045AC">
        <w:rPr>
          <w:rStyle w:val="verdana"/>
          <w:szCs w:val="16"/>
        </w:rPr>
        <w:t>496</w:t>
      </w:r>
      <w:r>
        <w:fldChar w:fldCharType="end"/>
      </w:r>
      <w:r w:rsidRPr="00793101">
        <w:rPr>
          <w:rStyle w:val="verdana"/>
          <w:szCs w:val="16"/>
        </w:rPr>
        <w:t>.</w:t>
      </w:r>
    </w:p>
  </w:footnote>
  <w:footnote w:id="526">
    <w:p w14:paraId="3990063B"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rStyle w:val="verdana"/>
          <w:i/>
          <w:szCs w:val="16"/>
        </w:rPr>
        <w:t xml:space="preserve">United States v </w:t>
      </w:r>
      <w:proofErr w:type="spellStart"/>
      <w:r w:rsidRPr="00793101">
        <w:rPr>
          <w:rStyle w:val="verdana"/>
          <w:i/>
          <w:szCs w:val="16"/>
        </w:rPr>
        <w:t>Cotroni</w:t>
      </w:r>
      <w:proofErr w:type="spellEnd"/>
      <w:r w:rsidRPr="00793101">
        <w:rPr>
          <w:rStyle w:val="verdana"/>
          <w:i/>
          <w:szCs w:val="16"/>
        </w:rPr>
        <w:t>,</w:t>
      </w:r>
      <w:r w:rsidRPr="00793101">
        <w:rPr>
          <w:rStyle w:val="verdana"/>
          <w:szCs w:val="16"/>
        </w:rPr>
        <w:t xml:space="preserve"> </w:t>
      </w:r>
      <w:r w:rsidRPr="00793101">
        <w:rPr>
          <w:szCs w:val="16"/>
        </w:rPr>
        <w:t>[1989] 1 SCR 1469, [1989] SCJ No 56 (La Forest, J for the majority) [</w:t>
      </w:r>
      <w:proofErr w:type="spellStart"/>
      <w:r w:rsidRPr="00793101">
        <w:rPr>
          <w:i/>
          <w:szCs w:val="16"/>
        </w:rPr>
        <w:t>Cotroni</w:t>
      </w:r>
      <w:proofErr w:type="spellEnd"/>
      <w:r w:rsidRPr="00793101">
        <w:rPr>
          <w:szCs w:val="16"/>
        </w:rPr>
        <w:t xml:space="preserve">] at para 56.  See also </w:t>
      </w:r>
      <w:r w:rsidRPr="00793101">
        <w:rPr>
          <w:i/>
          <w:szCs w:val="16"/>
        </w:rPr>
        <w:t>McVey v United States</w:t>
      </w:r>
      <w:r w:rsidRPr="00793101">
        <w:rPr>
          <w:szCs w:val="16"/>
        </w:rPr>
        <w:t>, [1992] 3 SCR 475, [1992] SCJ No 95 at para 8.</w:t>
      </w:r>
    </w:p>
  </w:footnote>
  <w:footnote w:id="527">
    <w:p w14:paraId="654BC545" w14:textId="7509AD4B"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proofErr w:type="spellStart"/>
      <w:r w:rsidRPr="00793101">
        <w:rPr>
          <w:i/>
          <w:szCs w:val="16"/>
        </w:rPr>
        <w:t>Cotroni</w:t>
      </w:r>
      <w:proofErr w:type="spellEnd"/>
      <w:r w:rsidRPr="00793101">
        <w:rPr>
          <w:szCs w:val="16"/>
        </w:rPr>
        <w:t xml:space="preserve">, supra note </w:t>
      </w:r>
      <w:r>
        <w:fldChar w:fldCharType="begin"/>
      </w:r>
      <w:r>
        <w:instrText xml:space="preserve"> NOTEREF _Ref267055845 \h  \* MERGEFORMAT </w:instrText>
      </w:r>
      <w:r>
        <w:fldChar w:fldCharType="separate"/>
      </w:r>
      <w:r w:rsidRPr="00E045AC">
        <w:rPr>
          <w:szCs w:val="16"/>
        </w:rPr>
        <w:t>526</w:t>
      </w:r>
      <w:r>
        <w:fldChar w:fldCharType="end"/>
      </w:r>
      <w:r w:rsidRPr="00793101">
        <w:rPr>
          <w:szCs w:val="16"/>
        </w:rPr>
        <w:t xml:space="preserve"> at 1498</w:t>
      </w:r>
      <w:r w:rsidRPr="00793101">
        <w:rPr>
          <w:i/>
          <w:szCs w:val="16"/>
        </w:rPr>
        <w:t>.</w:t>
      </w:r>
    </w:p>
  </w:footnote>
  <w:footnote w:id="528">
    <w:p w14:paraId="26DBDEF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USA v Leonard </w:t>
      </w:r>
      <w:r w:rsidRPr="00793101">
        <w:rPr>
          <w:szCs w:val="16"/>
        </w:rPr>
        <w:t>2012 ONCA 622.</w:t>
      </w:r>
    </w:p>
  </w:footnote>
  <w:footnote w:id="529">
    <w:p w14:paraId="5C0600C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i/>
          <w:szCs w:val="16"/>
        </w:rPr>
        <w:t xml:space="preserve"> Ibid </w:t>
      </w:r>
      <w:r w:rsidRPr="00793101">
        <w:rPr>
          <w:szCs w:val="16"/>
        </w:rPr>
        <w:t>at para 70.</w:t>
      </w:r>
    </w:p>
  </w:footnote>
  <w:footnote w:id="530">
    <w:p w14:paraId="6D58919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Ibid</w:t>
      </w:r>
      <w:r w:rsidRPr="00793101">
        <w:rPr>
          <w:szCs w:val="16"/>
          <w:lang w:val="en-US"/>
        </w:rPr>
        <w:t xml:space="preserve"> at para 50.</w:t>
      </w:r>
    </w:p>
  </w:footnote>
  <w:footnote w:id="531">
    <w:p w14:paraId="79D6D3C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lang w:val="en-US"/>
        </w:rPr>
        <w:t>Sriskandarajah</w:t>
      </w:r>
      <w:proofErr w:type="spellEnd"/>
      <w:r w:rsidRPr="00793101">
        <w:rPr>
          <w:i/>
          <w:szCs w:val="16"/>
          <w:lang w:val="en-US"/>
        </w:rPr>
        <w:t xml:space="preserve"> v. United States of America </w:t>
      </w:r>
      <w:r w:rsidRPr="00793101">
        <w:rPr>
          <w:szCs w:val="16"/>
          <w:lang w:val="en-US"/>
        </w:rPr>
        <w:t>[2012] 3 SCR 609 at para 11.</w:t>
      </w:r>
    </w:p>
  </w:footnote>
  <w:footnote w:id="532">
    <w:p w14:paraId="4188604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at para 13.</w:t>
      </w:r>
    </w:p>
  </w:footnote>
  <w:footnote w:id="533">
    <w:p w14:paraId="27E24090"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See </w:t>
      </w:r>
      <w:r w:rsidRPr="00793101">
        <w:rPr>
          <w:szCs w:val="16"/>
        </w:rPr>
        <w:t xml:space="preserve">Amnesty International, </w:t>
      </w:r>
      <w:r w:rsidRPr="00793101">
        <w:rPr>
          <w:i/>
          <w:szCs w:val="16"/>
        </w:rPr>
        <w:t>Universal Jurisdiction: UN General Assembly Should Support This Essential International Justice Tool</w:t>
      </w:r>
      <w:r w:rsidRPr="00793101">
        <w:rPr>
          <w:szCs w:val="16"/>
        </w:rPr>
        <w:t>, AI Index: IOR 53/015/2010 (Amnesty International, 2010).</w:t>
      </w:r>
    </w:p>
  </w:footnote>
  <w:footnote w:id="534">
    <w:p w14:paraId="2DD393B4" w14:textId="26E1DBD2"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Extradition Act</w:t>
      </w:r>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_Ref267054270 \h  \* MERGEFORMAT </w:instrText>
      </w:r>
      <w:r>
        <w:fldChar w:fldCharType="separate"/>
      </w:r>
      <w:r w:rsidRPr="00E045AC">
        <w:rPr>
          <w:szCs w:val="16"/>
        </w:rPr>
        <w:t>376</w:t>
      </w:r>
      <w:r>
        <w:fldChar w:fldCharType="end"/>
      </w:r>
      <w:r w:rsidRPr="00793101">
        <w:rPr>
          <w:szCs w:val="16"/>
        </w:rPr>
        <w:t>, s 3(1).</w:t>
      </w:r>
    </w:p>
  </w:footnote>
  <w:footnote w:id="535">
    <w:p w14:paraId="28D62D7E" w14:textId="77777777" w:rsidR="00356280" w:rsidRPr="00793101" w:rsidRDefault="00356280" w:rsidP="0040644D">
      <w:pPr>
        <w:pStyle w:val="FootnoteText"/>
        <w:spacing w:after="0" w:line="240" w:lineRule="auto"/>
        <w:rPr>
          <w:szCs w:val="16"/>
          <w:highlight w:val="magenta"/>
          <w:lang w:val="en-CA"/>
        </w:rPr>
      </w:pPr>
      <w:r w:rsidRPr="00793101">
        <w:rPr>
          <w:rStyle w:val="FootnoteReference"/>
          <w:szCs w:val="16"/>
          <w:lang w:val="en-CA"/>
        </w:rPr>
        <w:footnoteRef/>
      </w:r>
      <w:r w:rsidRPr="00793101">
        <w:rPr>
          <w:szCs w:val="16"/>
          <w:lang w:val="en-CA"/>
        </w:rPr>
        <w:t xml:space="preserve"> </w:t>
      </w:r>
      <w:r w:rsidRPr="00793101">
        <w:rPr>
          <w:i/>
          <w:szCs w:val="16"/>
          <w:lang w:val="en-CA"/>
        </w:rPr>
        <w:t>Ibid</w:t>
      </w:r>
      <w:r w:rsidRPr="00793101">
        <w:rPr>
          <w:szCs w:val="16"/>
          <w:lang w:val="en-CA"/>
        </w:rPr>
        <w:t xml:space="preserve">. </w:t>
      </w:r>
    </w:p>
  </w:footnote>
  <w:footnote w:id="536">
    <w:p w14:paraId="3B9C1117"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CA"/>
        </w:rPr>
        <w:t>Ibid</w:t>
      </w:r>
      <w:r w:rsidRPr="00793101">
        <w:rPr>
          <w:i/>
          <w:szCs w:val="16"/>
        </w:rPr>
        <w:t xml:space="preserve">, </w:t>
      </w:r>
      <w:r w:rsidRPr="00793101">
        <w:rPr>
          <w:szCs w:val="16"/>
        </w:rPr>
        <w:t>s 59.</w:t>
      </w:r>
    </w:p>
  </w:footnote>
  <w:footnote w:id="537">
    <w:p w14:paraId="6D4882C8"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CA"/>
        </w:rPr>
        <w:t>Ibid</w:t>
      </w:r>
      <w:r w:rsidRPr="00793101">
        <w:rPr>
          <w:i/>
          <w:szCs w:val="16"/>
          <w:lang w:val="en-US"/>
        </w:rPr>
        <w:t>,</w:t>
      </w:r>
      <w:r w:rsidRPr="00793101">
        <w:rPr>
          <w:szCs w:val="16"/>
          <w:lang w:val="en-US"/>
        </w:rPr>
        <w:t xml:space="preserve"> s 59(a).</w:t>
      </w:r>
    </w:p>
  </w:footnote>
  <w:footnote w:id="538">
    <w:p w14:paraId="11CE3449"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lang w:val="en-CA"/>
        </w:rPr>
        <w:t>Ibid</w:t>
      </w:r>
      <w:r w:rsidRPr="00793101">
        <w:rPr>
          <w:i/>
          <w:szCs w:val="16"/>
          <w:lang w:val="en-US"/>
        </w:rPr>
        <w:t>,</w:t>
      </w:r>
      <w:r w:rsidRPr="00793101">
        <w:rPr>
          <w:szCs w:val="16"/>
          <w:lang w:val="en-US"/>
        </w:rPr>
        <w:t xml:space="preserve"> s 59(b).</w:t>
      </w:r>
    </w:p>
  </w:footnote>
  <w:footnote w:id="539">
    <w:p w14:paraId="2EB8914A" w14:textId="77777777" w:rsidR="00356280" w:rsidRPr="00793101" w:rsidRDefault="00356280" w:rsidP="0040644D">
      <w:pPr>
        <w:pStyle w:val="FootnoteText"/>
        <w:spacing w:after="0" w:line="240" w:lineRule="auto"/>
        <w:rPr>
          <w:szCs w:val="16"/>
          <w:highlight w:val="magenta"/>
          <w:lang w:val="en-CA"/>
        </w:rPr>
      </w:pPr>
      <w:r w:rsidRPr="00793101">
        <w:rPr>
          <w:rStyle w:val="FootnoteReference"/>
          <w:szCs w:val="16"/>
          <w:lang w:val="en-CA"/>
        </w:rPr>
        <w:footnoteRef/>
      </w:r>
      <w:r w:rsidRPr="00793101">
        <w:rPr>
          <w:szCs w:val="16"/>
          <w:lang w:val="en-CA"/>
        </w:rPr>
        <w:t xml:space="preserve">  </w:t>
      </w:r>
      <w:r w:rsidRPr="00793101">
        <w:rPr>
          <w:i/>
          <w:szCs w:val="16"/>
          <w:lang w:val="en-CA"/>
        </w:rPr>
        <w:t xml:space="preserve">Ibid, </w:t>
      </w:r>
      <w:r w:rsidRPr="00793101">
        <w:rPr>
          <w:szCs w:val="16"/>
          <w:lang w:val="en-CA"/>
        </w:rPr>
        <w:t>s 47(e).</w:t>
      </w:r>
    </w:p>
  </w:footnote>
  <w:footnote w:id="540">
    <w:p w14:paraId="79AA8345"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proofErr w:type="spellStart"/>
      <w:proofErr w:type="gramStart"/>
      <w:r w:rsidRPr="00793101">
        <w:rPr>
          <w:i/>
          <w:szCs w:val="16"/>
          <w:lang w:val="en-CA"/>
        </w:rPr>
        <w:t>Ibid,</w:t>
      </w:r>
      <w:r w:rsidRPr="00793101">
        <w:rPr>
          <w:szCs w:val="16"/>
          <w:lang w:val="en-CA"/>
        </w:rPr>
        <w:t>,</w:t>
      </w:r>
      <w:proofErr w:type="gramEnd"/>
      <w:r w:rsidRPr="00793101">
        <w:rPr>
          <w:szCs w:val="16"/>
          <w:lang w:val="en-CA"/>
        </w:rPr>
        <w:t>s</w:t>
      </w:r>
      <w:proofErr w:type="spellEnd"/>
      <w:r w:rsidRPr="00793101">
        <w:rPr>
          <w:szCs w:val="16"/>
          <w:lang w:val="en-CA"/>
        </w:rPr>
        <w:t xml:space="preserve"> 46(1)(c).</w:t>
      </w:r>
    </w:p>
  </w:footnote>
  <w:footnote w:id="541">
    <w:p w14:paraId="1D7AE189"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Ibid,</w:t>
      </w:r>
      <w:r w:rsidRPr="00793101">
        <w:rPr>
          <w:szCs w:val="16"/>
          <w:lang w:val="en-CA"/>
        </w:rPr>
        <w:t xml:space="preserve"> s 46(2).</w:t>
      </w:r>
    </w:p>
  </w:footnote>
  <w:footnote w:id="542">
    <w:p w14:paraId="0E2AF4CD" w14:textId="7777777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There is no internationally accepted definition of the term “political offence”.  A leading authority on extradition has stated: “Even though widely recognized, the very term “political offence” is seldom defined in treaties or national legislation, and judicial interpretations have been the principle source for its meaning and its application.  This may be </w:t>
      </w:r>
      <w:proofErr w:type="gramStart"/>
      <w:r w:rsidRPr="00793101">
        <w:rPr>
          <w:szCs w:val="16"/>
          <w:lang w:val="en-CA"/>
        </w:rPr>
        <w:t>due to the fact that</w:t>
      </w:r>
      <w:proofErr w:type="gramEnd"/>
      <w:r w:rsidRPr="00793101">
        <w:rPr>
          <w:szCs w:val="16"/>
          <w:lang w:val="en-CA"/>
        </w:rPr>
        <w:t xml:space="preserve"> whether or not a particular type of conduct falls within that category depends essentially on the facts and circumstances of the occurrence.  Thus, by its very nature it eludes a precise definition, which could constrict the flexibility needed to assess the facts and circumstances of each case”, </w:t>
      </w:r>
      <w:proofErr w:type="spellStart"/>
      <w:r w:rsidRPr="00793101">
        <w:rPr>
          <w:szCs w:val="16"/>
          <w:lang w:val="en-CA"/>
        </w:rPr>
        <w:t>Cherif</w:t>
      </w:r>
      <w:proofErr w:type="spellEnd"/>
      <w:r w:rsidRPr="00793101">
        <w:rPr>
          <w:szCs w:val="16"/>
          <w:lang w:val="en-CA"/>
        </w:rPr>
        <w:t xml:space="preserve"> </w:t>
      </w:r>
      <w:proofErr w:type="spellStart"/>
      <w:r w:rsidRPr="00793101">
        <w:rPr>
          <w:szCs w:val="16"/>
          <w:lang w:val="en-CA"/>
        </w:rPr>
        <w:t>Bassiouni</w:t>
      </w:r>
      <w:proofErr w:type="spellEnd"/>
      <w:r w:rsidRPr="00793101">
        <w:rPr>
          <w:szCs w:val="16"/>
          <w:lang w:val="en-CA"/>
        </w:rPr>
        <w:t xml:space="preserve">, </w:t>
      </w:r>
      <w:r w:rsidRPr="00793101">
        <w:rPr>
          <w:i/>
          <w:iCs/>
          <w:szCs w:val="16"/>
          <w:lang w:val="en-CA"/>
        </w:rPr>
        <w:t xml:space="preserve">International </w:t>
      </w:r>
      <w:proofErr w:type="spellStart"/>
      <w:r w:rsidRPr="00793101">
        <w:rPr>
          <w:i/>
          <w:iCs/>
          <w:szCs w:val="16"/>
          <w:lang w:val="en-CA"/>
        </w:rPr>
        <w:t>Extradtion</w:t>
      </w:r>
      <w:proofErr w:type="spellEnd"/>
      <w:r w:rsidRPr="00793101">
        <w:rPr>
          <w:i/>
          <w:iCs/>
          <w:szCs w:val="16"/>
          <w:lang w:val="en-CA"/>
        </w:rPr>
        <w:t>: United States Law and Practice</w:t>
      </w:r>
      <w:r w:rsidRPr="00793101">
        <w:rPr>
          <w:szCs w:val="16"/>
          <w:lang w:val="en-CA"/>
        </w:rPr>
        <w:t>, 5</w:t>
      </w:r>
      <w:r w:rsidRPr="00793101">
        <w:rPr>
          <w:szCs w:val="16"/>
          <w:vertAlign w:val="superscript"/>
          <w:lang w:val="en-CA"/>
        </w:rPr>
        <w:t>th</w:t>
      </w:r>
      <w:r w:rsidRPr="00793101">
        <w:rPr>
          <w:szCs w:val="16"/>
          <w:lang w:val="en-CA"/>
        </w:rPr>
        <w:t xml:space="preserve"> ed (</w:t>
      </w:r>
      <w:proofErr w:type="spellStart"/>
      <w:r w:rsidRPr="00793101">
        <w:rPr>
          <w:szCs w:val="16"/>
          <w:lang w:val="en-CA"/>
        </w:rPr>
        <w:t>Oceana</w:t>
      </w:r>
      <w:proofErr w:type="spellEnd"/>
      <w:r w:rsidRPr="00793101">
        <w:rPr>
          <w:szCs w:val="16"/>
          <w:lang w:val="en-CA"/>
        </w:rPr>
        <w:t>: Oxford University Press, 2007) at 653 (footnotes omitted).</w:t>
      </w:r>
    </w:p>
  </w:footnote>
  <w:footnote w:id="543">
    <w:p w14:paraId="20FE2083" w14:textId="37A97430"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Genocide </w:t>
      </w:r>
      <w:r w:rsidRPr="00793101">
        <w:rPr>
          <w:i/>
          <w:szCs w:val="16"/>
          <w:lang w:val="en-CA"/>
        </w:rPr>
        <w:t xml:space="preserve">Convention, supra </w:t>
      </w:r>
      <w:r w:rsidRPr="00793101">
        <w:rPr>
          <w:szCs w:val="16"/>
          <w:lang w:val="en-CA"/>
        </w:rPr>
        <w:t xml:space="preserve">note </w:t>
      </w:r>
      <w:r>
        <w:fldChar w:fldCharType="begin"/>
      </w:r>
      <w:r>
        <w:instrText xml:space="preserve"> NOTEREF _Ref266973019 \h  \* MERGEFORMAT </w:instrText>
      </w:r>
      <w:r>
        <w:fldChar w:fldCharType="separate"/>
      </w:r>
      <w:r w:rsidRPr="00E045AC">
        <w:rPr>
          <w:szCs w:val="16"/>
          <w:lang w:val="en-CA"/>
        </w:rPr>
        <w:t>238</w:t>
      </w:r>
      <w:r>
        <w:fldChar w:fldCharType="end"/>
      </w:r>
      <w:r w:rsidRPr="00793101">
        <w:rPr>
          <w:szCs w:val="16"/>
          <w:lang w:val="en-CA"/>
        </w:rPr>
        <w:t>, art 7 (“Genocide and the other acts enumerated in article III shall not be considered as political crimes for the purpose of extradition”).  Other treaties implicitly do so by imposing an extradite or try obligation (see treaties discussed in Section 4.2 above).</w:t>
      </w:r>
    </w:p>
  </w:footnote>
  <w:footnote w:id="544">
    <w:p w14:paraId="5031F25E" w14:textId="46E51AA0"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Extradition Act, supra</w:t>
      </w:r>
      <w:r w:rsidRPr="00793101">
        <w:rPr>
          <w:szCs w:val="16"/>
          <w:lang w:val="en-CA"/>
        </w:rPr>
        <w:t xml:space="preserve"> note </w:t>
      </w:r>
      <w:r>
        <w:fldChar w:fldCharType="begin"/>
      </w:r>
      <w:r>
        <w:instrText xml:space="preserve"> NOTEREF _Ref267054270 \h  \* MERGEFORMAT </w:instrText>
      </w:r>
      <w:r>
        <w:fldChar w:fldCharType="separate"/>
      </w:r>
      <w:r w:rsidRPr="00E045AC">
        <w:rPr>
          <w:szCs w:val="16"/>
          <w:lang w:val="en-CA"/>
        </w:rPr>
        <w:t>376</w:t>
      </w:r>
      <w:r>
        <w:fldChar w:fldCharType="end"/>
      </w:r>
      <w:r w:rsidRPr="00793101">
        <w:rPr>
          <w:szCs w:val="16"/>
          <w:lang w:val="en-CA"/>
        </w:rPr>
        <w:t xml:space="preserve"> s 46(1)(b).</w:t>
      </w:r>
    </w:p>
  </w:footnote>
  <w:footnote w:id="545">
    <w:p w14:paraId="272BE381" w14:textId="25D2058E"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 xml:space="preserve">Ibid </w:t>
      </w:r>
      <w:r w:rsidRPr="00793101">
        <w:rPr>
          <w:szCs w:val="16"/>
          <w:lang w:val="en-CA"/>
        </w:rPr>
        <w:t xml:space="preserve">at s 47(a); </w:t>
      </w:r>
      <w:r w:rsidRPr="00793101">
        <w:rPr>
          <w:i/>
          <w:szCs w:val="16"/>
        </w:rPr>
        <w:t>Canadian Charter of Rights and Freedoms</w:t>
      </w:r>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_Ref267055058 \h  \* MERGEFORMAT </w:instrText>
      </w:r>
      <w:r>
        <w:fldChar w:fldCharType="separate"/>
      </w:r>
      <w:r>
        <w:t>11</w:t>
      </w:r>
      <w:r>
        <w:fldChar w:fldCharType="end"/>
      </w:r>
      <w:r w:rsidRPr="00793101">
        <w:rPr>
          <w:szCs w:val="16"/>
        </w:rPr>
        <w:t>, s 11(g).</w:t>
      </w:r>
    </w:p>
  </w:footnote>
  <w:footnote w:id="546">
    <w:p w14:paraId="59C3A028"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0C692A">
        <w:rPr>
          <w:i/>
          <w:szCs w:val="16"/>
          <w:lang w:val="en-US"/>
        </w:rPr>
        <w:t>Bouarfa</w:t>
      </w:r>
      <w:proofErr w:type="spellEnd"/>
      <w:r w:rsidRPr="000C692A">
        <w:rPr>
          <w:i/>
          <w:szCs w:val="16"/>
          <w:lang w:val="en-US"/>
        </w:rPr>
        <w:t xml:space="preserve"> v Canada (Minister of Justice</w:t>
      </w:r>
      <w:r w:rsidRPr="000C692A">
        <w:rPr>
          <w:szCs w:val="16"/>
          <w:lang w:val="en-US"/>
        </w:rPr>
        <w:t>)</w:t>
      </w:r>
      <w:r w:rsidRPr="000C692A">
        <w:rPr>
          <w:i/>
          <w:szCs w:val="16"/>
          <w:lang w:val="en-US"/>
        </w:rPr>
        <w:t xml:space="preserve"> </w:t>
      </w:r>
      <w:r w:rsidRPr="000C692A">
        <w:rPr>
          <w:szCs w:val="16"/>
          <w:lang w:val="en-US"/>
        </w:rPr>
        <w:t>2012 QCCA 1378.</w:t>
      </w:r>
      <w:r w:rsidRPr="000C692A">
        <w:rPr>
          <w:i/>
          <w:szCs w:val="16"/>
          <w:lang w:val="en-US"/>
        </w:rPr>
        <w:t xml:space="preserve"> </w:t>
      </w:r>
    </w:p>
  </w:footnote>
  <w:footnote w:id="547">
    <w:p w14:paraId="40E405A2"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i/>
          <w:szCs w:val="16"/>
          <w:lang w:val="en-US"/>
        </w:rPr>
        <w:t xml:space="preserve"> Ibid</w:t>
      </w:r>
      <w:r w:rsidRPr="000C692A">
        <w:rPr>
          <w:szCs w:val="16"/>
          <w:lang w:val="en-US"/>
        </w:rPr>
        <w:t xml:space="preserve"> at para 51.</w:t>
      </w:r>
    </w:p>
  </w:footnote>
  <w:footnote w:id="548">
    <w:p w14:paraId="06B8EF4C" w14:textId="004B24EE"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Extradition Act</w:t>
      </w:r>
      <w:r w:rsidRPr="00793101">
        <w:rPr>
          <w:szCs w:val="16"/>
          <w:lang w:val="en-CA"/>
        </w:rPr>
        <w:t>,</w:t>
      </w:r>
      <w:r w:rsidRPr="00793101">
        <w:rPr>
          <w:i/>
          <w:szCs w:val="16"/>
          <w:lang w:val="en-CA"/>
        </w:rPr>
        <w:t xml:space="preserve"> supra</w:t>
      </w:r>
      <w:r w:rsidRPr="00793101">
        <w:rPr>
          <w:szCs w:val="16"/>
          <w:lang w:val="en-CA"/>
        </w:rPr>
        <w:t xml:space="preserve"> note </w:t>
      </w:r>
      <w:r>
        <w:fldChar w:fldCharType="begin"/>
      </w:r>
      <w:r>
        <w:instrText xml:space="preserve"> NOTEREF _Ref267054270 \h  \* MERGEFORMAT </w:instrText>
      </w:r>
      <w:r>
        <w:fldChar w:fldCharType="separate"/>
      </w:r>
      <w:r w:rsidRPr="00E045AC">
        <w:rPr>
          <w:szCs w:val="16"/>
          <w:lang w:val="en-CA"/>
        </w:rPr>
        <w:t>376</w:t>
      </w:r>
      <w:r>
        <w:fldChar w:fldCharType="end"/>
      </w:r>
      <w:r w:rsidRPr="00793101">
        <w:rPr>
          <w:szCs w:val="16"/>
          <w:lang w:val="en-CA"/>
        </w:rPr>
        <w:t>, s 46(1)(a).</w:t>
      </w:r>
    </w:p>
  </w:footnote>
  <w:footnote w:id="549">
    <w:p w14:paraId="7FC0E91C"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Ibid, </w:t>
      </w:r>
      <w:r w:rsidRPr="00793101">
        <w:rPr>
          <w:szCs w:val="16"/>
          <w:lang w:val="en-CA"/>
        </w:rPr>
        <w:t>s 44(1)(a).</w:t>
      </w:r>
    </w:p>
  </w:footnote>
  <w:footnote w:id="550">
    <w:p w14:paraId="26BBC159" w14:textId="3BF580E9"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rPr>
        <w:t>Cotroni</w:t>
      </w:r>
      <w:proofErr w:type="spellEnd"/>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_Ref267055845 \h  \* MERGEFORMAT </w:instrText>
      </w:r>
      <w:r>
        <w:fldChar w:fldCharType="separate"/>
      </w:r>
      <w:r w:rsidRPr="00E045AC">
        <w:rPr>
          <w:szCs w:val="16"/>
        </w:rPr>
        <w:t>526</w:t>
      </w:r>
      <w:r>
        <w:fldChar w:fldCharType="end"/>
      </w:r>
      <w:r w:rsidRPr="00793101">
        <w:rPr>
          <w:szCs w:val="16"/>
        </w:rPr>
        <w:t xml:space="preserve"> </w:t>
      </w:r>
      <w:r w:rsidRPr="00793101">
        <w:rPr>
          <w:bCs/>
          <w:szCs w:val="16"/>
          <w:lang w:val="en-US"/>
        </w:rPr>
        <w:t>at paras 55 and 56.</w:t>
      </w:r>
    </w:p>
  </w:footnote>
  <w:footnote w:id="551">
    <w:p w14:paraId="0BF535A6"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Canada v Schmidt,</w:t>
      </w:r>
      <w:r w:rsidRPr="00793101">
        <w:rPr>
          <w:szCs w:val="16"/>
        </w:rPr>
        <w:t xml:space="preserve"> [1987] 1 SCR 500, [1987] SCJ No 24.</w:t>
      </w:r>
    </w:p>
  </w:footnote>
  <w:footnote w:id="552">
    <w:p w14:paraId="5917CB43"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at para 48.</w:t>
      </w:r>
    </w:p>
  </w:footnote>
  <w:footnote w:id="553">
    <w:p w14:paraId="00DDBEC2"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at para 48.</w:t>
      </w:r>
    </w:p>
  </w:footnote>
  <w:footnote w:id="554">
    <w:p w14:paraId="55EBBDCA"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 xml:space="preserve">United States v </w:t>
      </w:r>
      <w:proofErr w:type="spellStart"/>
      <w:r w:rsidRPr="00793101">
        <w:rPr>
          <w:i/>
          <w:szCs w:val="16"/>
        </w:rPr>
        <w:t>Prudenza</w:t>
      </w:r>
      <w:proofErr w:type="spellEnd"/>
      <w:r w:rsidRPr="00793101">
        <w:rPr>
          <w:szCs w:val="16"/>
        </w:rPr>
        <w:t>, [2006] OJ No 4321 (</w:t>
      </w:r>
      <w:proofErr w:type="spellStart"/>
      <w:r w:rsidRPr="00793101">
        <w:rPr>
          <w:szCs w:val="16"/>
        </w:rPr>
        <w:t>Ont</w:t>
      </w:r>
      <w:proofErr w:type="spellEnd"/>
      <w:r w:rsidRPr="00793101">
        <w:rPr>
          <w:szCs w:val="16"/>
        </w:rPr>
        <w:t xml:space="preserve"> CA), leave to appeal to SCC </w:t>
      </w:r>
      <w:proofErr w:type="gramStart"/>
      <w:r w:rsidRPr="00793101">
        <w:rPr>
          <w:szCs w:val="16"/>
        </w:rPr>
        <w:t>ref’d</w:t>
      </w:r>
      <w:proofErr w:type="gramEnd"/>
      <w:r w:rsidRPr="00793101">
        <w:rPr>
          <w:szCs w:val="16"/>
        </w:rPr>
        <w:t xml:space="preserve"> [2007] SCCA No 418 (SCC).</w:t>
      </w:r>
    </w:p>
  </w:footnote>
  <w:footnote w:id="555">
    <w:p w14:paraId="4FDCD9C1"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at para 39.</w:t>
      </w:r>
    </w:p>
  </w:footnote>
  <w:footnote w:id="556">
    <w:p w14:paraId="669AB194" w14:textId="65999D4E"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Extradition Act</w:t>
      </w:r>
      <w:r w:rsidRPr="00793101">
        <w:rPr>
          <w:szCs w:val="16"/>
        </w:rPr>
        <w:t xml:space="preserve">, </w:t>
      </w:r>
      <w:r w:rsidRPr="00793101">
        <w:rPr>
          <w:i/>
          <w:szCs w:val="16"/>
        </w:rPr>
        <w:t xml:space="preserve">supra </w:t>
      </w:r>
      <w:r w:rsidRPr="00793101">
        <w:rPr>
          <w:szCs w:val="16"/>
        </w:rPr>
        <w:t xml:space="preserve">note </w:t>
      </w:r>
      <w:r>
        <w:fldChar w:fldCharType="begin"/>
      </w:r>
      <w:r>
        <w:instrText xml:space="preserve"> NOTEREF _Ref267054270 \h  \* MERGEFORMAT </w:instrText>
      </w:r>
      <w:r>
        <w:fldChar w:fldCharType="separate"/>
      </w:r>
      <w:r w:rsidRPr="00E045AC">
        <w:rPr>
          <w:szCs w:val="16"/>
        </w:rPr>
        <w:t>376</w:t>
      </w:r>
      <w:r>
        <w:fldChar w:fldCharType="end"/>
      </w:r>
      <w:r w:rsidRPr="00793101">
        <w:rPr>
          <w:szCs w:val="16"/>
        </w:rPr>
        <w:t>, s 38(2).</w:t>
      </w:r>
    </w:p>
  </w:footnote>
  <w:footnote w:id="557">
    <w:p w14:paraId="579B6D41"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w:t>
      </w:r>
      <w:r w:rsidRPr="00793101">
        <w:rPr>
          <w:i/>
          <w:szCs w:val="16"/>
        </w:rPr>
        <w:t xml:space="preserve"> </w:t>
      </w:r>
      <w:r w:rsidRPr="00793101">
        <w:rPr>
          <w:szCs w:val="16"/>
        </w:rPr>
        <w:t>s 40(1).</w:t>
      </w:r>
    </w:p>
  </w:footnote>
  <w:footnote w:id="558">
    <w:p w14:paraId="00BB4570"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s 40(5)(b).</w:t>
      </w:r>
    </w:p>
  </w:footnote>
  <w:footnote w:id="559">
    <w:p w14:paraId="2B637F9A" w14:textId="502431AC"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rPr>
        <w:t>Ferras</w:t>
      </w:r>
      <w:proofErr w:type="spellEnd"/>
      <w:r w:rsidRPr="00793101">
        <w:rPr>
          <w:i/>
          <w:szCs w:val="16"/>
        </w:rPr>
        <w:t xml:space="preserve"> &amp; </w:t>
      </w:r>
      <w:proofErr w:type="spellStart"/>
      <w:r w:rsidRPr="00793101">
        <w:rPr>
          <w:i/>
          <w:szCs w:val="16"/>
        </w:rPr>
        <w:t>Latty</w:t>
      </w:r>
      <w:proofErr w:type="spellEnd"/>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_Ref267055640 \h  \* MERGEFORMAT </w:instrText>
      </w:r>
      <w:r>
        <w:fldChar w:fldCharType="separate"/>
      </w:r>
      <w:r w:rsidRPr="00E045AC">
        <w:rPr>
          <w:szCs w:val="16"/>
        </w:rPr>
        <w:t>496</w:t>
      </w:r>
      <w:r>
        <w:fldChar w:fldCharType="end"/>
      </w:r>
      <w:r w:rsidRPr="00793101">
        <w:rPr>
          <w:szCs w:val="16"/>
        </w:rPr>
        <w:t xml:space="preserve"> at para 85, citing </w:t>
      </w:r>
      <w:r w:rsidRPr="00793101">
        <w:rPr>
          <w:i/>
          <w:szCs w:val="16"/>
        </w:rPr>
        <w:t xml:space="preserve">Burns, supra </w:t>
      </w:r>
      <w:r w:rsidRPr="00793101">
        <w:rPr>
          <w:szCs w:val="16"/>
        </w:rPr>
        <w:t xml:space="preserve">note </w:t>
      </w:r>
      <w:r>
        <w:fldChar w:fldCharType="begin"/>
      </w:r>
      <w:r>
        <w:instrText xml:space="preserve"> NOTEREF _Ref267056724 \h  \* MERGEFORMAT </w:instrText>
      </w:r>
      <w:r>
        <w:fldChar w:fldCharType="separate"/>
      </w:r>
      <w:r w:rsidRPr="00E045AC">
        <w:rPr>
          <w:szCs w:val="16"/>
        </w:rPr>
        <w:t>520</w:t>
      </w:r>
      <w:r>
        <w:fldChar w:fldCharType="end"/>
      </w:r>
      <w:r w:rsidRPr="00793101">
        <w:rPr>
          <w:i/>
          <w:szCs w:val="16"/>
        </w:rPr>
        <w:t xml:space="preserve"> </w:t>
      </w:r>
      <w:r w:rsidRPr="00793101">
        <w:rPr>
          <w:szCs w:val="16"/>
        </w:rPr>
        <w:t>at para 67.</w:t>
      </w:r>
    </w:p>
  </w:footnote>
  <w:footnote w:id="560">
    <w:p w14:paraId="23230D57"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p>
  </w:footnote>
  <w:footnote w:id="561">
    <w:p w14:paraId="12C39225" w14:textId="68A98D1D"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w:t>
      </w:r>
      <w:proofErr w:type="spellStart"/>
      <w:r w:rsidRPr="00793101">
        <w:rPr>
          <w:i/>
          <w:szCs w:val="16"/>
        </w:rPr>
        <w:t>Ferras</w:t>
      </w:r>
      <w:proofErr w:type="spellEnd"/>
      <w:r w:rsidRPr="00793101">
        <w:rPr>
          <w:i/>
          <w:szCs w:val="16"/>
        </w:rPr>
        <w:t xml:space="preserve"> &amp; </w:t>
      </w:r>
      <w:proofErr w:type="spellStart"/>
      <w:r w:rsidRPr="00793101">
        <w:rPr>
          <w:i/>
          <w:szCs w:val="16"/>
        </w:rPr>
        <w:t>Latty</w:t>
      </w:r>
      <w:proofErr w:type="spellEnd"/>
      <w:r w:rsidRPr="00793101">
        <w:rPr>
          <w:i/>
          <w:szCs w:val="16"/>
        </w:rPr>
        <w:t xml:space="preserve">, supra </w:t>
      </w:r>
      <w:r w:rsidRPr="00793101">
        <w:rPr>
          <w:szCs w:val="16"/>
        </w:rPr>
        <w:t xml:space="preserve">note </w:t>
      </w:r>
      <w:r>
        <w:fldChar w:fldCharType="begin"/>
      </w:r>
      <w:r>
        <w:instrText xml:space="preserve"> NOTEREF _Ref267055640 \h  \* MERGEFORMAT </w:instrText>
      </w:r>
      <w:r>
        <w:fldChar w:fldCharType="separate"/>
      </w:r>
      <w:r w:rsidRPr="00E045AC">
        <w:rPr>
          <w:szCs w:val="16"/>
        </w:rPr>
        <w:t>496</w:t>
      </w:r>
      <w:r>
        <w:fldChar w:fldCharType="end"/>
      </w:r>
      <w:r w:rsidRPr="00793101">
        <w:rPr>
          <w:szCs w:val="16"/>
        </w:rPr>
        <w:t>.</w:t>
      </w:r>
      <w:r w:rsidRPr="00793101">
        <w:rPr>
          <w:i/>
          <w:szCs w:val="16"/>
        </w:rPr>
        <w:t xml:space="preserve"> </w:t>
      </w:r>
    </w:p>
  </w:footnote>
  <w:footnote w:id="562">
    <w:p w14:paraId="73CA54DE"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w:t>
      </w:r>
      <w:r w:rsidRPr="00793101">
        <w:rPr>
          <w:i/>
          <w:szCs w:val="16"/>
        </w:rPr>
        <w:t>Italy v Caruana [No 2]</w:t>
      </w:r>
      <w:r w:rsidRPr="00793101">
        <w:rPr>
          <w:szCs w:val="16"/>
        </w:rPr>
        <w:t>, [2004] OJ No 5851 (</w:t>
      </w:r>
      <w:proofErr w:type="spellStart"/>
      <w:r w:rsidRPr="00793101">
        <w:rPr>
          <w:szCs w:val="16"/>
        </w:rPr>
        <w:t>Ont</w:t>
      </w:r>
      <w:proofErr w:type="spellEnd"/>
      <w:r w:rsidRPr="00793101">
        <w:rPr>
          <w:szCs w:val="16"/>
        </w:rPr>
        <w:t xml:space="preserve"> SCJ), aff’d [2007] OJ No 2550, 2007 ONCA 488 (</w:t>
      </w:r>
      <w:proofErr w:type="spellStart"/>
      <w:r w:rsidRPr="00793101">
        <w:rPr>
          <w:szCs w:val="16"/>
        </w:rPr>
        <w:t>Ont</w:t>
      </w:r>
      <w:proofErr w:type="spellEnd"/>
      <w:r w:rsidRPr="00793101">
        <w:rPr>
          <w:szCs w:val="16"/>
        </w:rPr>
        <w:t xml:space="preserve"> CA), leave to appeal </w:t>
      </w:r>
      <w:proofErr w:type="gramStart"/>
      <w:r w:rsidRPr="00793101">
        <w:rPr>
          <w:szCs w:val="16"/>
        </w:rPr>
        <w:t>ref’d</w:t>
      </w:r>
      <w:proofErr w:type="gramEnd"/>
      <w:r w:rsidRPr="00793101">
        <w:rPr>
          <w:szCs w:val="16"/>
        </w:rPr>
        <w:t xml:space="preserve"> [2007] SCCA No 474 (SCC) at para111.</w:t>
      </w:r>
    </w:p>
  </w:footnote>
  <w:footnote w:id="563">
    <w:p w14:paraId="3426AC6B"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e.g. </w:t>
      </w:r>
      <w:r w:rsidRPr="00793101">
        <w:rPr>
          <w:i/>
          <w:szCs w:val="16"/>
        </w:rPr>
        <w:t>United States v Shull [No 3]</w:t>
      </w:r>
      <w:r w:rsidRPr="00793101">
        <w:rPr>
          <w:szCs w:val="16"/>
        </w:rPr>
        <w:t>, [2007] BCJ No 2506, 2007 BCSC 1681, 76 WCB (2d) 255 (BCSC)</w:t>
      </w:r>
      <w:r w:rsidRPr="00793101">
        <w:rPr>
          <w:i/>
          <w:szCs w:val="16"/>
        </w:rPr>
        <w:t xml:space="preserve"> </w:t>
      </w:r>
      <w:r w:rsidRPr="00793101">
        <w:rPr>
          <w:szCs w:val="16"/>
        </w:rPr>
        <w:t xml:space="preserve">(reconsideration in accordance with </w:t>
      </w:r>
      <w:proofErr w:type="spellStart"/>
      <w:r w:rsidRPr="00793101">
        <w:rPr>
          <w:i/>
          <w:szCs w:val="16"/>
        </w:rPr>
        <w:t>Ferras</w:t>
      </w:r>
      <w:proofErr w:type="spellEnd"/>
      <w:r w:rsidRPr="00793101">
        <w:rPr>
          <w:i/>
          <w:szCs w:val="16"/>
        </w:rPr>
        <w:t xml:space="preserve"> </w:t>
      </w:r>
      <w:r w:rsidRPr="00793101">
        <w:rPr>
          <w:szCs w:val="16"/>
        </w:rPr>
        <w:t xml:space="preserve">finding unnecessary to consider whether charges were statute-barred in the U.S.); </w:t>
      </w:r>
      <w:r w:rsidRPr="00793101">
        <w:rPr>
          <w:i/>
          <w:szCs w:val="16"/>
        </w:rPr>
        <w:t xml:space="preserve">United States v </w:t>
      </w:r>
      <w:proofErr w:type="spellStart"/>
      <w:r w:rsidRPr="00793101">
        <w:rPr>
          <w:i/>
          <w:szCs w:val="16"/>
        </w:rPr>
        <w:t>Gorcyca</w:t>
      </w:r>
      <w:proofErr w:type="spellEnd"/>
      <w:r w:rsidRPr="00793101">
        <w:rPr>
          <w:szCs w:val="16"/>
        </w:rPr>
        <w:t xml:space="preserve">, [2007] OJ No 395, 216 CCC (3d) 403, 73 </w:t>
      </w:r>
      <w:proofErr w:type="spellStart"/>
      <w:r w:rsidRPr="00793101">
        <w:rPr>
          <w:szCs w:val="16"/>
        </w:rPr>
        <w:t>Wcb</w:t>
      </w:r>
      <w:proofErr w:type="spellEnd"/>
      <w:r w:rsidRPr="00793101">
        <w:rPr>
          <w:szCs w:val="16"/>
        </w:rPr>
        <w:t xml:space="preserve"> (2d) 120 (</w:t>
      </w:r>
      <w:proofErr w:type="spellStart"/>
      <w:r w:rsidRPr="00793101">
        <w:rPr>
          <w:szCs w:val="16"/>
        </w:rPr>
        <w:t>Ont</w:t>
      </w:r>
      <w:proofErr w:type="spellEnd"/>
      <w:r w:rsidRPr="00793101">
        <w:rPr>
          <w:szCs w:val="16"/>
        </w:rPr>
        <w:t xml:space="preserve"> CA) (extradition judge not required to consider the foreign charging document or foreign law); and </w:t>
      </w:r>
      <w:r w:rsidRPr="00793101">
        <w:rPr>
          <w:i/>
          <w:szCs w:val="16"/>
        </w:rPr>
        <w:t>United States v Weber</w:t>
      </w:r>
      <w:r w:rsidRPr="00793101">
        <w:rPr>
          <w:szCs w:val="16"/>
        </w:rPr>
        <w:t>, [2004] OJ No 1971 (</w:t>
      </w:r>
      <w:proofErr w:type="spellStart"/>
      <w:r w:rsidRPr="00793101">
        <w:rPr>
          <w:szCs w:val="16"/>
        </w:rPr>
        <w:t>Ont</w:t>
      </w:r>
      <w:proofErr w:type="spellEnd"/>
      <w:r w:rsidRPr="00793101">
        <w:rPr>
          <w:szCs w:val="16"/>
        </w:rPr>
        <w:t xml:space="preserve"> SCJ) (finding that there are compelling practical reasons for the court not to concern itself with foreign law, especially in complex cases concerning the parameters of fraudulent conduct).</w:t>
      </w:r>
    </w:p>
  </w:footnote>
  <w:footnote w:id="564">
    <w:p w14:paraId="4AB145FC" w14:textId="77777777" w:rsidR="00356280" w:rsidRPr="00793101" w:rsidRDefault="00356280" w:rsidP="0040644D">
      <w:pPr>
        <w:pStyle w:val="FootnoteText"/>
        <w:spacing w:after="0" w:line="240" w:lineRule="auto"/>
        <w:rPr>
          <w:szCs w:val="16"/>
          <w:lang w:val="es-ES"/>
        </w:rPr>
      </w:pPr>
      <w:r w:rsidRPr="00793101">
        <w:rPr>
          <w:rStyle w:val="FootnoteReference"/>
          <w:szCs w:val="16"/>
        </w:rPr>
        <w:footnoteRef/>
      </w:r>
      <w:r w:rsidRPr="00793101">
        <w:rPr>
          <w:szCs w:val="16"/>
          <w:lang w:val="es-ES"/>
        </w:rPr>
        <w:t xml:space="preserve"> </w:t>
      </w:r>
      <w:r w:rsidRPr="00793101">
        <w:rPr>
          <w:i/>
          <w:szCs w:val="16"/>
          <w:lang w:val="es-ES"/>
        </w:rPr>
        <w:t>Romania v Alexa</w:t>
      </w:r>
      <w:r w:rsidRPr="00793101">
        <w:rPr>
          <w:szCs w:val="16"/>
          <w:lang w:val="es-ES"/>
        </w:rPr>
        <w:t>, [2009] OJ No 2568.</w:t>
      </w:r>
    </w:p>
  </w:footnote>
  <w:footnote w:id="565">
    <w:p w14:paraId="0DD6A878" w14:textId="77777777" w:rsidR="00356280" w:rsidRPr="00356280" w:rsidRDefault="00356280" w:rsidP="0040644D">
      <w:pPr>
        <w:pStyle w:val="FootnoteText"/>
        <w:spacing w:after="0" w:line="240" w:lineRule="auto"/>
        <w:rPr>
          <w:szCs w:val="16"/>
          <w:lang w:val="es-AR"/>
        </w:rPr>
      </w:pPr>
      <w:r w:rsidRPr="00793101">
        <w:rPr>
          <w:rStyle w:val="FootnoteReference"/>
          <w:szCs w:val="16"/>
        </w:rPr>
        <w:footnoteRef/>
      </w:r>
      <w:r w:rsidRPr="00356280">
        <w:rPr>
          <w:szCs w:val="16"/>
          <w:lang w:val="es-AR"/>
        </w:rPr>
        <w:t xml:space="preserve"> </w:t>
      </w:r>
      <w:r w:rsidRPr="00356280">
        <w:rPr>
          <w:i/>
          <w:szCs w:val="16"/>
          <w:lang w:val="es-AR"/>
        </w:rPr>
        <w:t xml:space="preserve">Doyle Fowler c </w:t>
      </w:r>
      <w:proofErr w:type="spellStart"/>
      <w:r w:rsidRPr="00356280">
        <w:rPr>
          <w:i/>
          <w:szCs w:val="16"/>
          <w:lang w:val="es-AR"/>
        </w:rPr>
        <w:t>Canada</w:t>
      </w:r>
      <w:proofErr w:type="spellEnd"/>
      <w:r w:rsidRPr="00356280">
        <w:rPr>
          <w:i/>
          <w:szCs w:val="16"/>
          <w:lang w:val="es-AR"/>
        </w:rPr>
        <w:t xml:space="preserve"> (Ministre de la Justice)</w:t>
      </w:r>
      <w:r w:rsidRPr="00356280">
        <w:rPr>
          <w:szCs w:val="16"/>
          <w:lang w:val="es-AR"/>
        </w:rPr>
        <w:t>, 2011 QCCA 1076.</w:t>
      </w:r>
    </w:p>
  </w:footnote>
  <w:footnote w:id="566">
    <w:p w14:paraId="7F09C7DA" w14:textId="77777777" w:rsidR="00356280" w:rsidRPr="00356280" w:rsidRDefault="00356280" w:rsidP="0040644D">
      <w:pPr>
        <w:pStyle w:val="FootnoteText"/>
        <w:spacing w:after="0" w:line="240" w:lineRule="auto"/>
        <w:rPr>
          <w:szCs w:val="16"/>
          <w:lang w:val="es-AR"/>
        </w:rPr>
      </w:pPr>
      <w:r w:rsidRPr="00793101">
        <w:rPr>
          <w:rStyle w:val="FootnoteReference"/>
          <w:szCs w:val="16"/>
        </w:rPr>
        <w:footnoteRef/>
      </w:r>
      <w:r w:rsidRPr="00356280">
        <w:rPr>
          <w:szCs w:val="16"/>
          <w:lang w:val="es-AR"/>
        </w:rPr>
        <w:t xml:space="preserve"> </w:t>
      </w:r>
      <w:proofErr w:type="spellStart"/>
      <w:r w:rsidRPr="00356280">
        <w:rPr>
          <w:i/>
          <w:szCs w:val="16"/>
          <w:lang w:val="es-AR"/>
        </w:rPr>
        <w:t>Philippines</w:t>
      </w:r>
      <w:proofErr w:type="spellEnd"/>
      <w:r w:rsidRPr="00356280">
        <w:rPr>
          <w:i/>
          <w:szCs w:val="16"/>
          <w:lang w:val="es-AR"/>
        </w:rPr>
        <w:t xml:space="preserve"> (</w:t>
      </w:r>
      <w:proofErr w:type="spellStart"/>
      <w:r w:rsidRPr="00356280">
        <w:rPr>
          <w:i/>
          <w:szCs w:val="16"/>
          <w:lang w:val="es-AR"/>
        </w:rPr>
        <w:t>Republic</w:t>
      </w:r>
      <w:proofErr w:type="spellEnd"/>
      <w:r w:rsidRPr="00356280">
        <w:rPr>
          <w:i/>
          <w:szCs w:val="16"/>
          <w:lang w:val="es-AR"/>
        </w:rPr>
        <w:t xml:space="preserve">) v Pacificador, </w:t>
      </w:r>
      <w:r w:rsidRPr="00356280">
        <w:rPr>
          <w:szCs w:val="16"/>
          <w:lang w:val="es-AR"/>
        </w:rPr>
        <w:t>[2002] OB No. 3024 ONCA at para 47.</w:t>
      </w:r>
    </w:p>
  </w:footnote>
  <w:footnote w:id="567">
    <w:p w14:paraId="3544E23E" w14:textId="0E746BB8"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i/>
          <w:szCs w:val="16"/>
          <w:lang w:val="en-US"/>
        </w:rPr>
        <w:t>Extradition Act</w:t>
      </w:r>
      <w:r w:rsidRPr="00793101">
        <w:rPr>
          <w:szCs w:val="16"/>
          <w:lang w:val="en-US"/>
        </w:rPr>
        <w:t xml:space="preserve">, </w:t>
      </w:r>
      <w:r w:rsidRPr="00793101">
        <w:rPr>
          <w:i/>
          <w:szCs w:val="16"/>
          <w:lang w:val="en-US"/>
        </w:rPr>
        <w:t>supra</w:t>
      </w:r>
      <w:r w:rsidRPr="00793101">
        <w:rPr>
          <w:szCs w:val="16"/>
          <w:lang w:val="en-US"/>
        </w:rPr>
        <w:t xml:space="preserve"> note </w:t>
      </w:r>
      <w:r>
        <w:fldChar w:fldCharType="begin"/>
      </w:r>
      <w:r>
        <w:instrText xml:space="preserve"> NOTEREF _Ref267054270 \h  \* MERGEFORMAT </w:instrText>
      </w:r>
      <w:r>
        <w:fldChar w:fldCharType="separate"/>
      </w:r>
      <w:r w:rsidRPr="00E045AC">
        <w:rPr>
          <w:szCs w:val="16"/>
          <w:lang w:val="en-US"/>
        </w:rPr>
        <w:t>376</w:t>
      </w:r>
      <w:r>
        <w:fldChar w:fldCharType="end"/>
      </w:r>
      <w:r w:rsidRPr="00793101">
        <w:rPr>
          <w:szCs w:val="16"/>
          <w:lang w:val="en-US"/>
        </w:rPr>
        <w:t>, s 25.</w:t>
      </w:r>
    </w:p>
  </w:footnote>
  <w:footnote w:id="568">
    <w:p w14:paraId="2EA83BA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lang w:val="en-US"/>
        </w:rPr>
        <w:t xml:space="preserve"> </w:t>
      </w:r>
      <w:r w:rsidRPr="00793101">
        <w:rPr>
          <w:i/>
          <w:szCs w:val="16"/>
        </w:rPr>
        <w:t xml:space="preserve">Suresh v Canada (Minister of Citizenship and Immigration), </w:t>
      </w:r>
      <w:r w:rsidRPr="00793101">
        <w:rPr>
          <w:szCs w:val="16"/>
          <w:lang w:val="en-US"/>
        </w:rPr>
        <w:t>2002 SCC 1, [2002] 1 SCR 3.</w:t>
      </w:r>
    </w:p>
  </w:footnote>
  <w:footnote w:id="569">
    <w:p w14:paraId="0705CC1E"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Ibid</w:t>
      </w:r>
      <w:r w:rsidRPr="00793101">
        <w:rPr>
          <w:szCs w:val="16"/>
          <w:lang w:val="en-US"/>
        </w:rPr>
        <w:t xml:space="preserve"> at para 26.</w:t>
      </w:r>
    </w:p>
  </w:footnote>
  <w:footnote w:id="570">
    <w:p w14:paraId="047448D5" w14:textId="77777777" w:rsidR="00356280" w:rsidRPr="00FD1463" w:rsidRDefault="00356280" w:rsidP="0040644D">
      <w:pPr>
        <w:pStyle w:val="FootnoteText"/>
        <w:spacing w:after="0" w:line="240" w:lineRule="auto"/>
        <w:rPr>
          <w:szCs w:val="16"/>
          <w:lang w:val="en-US"/>
        </w:rPr>
      </w:pPr>
      <w:r w:rsidRPr="00793101">
        <w:rPr>
          <w:rStyle w:val="FootnoteReference"/>
          <w:szCs w:val="16"/>
        </w:rPr>
        <w:footnoteRef/>
      </w:r>
      <w:r w:rsidRPr="00FD1463">
        <w:rPr>
          <w:szCs w:val="16"/>
          <w:lang w:val="en-US"/>
        </w:rPr>
        <w:t xml:space="preserve"> </w:t>
      </w:r>
      <w:r w:rsidRPr="00FD1463">
        <w:rPr>
          <w:i/>
          <w:szCs w:val="16"/>
          <w:lang w:val="en-US"/>
        </w:rPr>
        <w:t>Ibid</w:t>
      </w:r>
      <w:r w:rsidRPr="00FD1463">
        <w:rPr>
          <w:szCs w:val="16"/>
          <w:lang w:val="en-US"/>
        </w:rPr>
        <w:t>.</w:t>
      </w:r>
    </w:p>
  </w:footnote>
  <w:footnote w:id="571">
    <w:p w14:paraId="7C1AD41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szCs w:val="16"/>
        </w:rPr>
        <w:t>Németh</w:t>
      </w:r>
      <w:proofErr w:type="spellEnd"/>
      <w:r w:rsidRPr="00793101">
        <w:rPr>
          <w:i/>
          <w:szCs w:val="16"/>
        </w:rPr>
        <w:t xml:space="preserve"> v Canada (Justice)</w:t>
      </w:r>
      <w:r w:rsidRPr="00793101">
        <w:rPr>
          <w:szCs w:val="16"/>
        </w:rPr>
        <w:t xml:space="preserve"> [2010] 3 SCR 281</w:t>
      </w:r>
      <w:r w:rsidRPr="00793101">
        <w:rPr>
          <w:i/>
          <w:szCs w:val="16"/>
        </w:rPr>
        <w:t xml:space="preserve"> </w:t>
      </w:r>
      <w:r w:rsidRPr="00793101">
        <w:rPr>
          <w:szCs w:val="16"/>
          <w:lang w:val="en-US"/>
        </w:rPr>
        <w:t>at para 77.</w:t>
      </w:r>
    </w:p>
  </w:footnote>
  <w:footnote w:id="572">
    <w:p w14:paraId="2C485A57" w14:textId="77777777" w:rsidR="00356280" w:rsidRPr="00356280" w:rsidRDefault="00356280" w:rsidP="0040644D">
      <w:pPr>
        <w:pStyle w:val="FootnoteText"/>
        <w:spacing w:after="0" w:line="240" w:lineRule="auto"/>
        <w:rPr>
          <w:szCs w:val="16"/>
          <w:lang w:val="es-AR"/>
        </w:rPr>
      </w:pPr>
      <w:r w:rsidRPr="00793101">
        <w:rPr>
          <w:rStyle w:val="FootnoteReference"/>
          <w:szCs w:val="16"/>
        </w:rPr>
        <w:footnoteRef/>
      </w:r>
      <w:r w:rsidRPr="00356280">
        <w:rPr>
          <w:szCs w:val="16"/>
          <w:lang w:val="es-AR"/>
        </w:rPr>
        <w:t xml:space="preserve"> </w:t>
      </w:r>
      <w:proofErr w:type="spellStart"/>
      <w:r w:rsidRPr="00356280">
        <w:rPr>
          <w:i/>
          <w:szCs w:val="16"/>
          <w:lang w:val="es-AR"/>
        </w:rPr>
        <w:t>Ibid</w:t>
      </w:r>
      <w:proofErr w:type="spellEnd"/>
      <w:r w:rsidRPr="00356280">
        <w:rPr>
          <w:szCs w:val="16"/>
          <w:lang w:val="es-AR"/>
        </w:rPr>
        <w:t xml:space="preserve"> at para 88.</w:t>
      </w:r>
    </w:p>
  </w:footnote>
  <w:footnote w:id="573">
    <w:p w14:paraId="6EBE948B" w14:textId="77777777" w:rsidR="00356280" w:rsidRPr="00793101" w:rsidRDefault="00356280" w:rsidP="0040644D">
      <w:pPr>
        <w:pStyle w:val="FootnoteText"/>
        <w:spacing w:after="0" w:line="240" w:lineRule="auto"/>
        <w:rPr>
          <w:szCs w:val="16"/>
          <w:lang w:val="es-ES"/>
        </w:rPr>
      </w:pPr>
      <w:r w:rsidRPr="00793101">
        <w:rPr>
          <w:rStyle w:val="FootnoteReference"/>
          <w:szCs w:val="16"/>
        </w:rPr>
        <w:footnoteRef/>
      </w:r>
      <w:r w:rsidRPr="00793101">
        <w:rPr>
          <w:szCs w:val="16"/>
          <w:lang w:val="es-ES"/>
        </w:rPr>
        <w:t xml:space="preserve"> </w:t>
      </w:r>
      <w:proofErr w:type="spellStart"/>
      <w:r w:rsidRPr="00793101">
        <w:rPr>
          <w:szCs w:val="16"/>
          <w:lang w:val="es-ES"/>
        </w:rPr>
        <w:t>See</w:t>
      </w:r>
      <w:proofErr w:type="spellEnd"/>
      <w:r w:rsidRPr="00793101">
        <w:rPr>
          <w:szCs w:val="16"/>
          <w:lang w:val="es-ES"/>
        </w:rPr>
        <w:t xml:space="preserve"> </w:t>
      </w:r>
      <w:proofErr w:type="spellStart"/>
      <w:r w:rsidRPr="00793101">
        <w:rPr>
          <w:i/>
          <w:szCs w:val="16"/>
          <w:lang w:val="es-ES"/>
        </w:rPr>
        <w:t>Manolopoulos</w:t>
      </w:r>
      <w:proofErr w:type="spellEnd"/>
      <w:r w:rsidRPr="00793101">
        <w:rPr>
          <w:i/>
          <w:szCs w:val="16"/>
          <w:lang w:val="es-ES"/>
        </w:rPr>
        <w:t xml:space="preserve"> c. </w:t>
      </w:r>
      <w:proofErr w:type="spellStart"/>
      <w:r w:rsidRPr="00793101">
        <w:rPr>
          <w:i/>
          <w:szCs w:val="16"/>
          <w:lang w:val="es-ES"/>
        </w:rPr>
        <w:t>Canada</w:t>
      </w:r>
      <w:proofErr w:type="spellEnd"/>
      <w:r w:rsidRPr="00793101">
        <w:rPr>
          <w:i/>
          <w:szCs w:val="16"/>
          <w:lang w:val="es-ES"/>
        </w:rPr>
        <w:t xml:space="preserve"> (Ministre de la Justice)</w:t>
      </w:r>
      <w:r w:rsidRPr="00793101">
        <w:rPr>
          <w:szCs w:val="16"/>
          <w:lang w:val="es-ES"/>
        </w:rPr>
        <w:t>, [2006] JQ no 10858 (</w:t>
      </w:r>
      <w:proofErr w:type="spellStart"/>
      <w:r w:rsidRPr="00793101">
        <w:rPr>
          <w:szCs w:val="16"/>
          <w:lang w:val="es-ES"/>
        </w:rPr>
        <w:t>QcCA</w:t>
      </w:r>
      <w:proofErr w:type="spellEnd"/>
      <w:r w:rsidRPr="00793101">
        <w:rPr>
          <w:szCs w:val="16"/>
          <w:lang w:val="es-ES"/>
        </w:rPr>
        <w:t>).</w:t>
      </w:r>
    </w:p>
  </w:footnote>
  <w:footnote w:id="574">
    <w:p w14:paraId="205589A4" w14:textId="77777777" w:rsidR="00356280" w:rsidRPr="00356280" w:rsidRDefault="00356280" w:rsidP="0040644D">
      <w:pPr>
        <w:pStyle w:val="FootnoteText"/>
        <w:spacing w:after="0" w:line="240" w:lineRule="auto"/>
        <w:rPr>
          <w:szCs w:val="16"/>
          <w:lang w:val="es-ES"/>
        </w:rPr>
      </w:pPr>
      <w:r w:rsidRPr="00793101">
        <w:rPr>
          <w:rStyle w:val="FootnoteReference"/>
          <w:szCs w:val="16"/>
        </w:rPr>
        <w:footnoteRef/>
      </w:r>
      <w:r w:rsidRPr="00356280">
        <w:rPr>
          <w:szCs w:val="16"/>
          <w:lang w:val="es-ES"/>
        </w:rPr>
        <w:t xml:space="preserve"> </w:t>
      </w:r>
      <w:proofErr w:type="spellStart"/>
      <w:r w:rsidRPr="00356280">
        <w:rPr>
          <w:szCs w:val="16"/>
          <w:lang w:val="es-ES"/>
        </w:rPr>
        <w:t>See</w:t>
      </w:r>
      <w:proofErr w:type="spellEnd"/>
      <w:r w:rsidRPr="00356280">
        <w:rPr>
          <w:szCs w:val="16"/>
          <w:lang w:val="es-ES"/>
        </w:rPr>
        <w:t xml:space="preserve"> </w:t>
      </w:r>
      <w:proofErr w:type="spellStart"/>
      <w:r w:rsidRPr="00356280">
        <w:rPr>
          <w:i/>
          <w:szCs w:val="16"/>
          <w:lang w:val="es-ES"/>
        </w:rPr>
        <w:t>Plagaro-Perez</w:t>
      </w:r>
      <w:proofErr w:type="spellEnd"/>
      <w:r w:rsidRPr="00356280">
        <w:rPr>
          <w:i/>
          <w:szCs w:val="16"/>
          <w:lang w:val="es-ES"/>
        </w:rPr>
        <w:t xml:space="preserve"> De Arrilucea c. </w:t>
      </w:r>
      <w:proofErr w:type="spellStart"/>
      <w:r w:rsidRPr="00356280">
        <w:rPr>
          <w:i/>
          <w:szCs w:val="16"/>
          <w:lang w:val="es-ES"/>
        </w:rPr>
        <w:t>Royaume</w:t>
      </w:r>
      <w:proofErr w:type="spellEnd"/>
      <w:r w:rsidRPr="00356280">
        <w:rPr>
          <w:i/>
          <w:szCs w:val="16"/>
          <w:lang w:val="es-ES"/>
        </w:rPr>
        <w:t xml:space="preserve"> </w:t>
      </w:r>
      <w:proofErr w:type="spellStart"/>
      <w:r w:rsidRPr="00356280">
        <w:rPr>
          <w:i/>
          <w:szCs w:val="16"/>
          <w:lang w:val="es-ES"/>
        </w:rPr>
        <w:t>d’Espagne</w:t>
      </w:r>
      <w:proofErr w:type="spellEnd"/>
      <w:r w:rsidRPr="00356280">
        <w:rPr>
          <w:szCs w:val="16"/>
          <w:lang w:val="es-ES"/>
        </w:rPr>
        <w:t>, [2004] JQ no 13397 (</w:t>
      </w:r>
      <w:proofErr w:type="spellStart"/>
      <w:r w:rsidRPr="00356280">
        <w:rPr>
          <w:szCs w:val="16"/>
          <w:lang w:val="es-ES"/>
        </w:rPr>
        <w:t>QcCA</w:t>
      </w:r>
      <w:proofErr w:type="spellEnd"/>
      <w:r w:rsidRPr="00356280">
        <w:rPr>
          <w:szCs w:val="16"/>
          <w:lang w:val="es-ES"/>
        </w:rPr>
        <w:t>).</w:t>
      </w:r>
    </w:p>
  </w:footnote>
  <w:footnote w:id="575">
    <w:p w14:paraId="0C8E16D9" w14:textId="77777777" w:rsidR="00356280" w:rsidRPr="00356280" w:rsidRDefault="00356280" w:rsidP="0040644D">
      <w:pPr>
        <w:pStyle w:val="FootnoteText"/>
        <w:spacing w:after="0" w:line="240" w:lineRule="auto"/>
        <w:rPr>
          <w:szCs w:val="16"/>
          <w:lang w:val="es-ES"/>
        </w:rPr>
      </w:pPr>
      <w:r w:rsidRPr="00793101">
        <w:rPr>
          <w:rStyle w:val="FootnoteReference"/>
          <w:szCs w:val="16"/>
        </w:rPr>
        <w:footnoteRef/>
      </w:r>
      <w:r w:rsidRPr="00356280">
        <w:rPr>
          <w:szCs w:val="16"/>
          <w:lang w:val="es-ES"/>
        </w:rPr>
        <w:t xml:space="preserve"> </w:t>
      </w:r>
      <w:proofErr w:type="spellStart"/>
      <w:r w:rsidRPr="00356280">
        <w:rPr>
          <w:i/>
          <w:szCs w:val="16"/>
          <w:lang w:val="es-ES"/>
        </w:rPr>
        <w:t>Kindler</w:t>
      </w:r>
      <w:proofErr w:type="spellEnd"/>
      <w:r w:rsidRPr="00356280">
        <w:rPr>
          <w:i/>
          <w:szCs w:val="16"/>
          <w:lang w:val="es-ES"/>
        </w:rPr>
        <w:t xml:space="preserve"> v </w:t>
      </w:r>
      <w:proofErr w:type="spellStart"/>
      <w:r w:rsidRPr="00356280">
        <w:rPr>
          <w:i/>
          <w:szCs w:val="16"/>
          <w:lang w:val="es-ES"/>
        </w:rPr>
        <w:t>Canada</w:t>
      </w:r>
      <w:proofErr w:type="spellEnd"/>
      <w:r w:rsidRPr="00356280">
        <w:rPr>
          <w:i/>
          <w:szCs w:val="16"/>
          <w:lang w:val="es-ES"/>
        </w:rPr>
        <w:t xml:space="preserve"> (Minister of Justice),</w:t>
      </w:r>
      <w:r w:rsidRPr="00356280">
        <w:rPr>
          <w:szCs w:val="16"/>
          <w:lang w:val="es-ES"/>
        </w:rPr>
        <w:t xml:space="preserve"> [1991] 2 SCR 779.</w:t>
      </w:r>
    </w:p>
  </w:footnote>
  <w:footnote w:id="576">
    <w:p w14:paraId="420F3423" w14:textId="77777777" w:rsidR="00356280" w:rsidRPr="00356280" w:rsidRDefault="00356280" w:rsidP="0040644D">
      <w:pPr>
        <w:pStyle w:val="FootnoteText"/>
        <w:rPr>
          <w:szCs w:val="16"/>
          <w:lang w:val="es-ES"/>
        </w:rPr>
      </w:pPr>
      <w:r w:rsidRPr="00793101">
        <w:rPr>
          <w:rStyle w:val="FootnoteReference"/>
          <w:szCs w:val="16"/>
        </w:rPr>
        <w:footnoteRef/>
      </w:r>
      <w:r w:rsidRPr="00356280">
        <w:rPr>
          <w:szCs w:val="16"/>
          <w:lang w:val="es-ES"/>
        </w:rPr>
        <w:t xml:space="preserve"> 2014 ONCA 374 at 86-104, 120 OR (3d) 174.</w:t>
      </w:r>
    </w:p>
  </w:footnote>
  <w:footnote w:id="577">
    <w:p w14:paraId="5C4FEA1F" w14:textId="13F5D2EE"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Extradition Act</w:t>
      </w:r>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_Ref267054270 \h  \* MERGEFORMAT </w:instrText>
      </w:r>
      <w:r>
        <w:fldChar w:fldCharType="separate"/>
      </w:r>
      <w:r w:rsidRPr="00E045AC">
        <w:rPr>
          <w:szCs w:val="16"/>
        </w:rPr>
        <w:t>376</w:t>
      </w:r>
      <w:r>
        <w:fldChar w:fldCharType="end"/>
      </w:r>
      <w:r w:rsidRPr="00793101">
        <w:rPr>
          <w:szCs w:val="16"/>
        </w:rPr>
        <w:t>, s 44(2).</w:t>
      </w:r>
    </w:p>
  </w:footnote>
  <w:footnote w:id="578">
    <w:p w14:paraId="00D58513" w14:textId="01AD5C11" w:rsidR="00356280" w:rsidRPr="00793101" w:rsidRDefault="00356280" w:rsidP="0040644D">
      <w:pPr>
        <w:pStyle w:val="FootnoteText"/>
        <w:spacing w:after="0" w:line="240" w:lineRule="auto"/>
        <w:rPr>
          <w:szCs w:val="16"/>
          <w:highlight w:val="green"/>
        </w:rPr>
      </w:pPr>
      <w:r w:rsidRPr="00793101">
        <w:rPr>
          <w:rStyle w:val="FootnoteReference"/>
          <w:szCs w:val="16"/>
        </w:rPr>
        <w:footnoteRef/>
      </w:r>
      <w:r w:rsidRPr="00793101">
        <w:rPr>
          <w:szCs w:val="16"/>
        </w:rPr>
        <w:t xml:space="preserve"> </w:t>
      </w:r>
      <w:r w:rsidRPr="00793101">
        <w:rPr>
          <w:rStyle w:val="verdana"/>
          <w:i/>
          <w:szCs w:val="16"/>
        </w:rPr>
        <w:t xml:space="preserve">ICCPR, supra </w:t>
      </w:r>
      <w:r w:rsidRPr="00793101">
        <w:rPr>
          <w:rStyle w:val="verdana"/>
          <w:szCs w:val="16"/>
        </w:rPr>
        <w:t xml:space="preserve">note </w:t>
      </w:r>
      <w:r>
        <w:fldChar w:fldCharType="begin"/>
      </w:r>
      <w:r>
        <w:instrText xml:space="preserve"> NOTEREF _Ref267054773 \h  \* MERGEFORMAT </w:instrText>
      </w:r>
      <w:r>
        <w:fldChar w:fldCharType="separate"/>
      </w:r>
      <w:r w:rsidRPr="00E045AC">
        <w:rPr>
          <w:rStyle w:val="verdana"/>
          <w:szCs w:val="16"/>
        </w:rPr>
        <w:t>411</w:t>
      </w:r>
      <w:r>
        <w:fldChar w:fldCharType="end"/>
      </w:r>
      <w:r w:rsidRPr="00793101">
        <w:rPr>
          <w:rStyle w:val="verdana"/>
          <w:szCs w:val="16"/>
        </w:rPr>
        <w:t>;</w:t>
      </w:r>
      <w:r w:rsidRPr="00793101">
        <w:rPr>
          <w:rStyle w:val="verdana"/>
          <w:i/>
          <w:szCs w:val="16"/>
        </w:rPr>
        <w:t xml:space="preserve"> </w:t>
      </w:r>
      <w:r w:rsidRPr="00793101">
        <w:rPr>
          <w:i/>
          <w:szCs w:val="16"/>
        </w:rPr>
        <w:t>Second Optional Protocol to the International Covenant on Civil and Political Rights, Aiming at the Abolition of the Death Penalty</w:t>
      </w:r>
      <w:r w:rsidRPr="00793101">
        <w:rPr>
          <w:szCs w:val="16"/>
        </w:rPr>
        <w:t>, December 15, 1989, UN Doc A/44/128 (entered into force 11 July 1991).</w:t>
      </w:r>
    </w:p>
  </w:footnote>
  <w:footnote w:id="579">
    <w:p w14:paraId="1A5EED44"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Judge v Canada</w:t>
      </w:r>
      <w:r w:rsidRPr="00793101">
        <w:rPr>
          <w:szCs w:val="16"/>
        </w:rPr>
        <w:t xml:space="preserve">, Communication No 829/1998, UN Doc CCPR/C/78/D.829/1998 (view adopted 5 August 2003) in </w:t>
      </w:r>
      <w:r w:rsidRPr="00793101">
        <w:rPr>
          <w:i/>
          <w:szCs w:val="16"/>
        </w:rPr>
        <w:t>Report of the Human Rights Committee</w:t>
      </w:r>
      <w:r w:rsidRPr="00793101">
        <w:rPr>
          <w:szCs w:val="16"/>
        </w:rPr>
        <w:t xml:space="preserve">, UN GAOR, 58th </w:t>
      </w:r>
      <w:proofErr w:type="spellStart"/>
      <w:r w:rsidRPr="00793101">
        <w:rPr>
          <w:szCs w:val="16"/>
        </w:rPr>
        <w:t>Sess</w:t>
      </w:r>
      <w:proofErr w:type="spellEnd"/>
      <w:r w:rsidRPr="00793101">
        <w:rPr>
          <w:szCs w:val="16"/>
        </w:rPr>
        <w:t>, Supp No 40, UN Doc A/58/40, vol 2 (2003) annex VI.G reprinted in (2003) 42 ILM 1214 and (2004) 11 IHRR 125.</w:t>
      </w:r>
    </w:p>
  </w:footnote>
  <w:footnote w:id="580">
    <w:p w14:paraId="46C1087E" w14:textId="265AA89A"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gramStart"/>
      <w:r w:rsidRPr="00793101">
        <w:rPr>
          <w:i/>
          <w:szCs w:val="16"/>
        </w:rPr>
        <w:t>Burns,</w:t>
      </w:r>
      <w:proofErr w:type="gramEnd"/>
      <w:r w:rsidRPr="00793101">
        <w:rPr>
          <w:i/>
          <w:szCs w:val="16"/>
        </w:rPr>
        <w:t xml:space="preserve"> supra </w:t>
      </w:r>
      <w:r w:rsidRPr="00793101">
        <w:rPr>
          <w:szCs w:val="16"/>
        </w:rPr>
        <w:t xml:space="preserve">note </w:t>
      </w:r>
      <w:r>
        <w:fldChar w:fldCharType="begin"/>
      </w:r>
      <w:r>
        <w:instrText xml:space="preserve"> NOTEREF _Ref267056724 \h  \* MERGEFORMAT </w:instrText>
      </w:r>
      <w:r>
        <w:fldChar w:fldCharType="separate"/>
      </w:r>
      <w:r w:rsidRPr="00E045AC">
        <w:rPr>
          <w:szCs w:val="16"/>
        </w:rPr>
        <w:t>520</w:t>
      </w:r>
      <w:r>
        <w:fldChar w:fldCharType="end"/>
      </w:r>
      <w:r w:rsidRPr="00793101">
        <w:rPr>
          <w:i/>
          <w:szCs w:val="16"/>
        </w:rPr>
        <w:t>.</w:t>
      </w:r>
    </w:p>
  </w:footnote>
  <w:footnote w:id="581">
    <w:p w14:paraId="766FB75A" w14:textId="77777777" w:rsidR="00356280" w:rsidRPr="00793101" w:rsidRDefault="00356280" w:rsidP="0040644D">
      <w:pPr>
        <w:pStyle w:val="FootnoteText"/>
        <w:spacing w:after="0" w:line="240" w:lineRule="auto"/>
        <w:jc w:val="both"/>
        <w:rPr>
          <w:color w:val="auto"/>
          <w:szCs w:val="16"/>
          <w:lang w:val="en-CA"/>
        </w:rPr>
      </w:pPr>
      <w:r w:rsidRPr="00793101">
        <w:rPr>
          <w:rStyle w:val="FootnoteReference"/>
          <w:szCs w:val="16"/>
        </w:rPr>
        <w:footnoteRef/>
      </w:r>
      <w:r w:rsidRPr="00793101">
        <w:rPr>
          <w:szCs w:val="16"/>
        </w:rPr>
        <w:t xml:space="preserve"> </w:t>
      </w:r>
      <w:r w:rsidRPr="00793101">
        <w:rPr>
          <w:i/>
          <w:szCs w:val="16"/>
        </w:rPr>
        <w:t>Ibid.</w:t>
      </w:r>
    </w:p>
  </w:footnote>
  <w:footnote w:id="582">
    <w:p w14:paraId="36D9FDAB"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 xml:space="preserve">Ibid </w:t>
      </w:r>
      <w:r w:rsidRPr="00793101">
        <w:rPr>
          <w:szCs w:val="16"/>
        </w:rPr>
        <w:t>at para 144.</w:t>
      </w:r>
    </w:p>
  </w:footnote>
  <w:footnote w:id="583">
    <w:p w14:paraId="63E55A44" w14:textId="2BD61D25"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Extradition Act, supra</w:t>
      </w:r>
      <w:r w:rsidRPr="00793101">
        <w:rPr>
          <w:szCs w:val="16"/>
          <w:lang w:val="en-CA"/>
        </w:rPr>
        <w:t xml:space="preserve"> note </w:t>
      </w:r>
      <w:r>
        <w:fldChar w:fldCharType="begin"/>
      </w:r>
      <w:r>
        <w:instrText xml:space="preserve"> NOTEREF _Ref267054270 \h  \* MERGEFORMAT </w:instrText>
      </w:r>
      <w:r>
        <w:fldChar w:fldCharType="separate"/>
      </w:r>
      <w:r w:rsidRPr="00E045AC">
        <w:rPr>
          <w:szCs w:val="16"/>
          <w:lang w:val="en-CA"/>
        </w:rPr>
        <w:t>376</w:t>
      </w:r>
      <w:r>
        <w:fldChar w:fldCharType="end"/>
      </w:r>
      <w:r w:rsidRPr="00793101">
        <w:rPr>
          <w:szCs w:val="16"/>
          <w:lang w:val="en-CA"/>
        </w:rPr>
        <w:t>, s 44(1)(a).</w:t>
      </w:r>
    </w:p>
  </w:footnote>
  <w:footnote w:id="584">
    <w:p w14:paraId="70C4D80A" w14:textId="4DC88C23"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Extradition Act</w:t>
      </w:r>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_Ref267054270 \h  \* MERGEFORMAT </w:instrText>
      </w:r>
      <w:r>
        <w:fldChar w:fldCharType="separate"/>
      </w:r>
      <w:r w:rsidRPr="00E045AC">
        <w:rPr>
          <w:szCs w:val="16"/>
        </w:rPr>
        <w:t>376</w:t>
      </w:r>
      <w:r>
        <w:fldChar w:fldCharType="end"/>
      </w:r>
      <w:r w:rsidRPr="00793101">
        <w:rPr>
          <w:szCs w:val="16"/>
        </w:rPr>
        <w:t xml:space="preserve">, s 80; see also </w:t>
      </w:r>
      <w:r w:rsidRPr="00793101">
        <w:rPr>
          <w:i/>
          <w:szCs w:val="16"/>
        </w:rPr>
        <w:t xml:space="preserve">R v </w:t>
      </w:r>
      <w:proofErr w:type="spellStart"/>
      <w:r w:rsidRPr="00793101">
        <w:rPr>
          <w:i/>
          <w:szCs w:val="16"/>
        </w:rPr>
        <w:t>Parisien</w:t>
      </w:r>
      <w:proofErr w:type="spellEnd"/>
      <w:r w:rsidRPr="00793101">
        <w:rPr>
          <w:szCs w:val="16"/>
        </w:rPr>
        <w:t>, [1988] SCJ No 49, [1988] 1 SCR 950 [</w:t>
      </w:r>
      <w:proofErr w:type="spellStart"/>
      <w:r w:rsidRPr="00793101">
        <w:rPr>
          <w:i/>
          <w:szCs w:val="16"/>
        </w:rPr>
        <w:t>Parisien</w:t>
      </w:r>
      <w:proofErr w:type="spellEnd"/>
      <w:r w:rsidRPr="00793101">
        <w:rPr>
          <w:szCs w:val="16"/>
        </w:rPr>
        <w:t xml:space="preserve">]; </w:t>
      </w:r>
      <w:r w:rsidRPr="00793101">
        <w:rPr>
          <w:i/>
          <w:szCs w:val="16"/>
        </w:rPr>
        <w:t>Froom v Canada (Minister of Justice) [No 2]</w:t>
      </w:r>
      <w:r w:rsidRPr="00793101">
        <w:rPr>
          <w:szCs w:val="16"/>
        </w:rPr>
        <w:t>, [2003] FCJ No 1655, [2004] 2 FCR 154, 2003 FC 1299 (FC).</w:t>
      </w:r>
    </w:p>
  </w:footnote>
  <w:footnote w:id="585">
    <w:p w14:paraId="4AA0E2B4" w14:textId="3797EBEE"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Extradition Act</w:t>
      </w:r>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_Ref267054270 \h  \* MERGEFORMAT </w:instrText>
      </w:r>
      <w:r>
        <w:fldChar w:fldCharType="separate"/>
      </w:r>
      <w:r w:rsidRPr="00E045AC">
        <w:rPr>
          <w:szCs w:val="16"/>
        </w:rPr>
        <w:t>376</w:t>
      </w:r>
      <w:r>
        <w:fldChar w:fldCharType="end"/>
      </w:r>
      <w:r w:rsidRPr="00793101">
        <w:rPr>
          <w:szCs w:val="16"/>
        </w:rPr>
        <w:t>, s 80(a)(ii).</w:t>
      </w:r>
    </w:p>
  </w:footnote>
  <w:footnote w:id="586">
    <w:p w14:paraId="192602F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s 80(a)(iii).</w:t>
      </w:r>
    </w:p>
  </w:footnote>
  <w:footnote w:id="587">
    <w:p w14:paraId="624C5C99" w14:textId="50C0ED8B"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 xml:space="preserve">Extradition Act, </w:t>
      </w:r>
      <w:r w:rsidRPr="00793101">
        <w:rPr>
          <w:szCs w:val="16"/>
        </w:rPr>
        <w:t xml:space="preserve">s 80(b).  See also </w:t>
      </w:r>
      <w:proofErr w:type="spellStart"/>
      <w:r w:rsidRPr="00793101">
        <w:rPr>
          <w:i/>
          <w:szCs w:val="16"/>
        </w:rPr>
        <w:t>Parisien</w:t>
      </w:r>
      <w:proofErr w:type="spellEnd"/>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_Ref265359345 \h  \* MERGEFORMAT </w:instrText>
      </w:r>
      <w:r>
        <w:fldChar w:fldCharType="separate"/>
      </w:r>
      <w:r w:rsidRPr="00E045AC">
        <w:rPr>
          <w:szCs w:val="16"/>
        </w:rPr>
        <w:t>584</w:t>
      </w:r>
      <w:r>
        <w:fldChar w:fldCharType="end"/>
      </w:r>
      <w:r w:rsidRPr="00793101">
        <w:rPr>
          <w:szCs w:val="16"/>
        </w:rPr>
        <w:t xml:space="preserve">. </w:t>
      </w:r>
    </w:p>
  </w:footnote>
  <w:footnote w:id="588">
    <w:p w14:paraId="2689537E"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Extradition Act</w:t>
      </w:r>
      <w:r w:rsidRPr="00793101">
        <w:rPr>
          <w:szCs w:val="16"/>
        </w:rPr>
        <w:t>, s 80.</w:t>
      </w:r>
    </w:p>
  </w:footnote>
  <w:footnote w:id="589">
    <w:p w14:paraId="7D54D08D" w14:textId="2185A9EE"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 xml:space="preserve">Protocol </w:t>
      </w:r>
      <w:r w:rsidRPr="00793101">
        <w:rPr>
          <w:szCs w:val="16"/>
          <w:lang w:val="en-CA"/>
        </w:rPr>
        <w:t xml:space="preserve">I, </w:t>
      </w:r>
      <w:r w:rsidRPr="00793101">
        <w:rPr>
          <w:i/>
          <w:szCs w:val="16"/>
          <w:lang w:val="en-CA"/>
        </w:rPr>
        <w:t>supra</w:t>
      </w:r>
      <w:r w:rsidRPr="00793101">
        <w:rPr>
          <w:szCs w:val="16"/>
          <w:lang w:val="en-CA"/>
        </w:rPr>
        <w:t xml:space="preserve"> note </w:t>
      </w:r>
      <w:r>
        <w:fldChar w:fldCharType="begin"/>
      </w:r>
      <w:r>
        <w:instrText xml:space="preserve"> NOTEREF _Ref266969551 \h  \* MERGEFORMAT </w:instrText>
      </w:r>
      <w:r>
        <w:fldChar w:fldCharType="separate"/>
      </w:r>
      <w:r w:rsidRPr="00E045AC">
        <w:rPr>
          <w:szCs w:val="16"/>
          <w:lang w:val="en-CA"/>
        </w:rPr>
        <w:t>93</w:t>
      </w:r>
      <w:r>
        <w:fldChar w:fldCharType="end"/>
      </w:r>
      <w:r w:rsidRPr="00793101">
        <w:rPr>
          <w:szCs w:val="16"/>
          <w:lang w:val="en-CA"/>
        </w:rPr>
        <w:t>, art 88.</w:t>
      </w:r>
    </w:p>
  </w:footnote>
  <w:footnote w:id="590">
    <w:p w14:paraId="39D1B1E0" w14:textId="447492C0" w:rsidR="00356280" w:rsidRPr="00793101" w:rsidRDefault="00356280" w:rsidP="0040644D">
      <w:pPr>
        <w:pStyle w:val="FootnoteText"/>
        <w:spacing w:after="0" w:line="240" w:lineRule="auto"/>
        <w:rPr>
          <w:szCs w:val="16"/>
          <w:highlight w:val="magenta"/>
          <w:lang w:val="en-CA"/>
        </w:rPr>
      </w:pPr>
      <w:r w:rsidRPr="00793101">
        <w:rPr>
          <w:rStyle w:val="FootnoteReference"/>
          <w:szCs w:val="16"/>
          <w:lang w:val="en-CA"/>
        </w:rPr>
        <w:footnoteRef/>
      </w:r>
      <w:r w:rsidRPr="00793101">
        <w:rPr>
          <w:szCs w:val="16"/>
          <w:lang w:val="en-CA"/>
        </w:rPr>
        <w:t xml:space="preserve"> </w:t>
      </w:r>
      <w:r w:rsidRPr="00793101">
        <w:rPr>
          <w:i/>
          <w:szCs w:val="16"/>
          <w:lang w:val="en-CA"/>
        </w:rPr>
        <w:t>Convention Against Torture, supra</w:t>
      </w:r>
      <w:r w:rsidRPr="00793101">
        <w:rPr>
          <w:szCs w:val="16"/>
          <w:lang w:val="en-CA"/>
        </w:rPr>
        <w:t xml:space="preserve"> note </w:t>
      </w:r>
      <w:r>
        <w:fldChar w:fldCharType="begin"/>
      </w:r>
      <w:r>
        <w:instrText xml:space="preserve"> NOTEREF _Ref267056908 \h  \* MERGEFORMAT </w:instrText>
      </w:r>
      <w:r>
        <w:fldChar w:fldCharType="separate"/>
      </w:r>
      <w:r w:rsidRPr="00E045AC">
        <w:rPr>
          <w:szCs w:val="16"/>
          <w:lang w:val="en-CA"/>
        </w:rPr>
        <w:t>254</w:t>
      </w:r>
      <w:r>
        <w:fldChar w:fldCharType="end"/>
      </w:r>
      <w:r w:rsidRPr="00793101">
        <w:rPr>
          <w:szCs w:val="16"/>
          <w:lang w:val="en-CA"/>
        </w:rPr>
        <w:t>, art 9.</w:t>
      </w:r>
    </w:p>
  </w:footnote>
  <w:footnote w:id="591">
    <w:p w14:paraId="3CA1B392"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rStyle w:val="tightinline"/>
          <w:szCs w:val="16"/>
        </w:rPr>
        <w:t xml:space="preserve">See </w:t>
      </w:r>
      <w:r w:rsidRPr="00793101">
        <w:rPr>
          <w:rStyle w:val="tightinline"/>
          <w:i/>
          <w:szCs w:val="16"/>
        </w:rPr>
        <w:t>Canada’s list of bilateral and multilateral conventions,</w:t>
      </w:r>
      <w:r w:rsidRPr="00793101">
        <w:rPr>
          <w:rStyle w:val="tightinline"/>
          <w:szCs w:val="16"/>
        </w:rPr>
        <w:t xml:space="preserve"> online: Canada Treaty Information &lt;http://www.treaty-accord.gc.ca&gt;.  </w:t>
      </w:r>
      <w:r w:rsidRPr="00793101">
        <w:rPr>
          <w:szCs w:val="16"/>
        </w:rPr>
        <w:t>Updated lists of the bilateral and the multilateral conventions, and the parties to the multilateral conventions are available from International Assistance Group within the Department of Justice or the Mutual Legal Assistance contact person in the Regional Offices.</w:t>
      </w:r>
    </w:p>
  </w:footnote>
  <w:footnote w:id="592">
    <w:p w14:paraId="2272AFAC"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Mutual Legal Assistance in Criminal Matters Act</w:t>
      </w:r>
      <w:r w:rsidRPr="00793101">
        <w:rPr>
          <w:szCs w:val="16"/>
        </w:rPr>
        <w:t>, SC 1985, c 30 (4</w:t>
      </w:r>
      <w:r w:rsidRPr="00793101">
        <w:rPr>
          <w:szCs w:val="16"/>
          <w:vertAlign w:val="superscript"/>
        </w:rPr>
        <w:t>th</w:t>
      </w:r>
      <w:r w:rsidRPr="00793101">
        <w:rPr>
          <w:szCs w:val="16"/>
        </w:rPr>
        <w:t xml:space="preserve"> Supp) [</w:t>
      </w:r>
      <w:r w:rsidRPr="00793101">
        <w:rPr>
          <w:i/>
          <w:szCs w:val="16"/>
        </w:rPr>
        <w:t>Mutual Legal Assistance in Criminal Matters Act</w:t>
      </w:r>
      <w:r w:rsidRPr="00793101">
        <w:rPr>
          <w:szCs w:val="16"/>
        </w:rPr>
        <w:t>].</w:t>
      </w:r>
    </w:p>
  </w:footnote>
  <w:footnote w:id="593">
    <w:p w14:paraId="24CA25D7"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Ibid</w:t>
      </w:r>
      <w:r w:rsidRPr="00793101">
        <w:rPr>
          <w:szCs w:val="16"/>
          <w:lang w:val="en-US"/>
        </w:rPr>
        <w:t>, ss 11 and 12.</w:t>
      </w:r>
    </w:p>
  </w:footnote>
  <w:footnote w:id="594">
    <w:p w14:paraId="7A1A601A" w14:textId="645515B7"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The conditions are the following according to section 9 (3) of the</w:t>
      </w:r>
      <w:r w:rsidRPr="00793101">
        <w:rPr>
          <w:i/>
          <w:szCs w:val="16"/>
          <w:lang w:val="en-CA"/>
        </w:rPr>
        <w:t xml:space="preserve"> Mutual Legal Assistance in Criminal Matters Act, supra </w:t>
      </w:r>
      <w:r w:rsidRPr="00793101">
        <w:rPr>
          <w:szCs w:val="16"/>
          <w:lang w:val="en-CA"/>
        </w:rPr>
        <w:t xml:space="preserve">note </w:t>
      </w:r>
      <w:r>
        <w:fldChar w:fldCharType="begin"/>
      </w:r>
      <w:r>
        <w:instrText xml:space="preserve"> NOTEREF _Ref267056927 \h  \* MERGEFORMAT </w:instrText>
      </w:r>
      <w:r>
        <w:fldChar w:fldCharType="separate"/>
      </w:r>
      <w:r w:rsidRPr="00E045AC">
        <w:rPr>
          <w:szCs w:val="16"/>
          <w:lang w:val="en-CA"/>
        </w:rPr>
        <w:t>594</w:t>
      </w:r>
      <w:r>
        <w:fldChar w:fldCharType="end"/>
      </w:r>
      <w:r w:rsidRPr="00793101">
        <w:rPr>
          <w:szCs w:val="16"/>
          <w:lang w:val="en-CA"/>
        </w:rPr>
        <w:t xml:space="preserve">: (a) the person has been charged with an offence within the jurisdiction of the state or entity; and (b) the offence would be an indictable offence if it were committed in Canada; and section 9 (4): On being filed, (a) an order for the seizure of proceeds of crime may be enforced as if it were a warrant issued under subsection 462.32(1) of the </w:t>
      </w:r>
      <w:r w:rsidRPr="00793101">
        <w:rPr>
          <w:i/>
          <w:szCs w:val="16"/>
          <w:lang w:val="en-CA"/>
        </w:rPr>
        <w:t>Criminal Code</w:t>
      </w:r>
      <w:r w:rsidRPr="00793101">
        <w:rPr>
          <w:szCs w:val="16"/>
          <w:lang w:val="en-CA"/>
        </w:rPr>
        <w:t xml:space="preserve">; (b) an order for the restraint of proceeds of crime may be enforced as if it were an order made under subsection 462.33(3) of the </w:t>
      </w:r>
      <w:r w:rsidRPr="00793101">
        <w:rPr>
          <w:i/>
          <w:szCs w:val="16"/>
          <w:lang w:val="en-CA"/>
        </w:rPr>
        <w:t>Criminal Code</w:t>
      </w:r>
      <w:r w:rsidRPr="00793101">
        <w:rPr>
          <w:szCs w:val="16"/>
          <w:lang w:val="en-CA"/>
        </w:rPr>
        <w:t xml:space="preserve">; (c) an order for the seizure of offence-related property may be enforced as if it were a warrant issued under subsection 487(1) of the </w:t>
      </w:r>
      <w:r w:rsidRPr="00793101">
        <w:rPr>
          <w:i/>
          <w:szCs w:val="16"/>
          <w:lang w:val="en-CA"/>
        </w:rPr>
        <w:t>Criminal Code</w:t>
      </w:r>
      <w:r w:rsidRPr="00793101">
        <w:rPr>
          <w:szCs w:val="16"/>
          <w:lang w:val="en-CA"/>
        </w:rPr>
        <w:t xml:space="preserve"> or subsection 11(1) of the </w:t>
      </w:r>
      <w:r w:rsidRPr="00793101">
        <w:rPr>
          <w:i/>
          <w:szCs w:val="16"/>
          <w:lang w:val="en-CA"/>
        </w:rPr>
        <w:t>Controlled Drugs and Substances Act</w:t>
      </w:r>
      <w:r w:rsidRPr="00793101">
        <w:rPr>
          <w:szCs w:val="16"/>
          <w:lang w:val="en-CA"/>
        </w:rPr>
        <w:t xml:space="preserve">, as the case may be; and (d) an order for the restraint of offence-related property may be enforced as if it were an order made under subsection 490.8(3) of the </w:t>
      </w:r>
      <w:r w:rsidRPr="00793101">
        <w:rPr>
          <w:i/>
          <w:szCs w:val="16"/>
          <w:lang w:val="en-CA"/>
        </w:rPr>
        <w:t>Criminal Code</w:t>
      </w:r>
      <w:r w:rsidRPr="00793101">
        <w:rPr>
          <w:szCs w:val="16"/>
          <w:lang w:val="en-CA"/>
        </w:rPr>
        <w:t xml:space="preserve"> or subsection 14(3) of the </w:t>
      </w:r>
      <w:r w:rsidRPr="00793101">
        <w:rPr>
          <w:i/>
          <w:szCs w:val="16"/>
          <w:lang w:val="en-CA"/>
        </w:rPr>
        <w:t>Controlled Drugs and Substances Act</w:t>
      </w:r>
      <w:r w:rsidRPr="00793101">
        <w:rPr>
          <w:szCs w:val="16"/>
          <w:lang w:val="en-CA"/>
        </w:rPr>
        <w:t>, as the case may be.</w:t>
      </w:r>
    </w:p>
  </w:footnote>
  <w:footnote w:id="595">
    <w:p w14:paraId="60E5ABB9" w14:textId="3835E664" w:rsidR="00356280" w:rsidRPr="00793101" w:rsidRDefault="00356280" w:rsidP="0040644D">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Mutual Legal Assistance in Criminal Matters Act</w:t>
      </w:r>
      <w:r w:rsidRPr="00793101">
        <w:rPr>
          <w:szCs w:val="16"/>
          <w:lang w:val="en-CA"/>
        </w:rPr>
        <w:t xml:space="preserve">, supra note </w:t>
      </w:r>
      <w:r>
        <w:fldChar w:fldCharType="begin"/>
      </w:r>
      <w:r>
        <w:instrText xml:space="preserve"> NOTEREF _Ref267056927 \h  \* MERGEFORMAT </w:instrText>
      </w:r>
      <w:r>
        <w:fldChar w:fldCharType="separate"/>
      </w:r>
      <w:r w:rsidRPr="00E045AC">
        <w:rPr>
          <w:szCs w:val="16"/>
          <w:lang w:val="en-CA"/>
        </w:rPr>
        <w:t>594</w:t>
      </w:r>
      <w:r>
        <w:fldChar w:fldCharType="end"/>
      </w:r>
      <w:r w:rsidRPr="00793101">
        <w:rPr>
          <w:szCs w:val="16"/>
          <w:lang w:val="en-CA"/>
        </w:rPr>
        <w:t xml:space="preserve"> at s 2.1.</w:t>
      </w:r>
    </w:p>
  </w:footnote>
  <w:footnote w:id="596">
    <w:p w14:paraId="65F9AFCC" w14:textId="77777777" w:rsidR="00356280" w:rsidRPr="00793101" w:rsidRDefault="00356280" w:rsidP="0040644D">
      <w:pPr>
        <w:pStyle w:val="FootnoteText"/>
        <w:spacing w:after="0" w:line="240" w:lineRule="auto"/>
        <w:rPr>
          <w:szCs w:val="16"/>
          <w:highlight w:val="magenta"/>
          <w:lang w:val="en-CA"/>
        </w:rPr>
      </w:pPr>
      <w:r w:rsidRPr="00793101">
        <w:rPr>
          <w:rStyle w:val="FootnoteReference"/>
          <w:szCs w:val="16"/>
          <w:lang w:val="en-CA"/>
        </w:rPr>
        <w:footnoteRef/>
      </w:r>
      <w:r w:rsidRPr="00793101">
        <w:rPr>
          <w:szCs w:val="16"/>
          <w:lang w:val="en-CA"/>
        </w:rPr>
        <w:t xml:space="preserve"> </w:t>
      </w:r>
      <w:r w:rsidRPr="00793101">
        <w:rPr>
          <w:i/>
          <w:szCs w:val="16"/>
          <w:lang w:val="en-CA"/>
        </w:rPr>
        <w:t>Ibid</w:t>
      </w:r>
      <w:r w:rsidRPr="00793101">
        <w:rPr>
          <w:szCs w:val="16"/>
          <w:lang w:val="en-CA"/>
        </w:rPr>
        <w:t>, s 17 et sub.</w:t>
      </w:r>
    </w:p>
  </w:footnote>
  <w:footnote w:id="597">
    <w:p w14:paraId="36DA0BE9" w14:textId="1953827E"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Extradition Act</w:t>
      </w:r>
      <w:r w:rsidRPr="00793101">
        <w:rPr>
          <w:szCs w:val="16"/>
        </w:rPr>
        <w:t>,</w:t>
      </w:r>
      <w:r w:rsidRPr="00793101">
        <w:rPr>
          <w:i/>
          <w:szCs w:val="16"/>
        </w:rPr>
        <w:t xml:space="preserve"> supra</w:t>
      </w:r>
      <w:r w:rsidRPr="00793101">
        <w:rPr>
          <w:szCs w:val="16"/>
        </w:rPr>
        <w:t xml:space="preserve"> note </w:t>
      </w:r>
      <w:r>
        <w:fldChar w:fldCharType="begin"/>
      </w:r>
      <w:r>
        <w:instrText xml:space="preserve"> NOTEREF _Ref267054270 \h  \* MERGEFORMAT </w:instrText>
      </w:r>
      <w:r>
        <w:fldChar w:fldCharType="separate"/>
      </w:r>
      <w:r w:rsidRPr="00E045AC">
        <w:rPr>
          <w:szCs w:val="16"/>
        </w:rPr>
        <w:t>376</w:t>
      </w:r>
      <w:r>
        <w:fldChar w:fldCharType="end"/>
      </w:r>
      <w:r w:rsidRPr="00793101">
        <w:rPr>
          <w:szCs w:val="16"/>
        </w:rPr>
        <w:t>, ss 33(3) and 33(4).</w:t>
      </w:r>
    </w:p>
  </w:footnote>
  <w:footnote w:id="598">
    <w:p w14:paraId="6607CB93"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s 34.</w:t>
      </w:r>
    </w:p>
  </w:footnote>
  <w:footnote w:id="599">
    <w:p w14:paraId="5419AFC0"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 xml:space="preserve">s 35. See </w:t>
      </w:r>
      <w:proofErr w:type="spellStart"/>
      <w:r w:rsidRPr="00793101">
        <w:rPr>
          <w:bCs/>
          <w:i/>
          <w:szCs w:val="16"/>
          <w:lang w:val="en-US"/>
        </w:rPr>
        <w:t>Ferras</w:t>
      </w:r>
      <w:proofErr w:type="spellEnd"/>
      <w:r w:rsidRPr="00793101">
        <w:rPr>
          <w:bCs/>
          <w:i/>
          <w:szCs w:val="16"/>
          <w:lang w:val="en-US"/>
        </w:rPr>
        <w:t xml:space="preserve"> &amp; </w:t>
      </w:r>
      <w:proofErr w:type="spellStart"/>
      <w:r w:rsidRPr="00793101">
        <w:rPr>
          <w:bCs/>
          <w:i/>
          <w:szCs w:val="16"/>
          <w:lang w:val="en-US"/>
        </w:rPr>
        <w:t>Latty</w:t>
      </w:r>
      <w:proofErr w:type="spellEnd"/>
      <w:r w:rsidRPr="00793101">
        <w:rPr>
          <w:bCs/>
          <w:i/>
          <w:szCs w:val="16"/>
          <w:lang w:val="en-US"/>
        </w:rPr>
        <w:t xml:space="preserve">, supra </w:t>
      </w:r>
      <w:r w:rsidRPr="00793101">
        <w:rPr>
          <w:bCs/>
          <w:szCs w:val="16"/>
          <w:lang w:val="en-US"/>
        </w:rPr>
        <w:t>note 441 at paras 39, 40, 46, 47, 53, 57, 58.</w:t>
      </w:r>
    </w:p>
  </w:footnote>
  <w:footnote w:id="600">
    <w:p w14:paraId="7878416C" w14:textId="2C7524B8"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Crimes Against Humanity and War </w:t>
      </w:r>
      <w:proofErr w:type="spellStart"/>
      <w:r w:rsidRPr="00793101">
        <w:rPr>
          <w:i/>
          <w:szCs w:val="16"/>
          <w:lang w:val="en-US"/>
        </w:rPr>
        <w:t>CrimesAct</w:t>
      </w:r>
      <w:proofErr w:type="spellEnd"/>
      <w:r w:rsidRPr="00793101">
        <w:rPr>
          <w:i/>
          <w:szCs w:val="16"/>
          <w:lang w:val="en-US"/>
        </w:rPr>
        <w:t xml:space="preserve">, supra </w:t>
      </w:r>
      <w:r w:rsidRPr="00793101">
        <w:rPr>
          <w:szCs w:val="16"/>
          <w:lang w:val="en-US"/>
        </w:rPr>
        <w:t xml:space="preserve">note </w:t>
      </w:r>
      <w:r>
        <w:fldChar w:fldCharType="begin"/>
      </w:r>
      <w:r>
        <w:instrText xml:space="preserve"> NOTEREF _Ref265762095 \h  \* MERGEFORMAT </w:instrText>
      </w:r>
      <w:r>
        <w:fldChar w:fldCharType="separate"/>
      </w:r>
      <w:r w:rsidRPr="00E045AC">
        <w:rPr>
          <w:szCs w:val="16"/>
          <w:lang w:val="en-US"/>
        </w:rPr>
        <w:t>13</w:t>
      </w:r>
      <w:r>
        <w:fldChar w:fldCharType="end"/>
      </w:r>
      <w:r w:rsidRPr="00793101">
        <w:rPr>
          <w:szCs w:val="16"/>
          <w:lang w:val="en-US"/>
        </w:rPr>
        <w:t>, s 30(2).</w:t>
      </w:r>
    </w:p>
  </w:footnote>
  <w:footnote w:id="601">
    <w:p w14:paraId="3872C2EC"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Civil Code of Quebec,</w:t>
      </w:r>
      <w:r w:rsidRPr="00793101">
        <w:rPr>
          <w:szCs w:val="16"/>
        </w:rPr>
        <w:t xml:space="preserve"> LRQ, c C-1991, [CCQ] [</w:t>
      </w:r>
      <w:r w:rsidRPr="00793101">
        <w:rPr>
          <w:i/>
          <w:szCs w:val="16"/>
        </w:rPr>
        <w:t>Civil Code of Quebec</w:t>
      </w:r>
      <w:r w:rsidRPr="00793101">
        <w:rPr>
          <w:szCs w:val="16"/>
        </w:rPr>
        <w:t>], arts 3155 – 3168.</w:t>
      </w:r>
    </w:p>
  </w:footnote>
  <w:footnote w:id="602">
    <w:p w14:paraId="25ACA6C9" w14:textId="77777777" w:rsidR="00356280" w:rsidRPr="000C692A"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rStyle w:val="tightinline"/>
          <w:szCs w:val="16"/>
          <w:lang w:val="en-US"/>
        </w:rPr>
        <w:t xml:space="preserve">Note that </w:t>
      </w:r>
      <w:r w:rsidRPr="00793101">
        <w:rPr>
          <w:szCs w:val="16"/>
        </w:rPr>
        <w:t xml:space="preserve">Canada is not a signatory to the Hague Convention.  See </w:t>
      </w:r>
      <w:r w:rsidRPr="00793101">
        <w:rPr>
          <w:rStyle w:val="tightinline"/>
          <w:i/>
          <w:szCs w:val="16"/>
        </w:rPr>
        <w:t>Hague Conference on Private International Law: Collection of Conventions</w:t>
      </w:r>
      <w:r w:rsidRPr="00793101">
        <w:rPr>
          <w:rStyle w:val="tightinline"/>
          <w:szCs w:val="16"/>
        </w:rPr>
        <w:t xml:space="preserve"> (1951-1980), (The Hague: Permanent Bureau of the Hague Conference on Private International Law) 106; see generally </w:t>
      </w:r>
      <w:r w:rsidRPr="00793101">
        <w:rPr>
          <w:rStyle w:val="verdana"/>
          <w:szCs w:val="16"/>
        </w:rPr>
        <w:t xml:space="preserve">Jean-Gabriel </w:t>
      </w:r>
      <w:r w:rsidRPr="00793101">
        <w:rPr>
          <w:rStyle w:val="tightinline"/>
          <w:szCs w:val="16"/>
        </w:rPr>
        <w:t xml:space="preserve">Castel &amp; Janet Walker, </w:t>
      </w:r>
      <w:r w:rsidRPr="00793101">
        <w:rPr>
          <w:rStyle w:val="tightinline"/>
          <w:i/>
          <w:szCs w:val="16"/>
        </w:rPr>
        <w:t>Canadian Conflict of Laws</w:t>
      </w:r>
      <w:r w:rsidRPr="00793101">
        <w:rPr>
          <w:rStyle w:val="tightinline"/>
          <w:szCs w:val="16"/>
        </w:rPr>
        <w:t>, 6</w:t>
      </w:r>
      <w:r w:rsidRPr="00793101">
        <w:rPr>
          <w:rStyle w:val="tightinline"/>
          <w:szCs w:val="16"/>
          <w:vertAlign w:val="superscript"/>
        </w:rPr>
        <w:t>th</w:t>
      </w:r>
      <w:r w:rsidRPr="00793101">
        <w:rPr>
          <w:rStyle w:val="tightinline"/>
          <w:szCs w:val="16"/>
        </w:rPr>
        <w:t xml:space="preserve"> ed</w:t>
      </w:r>
      <w:r w:rsidRPr="00793101">
        <w:rPr>
          <w:szCs w:val="16"/>
        </w:rPr>
        <w:t xml:space="preserve"> (Toronto: Butterworths, 2005) </w:t>
      </w:r>
      <w:r w:rsidRPr="000C692A">
        <w:rPr>
          <w:rStyle w:val="tightinline"/>
          <w:szCs w:val="16"/>
        </w:rPr>
        <w:t xml:space="preserve">at para 14.2; </w:t>
      </w:r>
      <w:proofErr w:type="spellStart"/>
      <w:r w:rsidRPr="000C692A">
        <w:rPr>
          <w:rStyle w:val="tightinline"/>
          <w:szCs w:val="16"/>
        </w:rPr>
        <w:t>Gérald</w:t>
      </w:r>
      <w:proofErr w:type="spellEnd"/>
      <w:r w:rsidRPr="000C692A">
        <w:rPr>
          <w:rStyle w:val="tightinline"/>
          <w:szCs w:val="16"/>
        </w:rPr>
        <w:t xml:space="preserve"> Goldstein &amp; Jeffrey Alan </w:t>
      </w:r>
      <w:proofErr w:type="spellStart"/>
      <w:r w:rsidRPr="000C692A">
        <w:rPr>
          <w:rStyle w:val="tightinline"/>
          <w:szCs w:val="16"/>
        </w:rPr>
        <w:t>Talpis</w:t>
      </w:r>
      <w:proofErr w:type="spellEnd"/>
      <w:r w:rsidRPr="000C692A">
        <w:rPr>
          <w:rStyle w:val="tightinline"/>
          <w:szCs w:val="16"/>
        </w:rPr>
        <w:t xml:space="preserve">, </w:t>
      </w:r>
      <w:proofErr w:type="spellStart"/>
      <w:r w:rsidRPr="000C692A">
        <w:rPr>
          <w:rStyle w:val="italic"/>
          <w:i/>
          <w:szCs w:val="16"/>
        </w:rPr>
        <w:t>L'effet</w:t>
      </w:r>
      <w:proofErr w:type="spellEnd"/>
      <w:r w:rsidRPr="000C692A">
        <w:rPr>
          <w:rStyle w:val="italic"/>
          <w:i/>
          <w:szCs w:val="16"/>
        </w:rPr>
        <w:t xml:space="preserve"> au Quebec des </w:t>
      </w:r>
      <w:proofErr w:type="spellStart"/>
      <w:r w:rsidRPr="000C692A">
        <w:rPr>
          <w:rStyle w:val="italic"/>
          <w:i/>
          <w:szCs w:val="16"/>
        </w:rPr>
        <w:t>jugements</w:t>
      </w:r>
      <w:proofErr w:type="spellEnd"/>
      <w:r w:rsidRPr="000C692A">
        <w:rPr>
          <w:rStyle w:val="italic"/>
          <w:i/>
          <w:szCs w:val="16"/>
        </w:rPr>
        <w:t xml:space="preserve"> </w:t>
      </w:r>
      <w:proofErr w:type="spellStart"/>
      <w:r w:rsidRPr="000C692A">
        <w:rPr>
          <w:rStyle w:val="italic"/>
          <w:i/>
          <w:szCs w:val="16"/>
        </w:rPr>
        <w:t>étrangers</w:t>
      </w:r>
      <w:proofErr w:type="spellEnd"/>
      <w:r w:rsidRPr="000C692A">
        <w:rPr>
          <w:rStyle w:val="italic"/>
          <w:i/>
          <w:szCs w:val="16"/>
        </w:rPr>
        <w:t xml:space="preserve"> </w:t>
      </w:r>
      <w:proofErr w:type="spellStart"/>
      <w:r w:rsidRPr="000C692A">
        <w:rPr>
          <w:rStyle w:val="italic"/>
          <w:i/>
          <w:szCs w:val="16"/>
        </w:rPr>
        <w:t>en</w:t>
      </w:r>
      <w:proofErr w:type="spellEnd"/>
      <w:r w:rsidRPr="000C692A">
        <w:rPr>
          <w:rStyle w:val="italic"/>
          <w:i/>
          <w:szCs w:val="16"/>
        </w:rPr>
        <w:t xml:space="preserve"> matière de droits </w:t>
      </w:r>
      <w:proofErr w:type="spellStart"/>
      <w:r w:rsidRPr="000C692A">
        <w:rPr>
          <w:rStyle w:val="italic"/>
          <w:i/>
          <w:szCs w:val="16"/>
        </w:rPr>
        <w:t>patrimoniaux</w:t>
      </w:r>
      <w:proofErr w:type="spellEnd"/>
      <w:r w:rsidRPr="000C692A">
        <w:rPr>
          <w:rStyle w:val="tightinline"/>
          <w:szCs w:val="16"/>
        </w:rPr>
        <w:t xml:space="preserve"> (Montréal: Themis, 1991). </w:t>
      </w:r>
    </w:p>
  </w:footnote>
  <w:footnote w:id="603">
    <w:p w14:paraId="6B8738B2"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Code of Civil Procedure</w:t>
      </w:r>
      <w:r w:rsidRPr="00793101">
        <w:rPr>
          <w:szCs w:val="16"/>
        </w:rPr>
        <w:t>,</w:t>
      </w:r>
      <w:r w:rsidRPr="00793101">
        <w:rPr>
          <w:i/>
          <w:szCs w:val="16"/>
        </w:rPr>
        <w:t xml:space="preserve"> </w:t>
      </w:r>
      <w:r w:rsidRPr="00793101">
        <w:rPr>
          <w:szCs w:val="16"/>
        </w:rPr>
        <w:t>RSQ</w:t>
      </w:r>
      <w:r w:rsidRPr="00793101">
        <w:rPr>
          <w:i/>
          <w:szCs w:val="16"/>
        </w:rPr>
        <w:t xml:space="preserve">, </w:t>
      </w:r>
      <w:r w:rsidRPr="00793101">
        <w:rPr>
          <w:szCs w:val="16"/>
        </w:rPr>
        <w:t>c C-25, arts 785-785, stipulating recognition by way of a motion to institute proceedings, requiring service and allowing a minimum of 20 days for the defendant to respond and of 40 days before the motion is heard.</w:t>
      </w:r>
    </w:p>
  </w:footnote>
  <w:footnote w:id="604">
    <w:p w14:paraId="3D96F009" w14:textId="345AFA10"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Crimes Against Humanity and War Crimes Act</w:t>
      </w:r>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_Ref266965596 \h  \* MERGEFORMAT </w:instrText>
      </w:r>
      <w:r>
        <w:fldChar w:fldCharType="separate"/>
      </w:r>
      <w:r>
        <w:t>12</w:t>
      </w:r>
      <w:r>
        <w:fldChar w:fldCharType="end"/>
      </w:r>
      <w:r w:rsidRPr="00793101">
        <w:rPr>
          <w:szCs w:val="16"/>
        </w:rPr>
        <w:t>, s 30(1).</w:t>
      </w:r>
    </w:p>
  </w:footnote>
  <w:footnote w:id="605">
    <w:p w14:paraId="62836E59"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i/>
          <w:szCs w:val="16"/>
        </w:rPr>
        <w:t xml:space="preserve"> Ibid</w:t>
      </w:r>
      <w:r w:rsidRPr="00793101">
        <w:rPr>
          <w:szCs w:val="16"/>
        </w:rPr>
        <w:t>, s 30.</w:t>
      </w:r>
    </w:p>
  </w:footnote>
  <w:footnote w:id="606">
    <w:p w14:paraId="672D2771" w14:textId="7E520D9D" w:rsidR="00356280" w:rsidRPr="00793101" w:rsidRDefault="00356280" w:rsidP="0040644D">
      <w:pPr>
        <w:pStyle w:val="FootnoteText"/>
        <w:spacing w:after="0" w:line="240" w:lineRule="auto"/>
        <w:rPr>
          <w:szCs w:val="16"/>
          <w:lang w:val="en-CA"/>
        </w:rPr>
      </w:pPr>
      <w:r w:rsidRPr="00793101">
        <w:rPr>
          <w:rStyle w:val="FootnoteReference"/>
          <w:szCs w:val="16"/>
        </w:rPr>
        <w:footnoteRef/>
      </w:r>
      <w:r w:rsidRPr="00793101">
        <w:rPr>
          <w:szCs w:val="16"/>
          <w:lang w:val="en-CA"/>
        </w:rPr>
        <w:t xml:space="preserve"> </w:t>
      </w:r>
      <w:r w:rsidRPr="00793101">
        <w:rPr>
          <w:i/>
          <w:szCs w:val="16"/>
        </w:rPr>
        <w:t>Extradition Act</w:t>
      </w:r>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_Ref267054270 \h  \* MERGEFORMAT </w:instrText>
      </w:r>
      <w:r>
        <w:fldChar w:fldCharType="separate"/>
      </w:r>
      <w:r w:rsidRPr="00E045AC">
        <w:rPr>
          <w:szCs w:val="16"/>
        </w:rPr>
        <w:t>376</w:t>
      </w:r>
      <w:r>
        <w:fldChar w:fldCharType="end"/>
      </w:r>
      <w:r w:rsidRPr="00793101">
        <w:rPr>
          <w:szCs w:val="16"/>
        </w:rPr>
        <w:t>, s 30(1).</w:t>
      </w:r>
    </w:p>
  </w:footnote>
  <w:footnote w:id="607">
    <w:p w14:paraId="4A4F1575" w14:textId="57A0FEF5"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proofErr w:type="gramStart"/>
      <w:r w:rsidRPr="000C692A">
        <w:rPr>
          <w:i/>
          <w:szCs w:val="16"/>
          <w:lang w:val="en-US"/>
        </w:rPr>
        <w:t>Criminal Code</w:t>
      </w:r>
      <w:r w:rsidRPr="000C692A">
        <w:rPr>
          <w:szCs w:val="16"/>
          <w:lang w:val="en-US"/>
        </w:rPr>
        <w:t>,</w:t>
      </w:r>
      <w:proofErr w:type="gramEnd"/>
      <w:r w:rsidRPr="000C692A">
        <w:rPr>
          <w:szCs w:val="16"/>
          <w:lang w:val="en-US"/>
        </w:rPr>
        <w:t xml:space="preserve"> </w:t>
      </w:r>
      <w:r w:rsidRPr="000C692A">
        <w:rPr>
          <w:i/>
          <w:szCs w:val="16"/>
          <w:lang w:val="en-US"/>
        </w:rPr>
        <w:t>supra</w:t>
      </w:r>
      <w:r w:rsidRPr="000C692A">
        <w:rPr>
          <w:szCs w:val="16"/>
          <w:lang w:val="en-US"/>
        </w:rPr>
        <w:t xml:space="preserve"> note </w:t>
      </w:r>
      <w:r>
        <w:fldChar w:fldCharType="begin"/>
      </w:r>
      <w:r>
        <w:instrText xml:space="preserve"> NOTEREF _Ref266965463 \h  \* MERGEFORMAT </w:instrText>
      </w:r>
      <w:r>
        <w:fldChar w:fldCharType="separate"/>
      </w:r>
      <w:r>
        <w:t>10</w:t>
      </w:r>
      <w:r>
        <w:fldChar w:fldCharType="end"/>
      </w:r>
      <w:r w:rsidRPr="000C692A">
        <w:rPr>
          <w:szCs w:val="16"/>
          <w:lang w:val="en-US"/>
        </w:rPr>
        <w:t>.</w:t>
      </w:r>
    </w:p>
  </w:footnote>
  <w:footnote w:id="608">
    <w:p w14:paraId="56F70990" w14:textId="0672A07E"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Crimes Against Humanity and War Crimes Act</w:t>
      </w:r>
      <w:r w:rsidRPr="00793101">
        <w:rPr>
          <w:szCs w:val="16"/>
        </w:rPr>
        <w:t xml:space="preserve">, supra note </w:t>
      </w:r>
      <w:r>
        <w:fldChar w:fldCharType="begin"/>
      </w:r>
      <w:r>
        <w:instrText xml:space="preserve"> NOTEREF _Ref266965596 \h  \* MERGEFORMAT </w:instrText>
      </w:r>
      <w:r>
        <w:fldChar w:fldCharType="separate"/>
      </w:r>
      <w:r>
        <w:t>12</w:t>
      </w:r>
      <w:r>
        <w:fldChar w:fldCharType="end"/>
      </w:r>
      <w:r w:rsidRPr="00793101">
        <w:rPr>
          <w:szCs w:val="16"/>
        </w:rPr>
        <w:t>, s 30(2).</w:t>
      </w:r>
    </w:p>
  </w:footnote>
  <w:footnote w:id="609">
    <w:p w14:paraId="5E36ADE8"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w:t>
      </w:r>
    </w:p>
  </w:footnote>
  <w:footnote w:id="610">
    <w:p w14:paraId="72BA79E4"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Canada has 30 bilateral treaties in force with respect to mutual legal assistance: Argentina, Australia, Austria, Belgium, Brazil, </w:t>
      </w:r>
      <w:r w:rsidRPr="00793101">
        <w:rPr>
          <w:szCs w:val="16"/>
        </w:rPr>
        <w:t xml:space="preserve">China (Hong Kong Special Administrative Region), Czech Republic, Germany, Greece, Hungary, India, Israel, Norway, Peru, Poland, Portugal, Romania, Russia, Spain, South Africa, Sweden, Switzerland, Romania, Thailand, Trinidad &amp; Tobago, Ukraine, Uruguay, the United Kingdom, and the United States (and treaties with </w:t>
      </w:r>
      <w:proofErr w:type="spellStart"/>
      <w:r w:rsidRPr="00793101">
        <w:rPr>
          <w:szCs w:val="16"/>
        </w:rPr>
        <w:t>Kazhakstan</w:t>
      </w:r>
      <w:proofErr w:type="spellEnd"/>
      <w:r w:rsidRPr="00793101">
        <w:rPr>
          <w:szCs w:val="16"/>
        </w:rPr>
        <w:t xml:space="preserve"> and Jamaica which are not yet in force); Foreign Affairs and International Trade Canada, Canada Treaty Information, online: &lt; http://www.treaty-accord.gc.ca&gt;.  </w:t>
      </w:r>
    </w:p>
  </w:footnote>
  <w:footnote w:id="611">
    <w:p w14:paraId="76E30D25" w14:textId="3631C565"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r w:rsidRPr="00FD1463">
        <w:rPr>
          <w:i/>
          <w:szCs w:val="16"/>
          <w:lang w:val="es-AR"/>
        </w:rPr>
        <w:t xml:space="preserve">Criminal </w:t>
      </w:r>
      <w:proofErr w:type="spellStart"/>
      <w:r w:rsidRPr="00FD1463">
        <w:rPr>
          <w:i/>
          <w:szCs w:val="16"/>
          <w:lang w:val="es-AR"/>
        </w:rPr>
        <w:t>Code</w:t>
      </w:r>
      <w:proofErr w:type="spellEnd"/>
      <w:r w:rsidRPr="00FD1463">
        <w:rPr>
          <w:szCs w:val="16"/>
          <w:lang w:val="es-AR"/>
        </w:rPr>
        <w:t xml:space="preserve">, </w:t>
      </w:r>
      <w:r w:rsidRPr="00FD1463">
        <w:rPr>
          <w:i/>
          <w:szCs w:val="16"/>
          <w:lang w:val="es-AR"/>
        </w:rPr>
        <w:t>supra note</w:t>
      </w:r>
      <w:r w:rsidRPr="00FD1463">
        <w:rPr>
          <w:szCs w:val="16"/>
          <w:lang w:val="es-AR"/>
        </w:rPr>
        <w:t xml:space="preserve"> </w:t>
      </w:r>
      <w:r>
        <w:fldChar w:fldCharType="begin"/>
      </w:r>
      <w:r w:rsidRPr="00FD1463">
        <w:rPr>
          <w:lang w:val="es-AR"/>
        </w:rPr>
        <w:instrText xml:space="preserve"> NOTEREF _Ref266965463 \h  \* MERGEFORMAT </w:instrText>
      </w:r>
      <w:r>
        <w:fldChar w:fldCharType="separate"/>
      </w:r>
      <w:r>
        <w:rPr>
          <w:lang w:val="es-AR"/>
        </w:rPr>
        <w:t>10</w:t>
      </w:r>
      <w:r>
        <w:fldChar w:fldCharType="end"/>
      </w:r>
      <w:r w:rsidRPr="00FD1463">
        <w:rPr>
          <w:szCs w:val="16"/>
          <w:lang w:val="es-AR"/>
        </w:rPr>
        <w:t>, s 718(e).</w:t>
      </w:r>
    </w:p>
  </w:footnote>
  <w:footnote w:id="612">
    <w:p w14:paraId="7F7C453D"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Language regarding “assistance concerning restitution to the victims of crime and the collection of fines imposed as a sentence in a criminal prosecution” appears in Canada’s bilateral treaties with Greece, Norway, Peru, South Africa, Trinidad &amp; Tobago, and the United States, while the agreement with Romania provides for assistance “compensating the victims of crime and in collecting fines imposed in criminal prosecutions.”</w:t>
      </w:r>
    </w:p>
  </w:footnote>
  <w:footnote w:id="613">
    <w:p w14:paraId="5D793EA7"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The agreements with the Bahamas, Belgium, China (Hong Kong), and Italy do not reference collection of fines but do reference assistance “in proceedings related to restitution to the victims of crime.”  </w:t>
      </w:r>
    </w:p>
  </w:footnote>
  <w:footnote w:id="614">
    <w:p w14:paraId="0F657280"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gramStart"/>
      <w:r w:rsidRPr="00793101">
        <w:rPr>
          <w:i/>
          <w:szCs w:val="16"/>
        </w:rPr>
        <w:t>Treaty between the Government of Canada and the Government of the United States of America on Mutual Legal Assistance in Criminal Matters</w:t>
      </w:r>
      <w:r w:rsidRPr="00793101">
        <w:rPr>
          <w:szCs w:val="16"/>
        </w:rPr>
        <w:t>,</w:t>
      </w:r>
      <w:proofErr w:type="gramEnd"/>
      <w:r w:rsidRPr="00793101">
        <w:rPr>
          <w:szCs w:val="16"/>
        </w:rPr>
        <w:t xml:space="preserve"> Can TS 1990 No 19, art XVII (2). </w:t>
      </w:r>
    </w:p>
  </w:footnote>
  <w:footnote w:id="615">
    <w:p w14:paraId="41E64635"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proofErr w:type="spellStart"/>
      <w:r w:rsidRPr="00793101">
        <w:rPr>
          <w:i/>
          <w:szCs w:val="16"/>
        </w:rPr>
        <w:t>Zschiegner</w:t>
      </w:r>
      <w:proofErr w:type="spellEnd"/>
      <w:r w:rsidRPr="00793101">
        <w:rPr>
          <w:i/>
          <w:szCs w:val="16"/>
        </w:rPr>
        <w:t xml:space="preserve"> v USA</w:t>
      </w:r>
      <w:r w:rsidRPr="00793101">
        <w:rPr>
          <w:szCs w:val="16"/>
        </w:rPr>
        <w:t xml:space="preserve">, </w:t>
      </w:r>
      <w:r w:rsidRPr="00793101">
        <w:rPr>
          <w:szCs w:val="16"/>
          <w:lang w:val="en-US"/>
        </w:rPr>
        <w:t>[</w:t>
      </w:r>
      <w:r w:rsidRPr="00793101">
        <w:rPr>
          <w:szCs w:val="16"/>
        </w:rPr>
        <w:t>2001] NSCA 74.</w:t>
      </w:r>
    </w:p>
  </w:footnote>
  <w:footnote w:id="616">
    <w:p w14:paraId="3A203173" w14:textId="638B9CD1"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Mutual Legal Assistance in Criminal Matter Act, supra </w:t>
      </w:r>
      <w:r w:rsidRPr="00793101">
        <w:rPr>
          <w:szCs w:val="16"/>
        </w:rPr>
        <w:t xml:space="preserve">note </w:t>
      </w:r>
      <w:r>
        <w:fldChar w:fldCharType="begin"/>
      </w:r>
      <w:r>
        <w:instrText xml:space="preserve"> NOTEREF _Ref267056927 \h  \* MERGEFORMAT </w:instrText>
      </w:r>
      <w:r>
        <w:fldChar w:fldCharType="separate"/>
      </w:r>
      <w:r w:rsidRPr="00E045AC">
        <w:rPr>
          <w:szCs w:val="16"/>
        </w:rPr>
        <w:t>594</w:t>
      </w:r>
      <w:r>
        <w:fldChar w:fldCharType="end"/>
      </w:r>
      <w:r w:rsidRPr="00793101">
        <w:rPr>
          <w:szCs w:val="16"/>
        </w:rPr>
        <w:t>, s 9(1).</w:t>
      </w:r>
    </w:p>
  </w:footnote>
  <w:footnote w:id="617">
    <w:p w14:paraId="0015EC96"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s 9(3).</w:t>
      </w:r>
    </w:p>
  </w:footnote>
  <w:footnote w:id="618">
    <w:p w14:paraId="6421E7DE"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 xml:space="preserve">Pro Swing Inc v </w:t>
      </w:r>
      <w:proofErr w:type="spellStart"/>
      <w:r w:rsidRPr="00793101">
        <w:rPr>
          <w:i/>
          <w:szCs w:val="16"/>
        </w:rPr>
        <w:t>Elta</w:t>
      </w:r>
      <w:proofErr w:type="spellEnd"/>
      <w:r w:rsidRPr="00793101">
        <w:rPr>
          <w:i/>
          <w:szCs w:val="16"/>
        </w:rPr>
        <w:t xml:space="preserve"> Golf Inc</w:t>
      </w:r>
      <w:r w:rsidRPr="00793101">
        <w:rPr>
          <w:szCs w:val="16"/>
        </w:rPr>
        <w:t>, 2006 SCC 52, [2006] 2 SCR 612.</w:t>
      </w:r>
    </w:p>
  </w:footnote>
  <w:footnote w:id="619">
    <w:p w14:paraId="03C92464"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i/>
          <w:szCs w:val="16"/>
        </w:rPr>
        <w:t xml:space="preserve"> Ibid</w:t>
      </w:r>
      <w:r w:rsidRPr="00793101">
        <w:rPr>
          <w:szCs w:val="16"/>
        </w:rPr>
        <w:t xml:space="preserve">.  See also </w:t>
      </w:r>
      <w:proofErr w:type="spellStart"/>
      <w:r w:rsidRPr="00793101">
        <w:rPr>
          <w:i/>
          <w:szCs w:val="16"/>
        </w:rPr>
        <w:t>Beals</w:t>
      </w:r>
      <w:proofErr w:type="spellEnd"/>
      <w:r w:rsidRPr="00793101">
        <w:rPr>
          <w:i/>
          <w:szCs w:val="16"/>
        </w:rPr>
        <w:t xml:space="preserve"> v Saldanha</w:t>
      </w:r>
      <w:r w:rsidRPr="00793101">
        <w:rPr>
          <w:szCs w:val="16"/>
        </w:rPr>
        <w:t>, 2003 SCC 72, [2003] SCR 416 [</w:t>
      </w:r>
      <w:proofErr w:type="spellStart"/>
      <w:r w:rsidRPr="00793101">
        <w:rPr>
          <w:i/>
          <w:szCs w:val="16"/>
        </w:rPr>
        <w:t>Beals</w:t>
      </w:r>
      <w:proofErr w:type="spellEnd"/>
      <w:r w:rsidRPr="00793101">
        <w:rPr>
          <w:szCs w:val="16"/>
        </w:rPr>
        <w:t>], expanding the application of Canada’s conflict of law rules to foreign judgments generally.</w:t>
      </w:r>
    </w:p>
  </w:footnote>
  <w:footnote w:id="620">
    <w:p w14:paraId="5685D14A" w14:textId="292D372F"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proofErr w:type="spellStart"/>
      <w:r w:rsidRPr="00793101">
        <w:rPr>
          <w:rStyle w:val="italic"/>
          <w:i/>
          <w:szCs w:val="16"/>
        </w:rPr>
        <w:t>Raulin</w:t>
      </w:r>
      <w:proofErr w:type="spellEnd"/>
      <w:r w:rsidRPr="00793101">
        <w:rPr>
          <w:rStyle w:val="italic"/>
          <w:i/>
          <w:szCs w:val="16"/>
        </w:rPr>
        <w:t xml:space="preserve"> v Fischer</w:t>
      </w:r>
      <w:r w:rsidRPr="00793101">
        <w:rPr>
          <w:rStyle w:val="tightinline"/>
          <w:szCs w:val="16"/>
        </w:rPr>
        <w:t>, [1911] 2 KB 93 (French order of compensation to “</w:t>
      </w:r>
      <w:proofErr w:type="spellStart"/>
      <w:r w:rsidRPr="00793101">
        <w:rPr>
          <w:rStyle w:val="tightinline"/>
          <w:szCs w:val="16"/>
        </w:rPr>
        <w:t>partie</w:t>
      </w:r>
      <w:proofErr w:type="spellEnd"/>
      <w:r w:rsidRPr="00793101">
        <w:rPr>
          <w:rStyle w:val="tightinline"/>
          <w:szCs w:val="16"/>
        </w:rPr>
        <w:t xml:space="preserve"> </w:t>
      </w:r>
      <w:proofErr w:type="spellStart"/>
      <w:r w:rsidRPr="00793101">
        <w:rPr>
          <w:rStyle w:val="tightinline"/>
          <w:szCs w:val="16"/>
        </w:rPr>
        <w:t>civile</w:t>
      </w:r>
      <w:proofErr w:type="spellEnd"/>
      <w:r w:rsidRPr="00793101">
        <w:rPr>
          <w:rStyle w:val="tightinline"/>
          <w:szCs w:val="16"/>
        </w:rPr>
        <w:t xml:space="preserve">”); </w:t>
      </w:r>
      <w:r w:rsidRPr="00793101">
        <w:rPr>
          <w:rStyle w:val="italic"/>
          <w:i/>
          <w:szCs w:val="16"/>
        </w:rPr>
        <w:t xml:space="preserve">Canadian Imperial Bank of Commerce v </w:t>
      </w:r>
      <w:proofErr w:type="spellStart"/>
      <w:r w:rsidRPr="00793101">
        <w:rPr>
          <w:rStyle w:val="italic"/>
          <w:i/>
          <w:szCs w:val="16"/>
        </w:rPr>
        <w:t>Coupal</w:t>
      </w:r>
      <w:proofErr w:type="spellEnd"/>
      <w:r w:rsidRPr="00793101">
        <w:rPr>
          <w:rStyle w:val="tightinline"/>
          <w:szCs w:val="16"/>
        </w:rPr>
        <w:t xml:space="preserve">, [1995] OJ No 1643, 38 CPC (3d) 98 (Gen </w:t>
      </w:r>
      <w:proofErr w:type="spellStart"/>
      <w:r w:rsidRPr="00793101">
        <w:rPr>
          <w:rStyle w:val="tightinline"/>
          <w:szCs w:val="16"/>
        </w:rPr>
        <w:t>Div</w:t>
      </w:r>
      <w:proofErr w:type="spellEnd"/>
      <w:r w:rsidRPr="00793101">
        <w:rPr>
          <w:rStyle w:val="tightinline"/>
          <w:szCs w:val="16"/>
        </w:rPr>
        <w:t xml:space="preserve">).  </w:t>
      </w:r>
      <w:r w:rsidRPr="00793101">
        <w:rPr>
          <w:szCs w:val="16"/>
        </w:rPr>
        <w:t xml:space="preserve">See generally Castel &amp; Walker, </w:t>
      </w:r>
      <w:r w:rsidRPr="00793101">
        <w:rPr>
          <w:i/>
          <w:szCs w:val="16"/>
        </w:rPr>
        <w:t>supra</w:t>
      </w:r>
      <w:r w:rsidRPr="00793101">
        <w:rPr>
          <w:szCs w:val="16"/>
        </w:rPr>
        <w:t xml:space="preserve"> note </w:t>
      </w:r>
      <w:r>
        <w:fldChar w:fldCharType="begin"/>
      </w:r>
      <w:r>
        <w:instrText xml:space="preserve"> NOTEREF _Ref267057078 \h  \* MERGEFORMAT </w:instrText>
      </w:r>
      <w:r>
        <w:fldChar w:fldCharType="separate"/>
      </w:r>
      <w:r w:rsidRPr="00E045AC">
        <w:rPr>
          <w:szCs w:val="16"/>
        </w:rPr>
        <w:t>604</w:t>
      </w:r>
      <w:r>
        <w:fldChar w:fldCharType="end"/>
      </w:r>
      <w:r w:rsidRPr="00793101">
        <w:rPr>
          <w:szCs w:val="16"/>
        </w:rPr>
        <w:t xml:space="preserve"> at para 14.</w:t>
      </w:r>
    </w:p>
  </w:footnote>
  <w:footnote w:id="621">
    <w:p w14:paraId="66BAF03A"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w:t>
      </w:r>
      <w:r w:rsidRPr="00793101">
        <w:rPr>
          <w:i/>
          <w:szCs w:val="16"/>
        </w:rPr>
        <w:t>United States v Ivey</w:t>
      </w:r>
      <w:r w:rsidRPr="00793101">
        <w:rPr>
          <w:szCs w:val="16"/>
        </w:rPr>
        <w:t xml:space="preserve">, 26 OR (3d) 533, [1995] OJ No 3579 (Sharpe, J. (as he then was)) at para 38 (decision upheld, [1996] OJ No 3360, 30 OR (3d) 370 (ONCA), leave to appeal to SCC dismissed, </w:t>
      </w:r>
      <w:hyperlink r:id="rId3" w:tgtFrame="_parent" w:history="1">
        <w:r w:rsidRPr="00793101">
          <w:rPr>
            <w:rStyle w:val="Hyperlink"/>
            <w:color w:val="auto"/>
            <w:szCs w:val="16"/>
            <w:u w:val="none"/>
          </w:rPr>
          <w:t>[1996] SCCA No 582</w:t>
        </w:r>
      </w:hyperlink>
      <w:r w:rsidRPr="00793101">
        <w:rPr>
          <w:szCs w:val="16"/>
        </w:rPr>
        <w:t>).</w:t>
      </w:r>
    </w:p>
  </w:footnote>
  <w:footnote w:id="622">
    <w:p w14:paraId="2C9ED3F0" w14:textId="77777777" w:rsidR="00356280" w:rsidRPr="00793101" w:rsidRDefault="00356280" w:rsidP="0040644D">
      <w:pPr>
        <w:pStyle w:val="FootnoteText"/>
        <w:spacing w:after="0" w:line="240" w:lineRule="auto"/>
        <w:rPr>
          <w:i/>
          <w:szCs w:val="16"/>
        </w:rPr>
      </w:pPr>
      <w:r w:rsidRPr="00793101">
        <w:rPr>
          <w:rStyle w:val="FootnoteReference"/>
          <w:szCs w:val="16"/>
        </w:rPr>
        <w:footnoteRef/>
      </w:r>
      <w:r w:rsidRPr="00793101">
        <w:rPr>
          <w:szCs w:val="16"/>
        </w:rPr>
        <w:t xml:space="preserve"> </w:t>
      </w:r>
      <w:r w:rsidRPr="00793101">
        <w:rPr>
          <w:i/>
          <w:szCs w:val="16"/>
        </w:rPr>
        <w:t>Constitution Act</w:t>
      </w:r>
      <w:r w:rsidRPr="00793101">
        <w:rPr>
          <w:szCs w:val="16"/>
        </w:rPr>
        <w:t xml:space="preserve">, 1867 (UK), 30 &amp; 31 </w:t>
      </w:r>
      <w:proofErr w:type="spellStart"/>
      <w:r w:rsidRPr="00793101">
        <w:rPr>
          <w:szCs w:val="16"/>
        </w:rPr>
        <w:t>Vict</w:t>
      </w:r>
      <w:proofErr w:type="spellEnd"/>
      <w:r w:rsidRPr="00793101">
        <w:rPr>
          <w:szCs w:val="16"/>
        </w:rPr>
        <w:t>, c 3, reprinted in RSC 1985, App II, No 5, s 92(14).</w:t>
      </w:r>
    </w:p>
  </w:footnote>
  <w:footnote w:id="623">
    <w:p w14:paraId="6435631F" w14:textId="233D729D"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generally Castel &amp; Walker, supra note </w:t>
      </w:r>
      <w:r>
        <w:fldChar w:fldCharType="begin"/>
      </w:r>
      <w:r>
        <w:instrText xml:space="preserve"> NOTEREF _Ref267057078 \h  \* MERGEFORMAT </w:instrText>
      </w:r>
      <w:r>
        <w:fldChar w:fldCharType="separate"/>
      </w:r>
      <w:r w:rsidRPr="00E045AC">
        <w:rPr>
          <w:szCs w:val="16"/>
        </w:rPr>
        <w:t>604</w:t>
      </w:r>
      <w:r>
        <w:fldChar w:fldCharType="end"/>
      </w:r>
      <w:r w:rsidRPr="00793101">
        <w:rPr>
          <w:szCs w:val="16"/>
        </w:rPr>
        <w:t xml:space="preserve"> at para 14.</w:t>
      </w:r>
    </w:p>
  </w:footnote>
  <w:footnote w:id="624">
    <w:p w14:paraId="6F287A4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lang w:val="en-US"/>
        </w:rPr>
        <w:t xml:space="preserve"> (AB) </w:t>
      </w:r>
      <w:r w:rsidRPr="00793101">
        <w:rPr>
          <w:i/>
          <w:szCs w:val="16"/>
          <w:lang w:val="en-US"/>
        </w:rPr>
        <w:t>Reciprocal Enforcement of Judgments Act</w:t>
      </w:r>
      <w:r w:rsidRPr="00793101">
        <w:rPr>
          <w:szCs w:val="16"/>
          <w:lang w:val="en-US"/>
        </w:rPr>
        <w:t xml:space="preserve">, RSA 2000, c R-6, (BC) </w:t>
      </w:r>
      <w:r w:rsidRPr="00793101">
        <w:rPr>
          <w:i/>
          <w:szCs w:val="16"/>
          <w:lang w:val="en-US"/>
        </w:rPr>
        <w:t>Court Order Enforcement Act</w:t>
      </w:r>
      <w:r w:rsidRPr="00793101">
        <w:rPr>
          <w:szCs w:val="16"/>
          <w:lang w:val="en-US"/>
        </w:rPr>
        <w:t xml:space="preserve">, RSBC 1996, c 78, ss 28-39, ss 61-69 as am SBC 2007, c 10, ss 111, 112; (BC) </w:t>
      </w:r>
      <w:r w:rsidRPr="00793101">
        <w:rPr>
          <w:i/>
          <w:szCs w:val="16"/>
          <w:lang w:val="en-US"/>
        </w:rPr>
        <w:t>Supreme Court Civil Rules</w:t>
      </w:r>
      <w:r w:rsidRPr="00793101">
        <w:rPr>
          <w:szCs w:val="16"/>
          <w:lang w:val="en-US"/>
        </w:rPr>
        <w:t xml:space="preserve">, BC Reg 168/2009, R 19-3; (MB) </w:t>
      </w:r>
      <w:r w:rsidRPr="00793101">
        <w:rPr>
          <w:i/>
          <w:szCs w:val="16"/>
          <w:lang w:val="en-US"/>
        </w:rPr>
        <w:t>Reciprocal Enforcement of Judgments Act</w:t>
      </w:r>
      <w:r w:rsidRPr="00793101">
        <w:rPr>
          <w:szCs w:val="16"/>
          <w:lang w:val="en-US"/>
        </w:rPr>
        <w:t>, CCSM, c J20, (NB</w:t>
      </w:r>
      <w:r w:rsidRPr="00793101">
        <w:rPr>
          <w:i/>
          <w:szCs w:val="16"/>
          <w:lang w:val="en-US"/>
        </w:rPr>
        <w:t>) Reciprocal Enforcement of Judgments Act</w:t>
      </w:r>
      <w:r w:rsidRPr="00793101">
        <w:rPr>
          <w:szCs w:val="16"/>
          <w:lang w:val="en-US"/>
        </w:rPr>
        <w:t xml:space="preserve">, RSNB 1973, c R-3, (NL) </w:t>
      </w:r>
      <w:r w:rsidRPr="00793101">
        <w:rPr>
          <w:i/>
          <w:szCs w:val="16"/>
          <w:lang w:val="en-US"/>
        </w:rPr>
        <w:t>Reciprocal Enforcement of Judgments Act</w:t>
      </w:r>
      <w:r w:rsidRPr="00793101">
        <w:rPr>
          <w:szCs w:val="16"/>
          <w:lang w:val="en-US"/>
        </w:rPr>
        <w:t xml:space="preserve">, RSNL 1990, c R-4; (NS) </w:t>
      </w:r>
      <w:r w:rsidRPr="00793101">
        <w:rPr>
          <w:i/>
          <w:szCs w:val="16"/>
          <w:lang w:val="en-US"/>
        </w:rPr>
        <w:t>Reciprocal Enforcement of Judgments Act</w:t>
      </w:r>
      <w:r w:rsidRPr="00793101">
        <w:rPr>
          <w:szCs w:val="16"/>
          <w:lang w:val="en-US"/>
        </w:rPr>
        <w:t xml:space="preserve">, RSNS 1989, c 388; (ON) </w:t>
      </w:r>
      <w:r w:rsidRPr="00793101">
        <w:rPr>
          <w:i/>
          <w:szCs w:val="16"/>
          <w:lang w:val="en-US"/>
        </w:rPr>
        <w:t>Reciprocal Enforcement of Judgments Act</w:t>
      </w:r>
      <w:r w:rsidRPr="00793101">
        <w:rPr>
          <w:szCs w:val="16"/>
          <w:lang w:val="en-US"/>
        </w:rPr>
        <w:t xml:space="preserve">, RSO 1990, c R.5, (PE) </w:t>
      </w:r>
      <w:r w:rsidRPr="00793101">
        <w:rPr>
          <w:i/>
          <w:szCs w:val="16"/>
          <w:lang w:val="en-US"/>
        </w:rPr>
        <w:t>Reciprocal Enforcement of Judgments Act</w:t>
      </w:r>
      <w:r w:rsidRPr="00793101">
        <w:rPr>
          <w:szCs w:val="16"/>
          <w:lang w:val="en-US"/>
        </w:rPr>
        <w:t xml:space="preserve">, RSPEI 1988, c R-6; (SK) </w:t>
      </w:r>
      <w:r w:rsidRPr="00793101">
        <w:rPr>
          <w:i/>
          <w:szCs w:val="16"/>
          <w:lang w:val="en-US"/>
        </w:rPr>
        <w:t>Reciprocal Enforcement of Judgments Act</w:t>
      </w:r>
      <w:r w:rsidRPr="00793101">
        <w:rPr>
          <w:szCs w:val="16"/>
          <w:lang w:val="en-US"/>
        </w:rPr>
        <w:t xml:space="preserve">, 1996, SS 1996, c R-3.1; and (SK) </w:t>
      </w:r>
      <w:r w:rsidRPr="00793101">
        <w:rPr>
          <w:i/>
          <w:szCs w:val="16"/>
          <w:lang w:val="en-US"/>
        </w:rPr>
        <w:t>Judgments Extension Act</w:t>
      </w:r>
      <w:r w:rsidRPr="00793101">
        <w:rPr>
          <w:szCs w:val="16"/>
          <w:lang w:val="en-US"/>
        </w:rPr>
        <w:t xml:space="preserve">, RSS 1978, c J-3; </w:t>
      </w:r>
      <w:r w:rsidRPr="00793101">
        <w:rPr>
          <w:i/>
          <w:szCs w:val="16"/>
          <w:lang w:val="en-US"/>
        </w:rPr>
        <w:t>Eldemire v Eldemire</w:t>
      </w:r>
      <w:r w:rsidRPr="00793101">
        <w:rPr>
          <w:szCs w:val="16"/>
          <w:lang w:val="en-US"/>
        </w:rPr>
        <w:t xml:space="preserve">, [1992] SJ No 137, 101 </w:t>
      </w:r>
      <w:proofErr w:type="spellStart"/>
      <w:r w:rsidRPr="00793101">
        <w:rPr>
          <w:szCs w:val="16"/>
          <w:lang w:val="en-US"/>
        </w:rPr>
        <w:t>Sask</w:t>
      </w:r>
      <w:proofErr w:type="spellEnd"/>
      <w:r w:rsidRPr="00793101">
        <w:rPr>
          <w:szCs w:val="16"/>
          <w:lang w:val="en-US"/>
        </w:rPr>
        <w:t xml:space="preserve"> R 189 (</w:t>
      </w:r>
      <w:proofErr w:type="spellStart"/>
      <w:r w:rsidRPr="00793101">
        <w:rPr>
          <w:szCs w:val="16"/>
          <w:lang w:val="en-US"/>
        </w:rPr>
        <w:t>Sask</w:t>
      </w:r>
      <w:proofErr w:type="spellEnd"/>
      <w:r w:rsidRPr="00793101">
        <w:rPr>
          <w:szCs w:val="16"/>
          <w:lang w:val="en-US"/>
        </w:rPr>
        <w:t xml:space="preserve"> QB); (NT) </w:t>
      </w:r>
      <w:r w:rsidRPr="00793101">
        <w:rPr>
          <w:i/>
          <w:szCs w:val="16"/>
          <w:lang w:val="en-US"/>
        </w:rPr>
        <w:t>Reciprocal Enforcement of Judgments Act</w:t>
      </w:r>
      <w:r w:rsidRPr="00793101">
        <w:rPr>
          <w:szCs w:val="16"/>
          <w:lang w:val="en-US"/>
        </w:rPr>
        <w:t xml:space="preserve">, RSNWT 1988, c R-1;(NU) </w:t>
      </w:r>
      <w:r w:rsidRPr="00793101">
        <w:rPr>
          <w:i/>
          <w:szCs w:val="16"/>
          <w:lang w:val="en-US"/>
        </w:rPr>
        <w:t>Reciprocal Enforcement of Judgments Act</w:t>
      </w:r>
      <w:r w:rsidRPr="00793101">
        <w:rPr>
          <w:szCs w:val="16"/>
          <w:lang w:val="en-US"/>
        </w:rPr>
        <w:t xml:space="preserve">, RSNWT (Nu) 1988, c R-1; (YT) </w:t>
      </w:r>
      <w:r w:rsidRPr="00793101">
        <w:rPr>
          <w:i/>
          <w:szCs w:val="16"/>
          <w:lang w:val="en-US"/>
        </w:rPr>
        <w:t>Reciprocal Enforcement of Judgments Act</w:t>
      </w:r>
      <w:r w:rsidRPr="00793101">
        <w:rPr>
          <w:szCs w:val="16"/>
          <w:lang w:val="en-US"/>
        </w:rPr>
        <w:t xml:space="preserve">, RSY 2002, c 189; Uniform Law Conference of Canada, </w:t>
      </w:r>
      <w:r w:rsidRPr="00793101">
        <w:rPr>
          <w:i/>
          <w:szCs w:val="16"/>
          <w:lang w:val="en-US"/>
        </w:rPr>
        <w:t>Uniform Enforcement of Foreign Judgments Act</w:t>
      </w:r>
      <w:r w:rsidRPr="00793101">
        <w:rPr>
          <w:szCs w:val="16"/>
          <w:lang w:val="en-US"/>
        </w:rPr>
        <w:t>, online: &lt;www.ulcc.ca&gt;.</w:t>
      </w:r>
    </w:p>
  </w:footnote>
  <w:footnote w:id="625">
    <w:p w14:paraId="7EE88DDF" w14:textId="77777777" w:rsidR="00356280" w:rsidRPr="00793101" w:rsidRDefault="00356280" w:rsidP="0040644D">
      <w:pPr>
        <w:pStyle w:val="FootnoteText"/>
        <w:spacing w:after="0" w:line="240" w:lineRule="auto"/>
        <w:rPr>
          <w:szCs w:val="16"/>
          <w:highlight w:val="green"/>
        </w:rPr>
      </w:pPr>
      <w:r w:rsidRPr="00793101">
        <w:rPr>
          <w:rStyle w:val="FootnoteReference"/>
          <w:szCs w:val="16"/>
        </w:rPr>
        <w:footnoteRef/>
      </w:r>
      <w:r w:rsidRPr="00793101">
        <w:rPr>
          <w:szCs w:val="16"/>
        </w:rPr>
        <w:t xml:space="preserve"> See </w:t>
      </w:r>
      <w:r w:rsidRPr="00793101">
        <w:rPr>
          <w:rStyle w:val="scheduleheading"/>
          <w:i/>
          <w:szCs w:val="16"/>
        </w:rPr>
        <w:t>Convention Between Canada and the United Kingdom of Great Britain and Northern Ireland Providing For The Reciprocal Recognition and Enforcement of Judgments In Civil and Commercial Matters</w:t>
      </w:r>
      <w:r w:rsidRPr="00793101">
        <w:rPr>
          <w:rStyle w:val="scheduleheading"/>
          <w:szCs w:val="16"/>
        </w:rPr>
        <w:t>, Schedule to</w:t>
      </w:r>
      <w:r w:rsidRPr="00793101">
        <w:rPr>
          <w:rStyle w:val="name"/>
          <w:i/>
          <w:szCs w:val="16"/>
        </w:rPr>
        <w:t xml:space="preserve"> Canada-United Kingdom Civil and Commercial Judgments Convention Act</w:t>
      </w:r>
      <w:r w:rsidRPr="00793101">
        <w:rPr>
          <w:szCs w:val="16"/>
        </w:rPr>
        <w:t xml:space="preserve">, </w:t>
      </w:r>
      <w:r w:rsidRPr="00793101">
        <w:rPr>
          <w:rStyle w:val="reference"/>
          <w:szCs w:val="16"/>
        </w:rPr>
        <w:t>RSC 1985, c C-30</w:t>
      </w:r>
      <w:r w:rsidRPr="00793101">
        <w:rPr>
          <w:szCs w:val="16"/>
        </w:rPr>
        <w:t xml:space="preserve">; </w:t>
      </w:r>
      <w:r w:rsidRPr="00793101">
        <w:rPr>
          <w:rStyle w:val="reference"/>
          <w:i/>
          <w:szCs w:val="16"/>
        </w:rPr>
        <w:t>Proclamation Giving Notice of the Coming into Force of Canada-United Kingdom Convention Respecting Judgments in Civil and Commercial Matters</w:t>
      </w:r>
      <w:r w:rsidRPr="00793101">
        <w:rPr>
          <w:rStyle w:val="reference"/>
          <w:szCs w:val="16"/>
        </w:rPr>
        <w:t>, SI/87-26</w:t>
      </w:r>
      <w:r w:rsidRPr="00793101">
        <w:rPr>
          <w:szCs w:val="16"/>
        </w:rPr>
        <w:t>.</w:t>
      </w:r>
    </w:p>
  </w:footnote>
  <w:footnote w:id="626">
    <w:p w14:paraId="3A97A351" w14:textId="728116E4"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lang w:val="en-US"/>
        </w:rPr>
        <w:t xml:space="preserve"> See e.g. Ontario’s </w:t>
      </w:r>
      <w:r w:rsidRPr="00793101">
        <w:rPr>
          <w:i/>
          <w:szCs w:val="16"/>
          <w:lang w:val="en-US"/>
        </w:rPr>
        <w:t>Reciprocal Enforcement of Judgments Act</w:t>
      </w:r>
      <w:r w:rsidRPr="00793101">
        <w:rPr>
          <w:szCs w:val="16"/>
          <w:lang w:val="en-US"/>
        </w:rPr>
        <w:t>,</w:t>
      </w:r>
      <w:r w:rsidRPr="00793101">
        <w:rPr>
          <w:i/>
          <w:szCs w:val="16"/>
          <w:lang w:val="en-US"/>
        </w:rPr>
        <w:t xml:space="preserve"> supra</w:t>
      </w:r>
      <w:r w:rsidRPr="00793101">
        <w:rPr>
          <w:szCs w:val="16"/>
          <w:lang w:val="en-US"/>
        </w:rPr>
        <w:t xml:space="preserve"> note </w:t>
      </w:r>
      <w:r>
        <w:fldChar w:fldCharType="begin"/>
      </w:r>
      <w:r>
        <w:instrText xml:space="preserve"> NOTEREF _Ref267057137 \h  \* MERGEFORMAT </w:instrText>
      </w:r>
      <w:r>
        <w:fldChar w:fldCharType="separate"/>
      </w:r>
      <w:r w:rsidRPr="00E045AC">
        <w:rPr>
          <w:szCs w:val="16"/>
          <w:lang w:val="en-US"/>
        </w:rPr>
        <w:t>626</w:t>
      </w:r>
      <w:r>
        <w:fldChar w:fldCharType="end"/>
      </w:r>
      <w:r w:rsidRPr="00793101">
        <w:rPr>
          <w:szCs w:val="16"/>
          <w:lang w:val="en-US"/>
        </w:rPr>
        <w:t>, s 8.</w:t>
      </w:r>
    </w:p>
  </w:footnote>
  <w:footnote w:id="627">
    <w:p w14:paraId="66612547"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s 3 (lack of jurisdiction, non-service in the original jurisdiction, fraud, non-finality of the judgment, or public policy). </w:t>
      </w:r>
    </w:p>
  </w:footnote>
  <w:footnote w:id="628">
    <w:p w14:paraId="37E0003E" w14:textId="6C349F2E"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i/>
          <w:szCs w:val="16"/>
          <w:lang w:val="en-US"/>
        </w:rPr>
        <w:t xml:space="preserve"> </w:t>
      </w:r>
      <w:r w:rsidRPr="00793101">
        <w:rPr>
          <w:szCs w:val="16"/>
          <w:lang w:val="en-US"/>
        </w:rPr>
        <w:t xml:space="preserve">The exceptions are British Columbia, whose limitation period is 10 years, and Prince Edward Island, whose limitation period is 10 years or the enforcement period of the original judgment, whichever is shorter; (BC) </w:t>
      </w:r>
      <w:r w:rsidRPr="00793101">
        <w:rPr>
          <w:i/>
          <w:szCs w:val="16"/>
        </w:rPr>
        <w:t>Court Order Enforcement Act</w:t>
      </w:r>
      <w:r w:rsidRPr="00793101">
        <w:rPr>
          <w:szCs w:val="16"/>
        </w:rPr>
        <w:t xml:space="preserve">, </w:t>
      </w:r>
      <w:r w:rsidRPr="00793101">
        <w:rPr>
          <w:i/>
          <w:szCs w:val="16"/>
        </w:rPr>
        <w:t>supra</w:t>
      </w:r>
      <w:r w:rsidRPr="00793101">
        <w:rPr>
          <w:szCs w:val="16"/>
        </w:rPr>
        <w:t xml:space="preserve"> note </w:t>
      </w:r>
      <w:r>
        <w:fldChar w:fldCharType="begin"/>
      </w:r>
      <w:r>
        <w:instrText xml:space="preserve"> NOTEREF _Ref267057137 \h  \* MERGEFORMAT </w:instrText>
      </w:r>
      <w:r>
        <w:fldChar w:fldCharType="separate"/>
      </w:r>
      <w:r w:rsidRPr="00E045AC">
        <w:rPr>
          <w:szCs w:val="16"/>
        </w:rPr>
        <w:t>626</w:t>
      </w:r>
      <w:r>
        <w:fldChar w:fldCharType="end"/>
      </w:r>
      <w:r w:rsidRPr="00793101">
        <w:rPr>
          <w:szCs w:val="16"/>
        </w:rPr>
        <w:t>, s 29(1)(b);</w:t>
      </w:r>
      <w:r w:rsidRPr="00793101">
        <w:rPr>
          <w:szCs w:val="16"/>
          <w:lang w:val="en-US"/>
        </w:rPr>
        <w:t xml:space="preserve"> (PE) </w:t>
      </w:r>
      <w:r w:rsidRPr="00793101">
        <w:rPr>
          <w:i/>
          <w:szCs w:val="16"/>
          <w:lang w:val="en-US"/>
        </w:rPr>
        <w:t>Reciprocal Enforcement of Judgments Act</w:t>
      </w:r>
      <w:r w:rsidRPr="00793101">
        <w:rPr>
          <w:szCs w:val="16"/>
          <w:lang w:val="en-US"/>
        </w:rPr>
        <w:t xml:space="preserve">, </w:t>
      </w:r>
      <w:r w:rsidRPr="00793101">
        <w:rPr>
          <w:i/>
          <w:szCs w:val="16"/>
          <w:lang w:val="en-US"/>
        </w:rPr>
        <w:t>supra</w:t>
      </w:r>
      <w:r w:rsidRPr="00793101">
        <w:rPr>
          <w:szCs w:val="16"/>
          <w:lang w:val="en-US"/>
        </w:rPr>
        <w:t xml:space="preserve"> note </w:t>
      </w:r>
      <w:r>
        <w:fldChar w:fldCharType="begin"/>
      </w:r>
      <w:r>
        <w:instrText xml:space="preserve"> NOTEREF _Ref267057137 \h  \* MERGEFORMAT </w:instrText>
      </w:r>
      <w:r>
        <w:fldChar w:fldCharType="separate"/>
      </w:r>
      <w:r w:rsidRPr="00E045AC">
        <w:rPr>
          <w:szCs w:val="16"/>
          <w:lang w:val="en-US"/>
        </w:rPr>
        <w:t>626</w:t>
      </w:r>
      <w:r>
        <w:fldChar w:fldCharType="end"/>
      </w:r>
      <w:r w:rsidRPr="00793101">
        <w:rPr>
          <w:szCs w:val="16"/>
          <w:lang w:val="en-US"/>
        </w:rPr>
        <w:t>, s 2(1).</w:t>
      </w:r>
    </w:p>
  </w:footnote>
  <w:footnote w:id="629">
    <w:p w14:paraId="27761022" w14:textId="51D391C3"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Walker &amp; Castel, </w:t>
      </w:r>
      <w:r w:rsidRPr="00793101">
        <w:rPr>
          <w:i/>
          <w:szCs w:val="16"/>
        </w:rPr>
        <w:t>supra</w:t>
      </w:r>
      <w:r w:rsidRPr="00793101">
        <w:rPr>
          <w:szCs w:val="16"/>
        </w:rPr>
        <w:t xml:space="preserve"> note </w:t>
      </w:r>
      <w:r>
        <w:fldChar w:fldCharType="begin"/>
      </w:r>
      <w:r>
        <w:instrText xml:space="preserve"> NOTEREF _Ref267057078 \h  \* MERGEFORMAT </w:instrText>
      </w:r>
      <w:r>
        <w:fldChar w:fldCharType="separate"/>
      </w:r>
      <w:r w:rsidRPr="00E045AC">
        <w:rPr>
          <w:szCs w:val="16"/>
        </w:rPr>
        <w:t>604</w:t>
      </w:r>
      <w:r>
        <w:fldChar w:fldCharType="end"/>
      </w:r>
      <w:r w:rsidRPr="00793101">
        <w:rPr>
          <w:szCs w:val="16"/>
        </w:rPr>
        <w:t xml:space="preserve"> at para 14.23.</w:t>
      </w:r>
    </w:p>
  </w:footnote>
  <w:footnote w:id="630">
    <w:p w14:paraId="7755B85F" w14:textId="11CF55BE" w:rsidR="00356280" w:rsidRPr="00793101" w:rsidRDefault="00356280" w:rsidP="0040644D">
      <w:pPr>
        <w:pStyle w:val="FootnoteText"/>
        <w:spacing w:after="0" w:line="240" w:lineRule="auto"/>
        <w:rPr>
          <w:szCs w:val="16"/>
          <w:highlight w:val="green"/>
        </w:rPr>
      </w:pPr>
      <w:r w:rsidRPr="00793101">
        <w:rPr>
          <w:rStyle w:val="FootnoteReference"/>
          <w:szCs w:val="16"/>
        </w:rPr>
        <w:footnoteRef/>
      </w:r>
      <w:r w:rsidRPr="00793101">
        <w:rPr>
          <w:szCs w:val="16"/>
        </w:rPr>
        <w:t xml:space="preserve"> (NB) </w:t>
      </w:r>
      <w:r w:rsidRPr="00793101">
        <w:rPr>
          <w:i/>
          <w:szCs w:val="16"/>
          <w:lang w:val="en-US"/>
        </w:rPr>
        <w:t xml:space="preserve">Foreign Judgments </w:t>
      </w:r>
      <w:proofErr w:type="spellStart"/>
      <w:r w:rsidRPr="00793101">
        <w:rPr>
          <w:i/>
          <w:szCs w:val="16"/>
          <w:lang w:val="en-US"/>
        </w:rPr>
        <w:t>Act</w:t>
      </w:r>
      <w:r w:rsidRPr="00793101">
        <w:rPr>
          <w:szCs w:val="16"/>
          <w:lang w:val="en-US"/>
        </w:rPr>
        <w:t>,</w:t>
      </w:r>
      <w:r w:rsidRPr="00793101">
        <w:rPr>
          <w:i/>
          <w:szCs w:val="16"/>
          <w:lang w:val="en-US"/>
        </w:rPr>
        <w:t>supra</w:t>
      </w:r>
      <w:proofErr w:type="spellEnd"/>
      <w:r w:rsidRPr="00793101">
        <w:rPr>
          <w:szCs w:val="16"/>
          <w:lang w:val="en-US"/>
        </w:rPr>
        <w:t xml:space="preserve"> note </w:t>
      </w:r>
      <w:r>
        <w:fldChar w:fldCharType="begin"/>
      </w:r>
      <w:r>
        <w:instrText xml:space="preserve"> NOTEREF _Ref267057137 \h  \* MERGEFORMAT </w:instrText>
      </w:r>
      <w:r>
        <w:fldChar w:fldCharType="separate"/>
      </w:r>
      <w:r w:rsidRPr="00E045AC">
        <w:rPr>
          <w:szCs w:val="16"/>
          <w:lang w:val="en-US"/>
        </w:rPr>
        <w:t>626</w:t>
      </w:r>
      <w:r>
        <w:fldChar w:fldCharType="end"/>
      </w:r>
      <w:r w:rsidRPr="00793101">
        <w:rPr>
          <w:szCs w:val="16"/>
          <w:lang w:val="en-US"/>
        </w:rPr>
        <w:t xml:space="preserve">; (SK) </w:t>
      </w:r>
      <w:r w:rsidRPr="00793101">
        <w:rPr>
          <w:rFonts w:cs="Sabon-Roman"/>
          <w:i/>
          <w:color w:val="auto"/>
          <w:szCs w:val="16"/>
          <w:lang w:val="en-US" w:eastAsia="en-US"/>
        </w:rPr>
        <w:t>Enforcement of Foreign Judgments Act</w:t>
      </w:r>
      <w:r w:rsidRPr="00793101">
        <w:rPr>
          <w:rFonts w:cs="Sabon-Roman"/>
          <w:color w:val="auto"/>
          <w:szCs w:val="16"/>
          <w:lang w:val="en-US" w:eastAsia="en-US"/>
        </w:rPr>
        <w:t xml:space="preserve">, </w:t>
      </w:r>
      <w:r w:rsidRPr="00793101">
        <w:rPr>
          <w:i/>
          <w:szCs w:val="16"/>
        </w:rPr>
        <w:t>supra</w:t>
      </w:r>
      <w:r w:rsidRPr="00793101">
        <w:rPr>
          <w:szCs w:val="16"/>
        </w:rPr>
        <w:t xml:space="preserve"> note </w:t>
      </w:r>
      <w:r>
        <w:fldChar w:fldCharType="begin"/>
      </w:r>
      <w:r>
        <w:instrText xml:space="preserve"> NOTEREF _Ref267057137 \h  \* MERGEFORMAT </w:instrText>
      </w:r>
      <w:r>
        <w:fldChar w:fldCharType="separate"/>
      </w:r>
      <w:r w:rsidRPr="00E045AC">
        <w:rPr>
          <w:szCs w:val="16"/>
        </w:rPr>
        <w:t>626</w:t>
      </w:r>
      <w:r>
        <w:fldChar w:fldCharType="end"/>
      </w:r>
      <w:r w:rsidRPr="00793101">
        <w:rPr>
          <w:szCs w:val="16"/>
        </w:rPr>
        <w:t>.</w:t>
      </w:r>
    </w:p>
  </w:footnote>
  <w:footnote w:id="631">
    <w:p w14:paraId="2E8F146A"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Reciprocating Jurisdictions Regulation</w:t>
      </w:r>
      <w:r w:rsidRPr="00793101">
        <w:rPr>
          <w:szCs w:val="16"/>
        </w:rPr>
        <w:t>, Alta Reg 344/1985.</w:t>
      </w:r>
    </w:p>
  </w:footnote>
  <w:footnote w:id="632">
    <w:p w14:paraId="420F02BF"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Reciprocal Enforcement of Judgments Regulation</w:t>
      </w:r>
      <w:r w:rsidRPr="00793101">
        <w:rPr>
          <w:szCs w:val="16"/>
        </w:rPr>
        <w:t>, Man Reg 319/87 R.</w:t>
      </w:r>
    </w:p>
  </w:footnote>
  <w:footnote w:id="633">
    <w:p w14:paraId="54E923DD" w14:textId="77777777" w:rsidR="00356280" w:rsidRPr="00793101" w:rsidRDefault="00356280" w:rsidP="0040644D">
      <w:pPr>
        <w:pStyle w:val="FootnoteText"/>
        <w:spacing w:after="0" w:line="240" w:lineRule="auto"/>
        <w:rPr>
          <w:szCs w:val="16"/>
          <w:highlight w:val="green"/>
        </w:rPr>
      </w:pPr>
      <w:r w:rsidRPr="00793101">
        <w:rPr>
          <w:rStyle w:val="FootnoteReference"/>
          <w:szCs w:val="16"/>
        </w:rPr>
        <w:footnoteRef/>
      </w:r>
      <w:r w:rsidRPr="00793101">
        <w:rPr>
          <w:szCs w:val="16"/>
        </w:rPr>
        <w:t xml:space="preserve"> </w:t>
      </w:r>
      <w:r w:rsidRPr="00793101">
        <w:rPr>
          <w:i/>
          <w:szCs w:val="16"/>
        </w:rPr>
        <w:t>Reciprocating States Order</w:t>
      </w:r>
      <w:r w:rsidRPr="00793101">
        <w:rPr>
          <w:szCs w:val="16"/>
        </w:rPr>
        <w:t>, CNLR 790/96.</w:t>
      </w:r>
    </w:p>
  </w:footnote>
  <w:footnote w:id="634">
    <w:p w14:paraId="0F11C442" w14:textId="1160B40F" w:rsidR="00356280" w:rsidRPr="00793101" w:rsidRDefault="00356280" w:rsidP="0040644D">
      <w:pPr>
        <w:pStyle w:val="FootnoteText"/>
        <w:spacing w:after="0" w:line="240" w:lineRule="auto"/>
        <w:rPr>
          <w:szCs w:val="16"/>
          <w:highlight w:val="green"/>
          <w:lang w:val="en-US"/>
        </w:rPr>
      </w:pPr>
      <w:r w:rsidRPr="00793101">
        <w:rPr>
          <w:rStyle w:val="FootnoteReference"/>
          <w:szCs w:val="16"/>
        </w:rPr>
        <w:footnoteRef/>
      </w:r>
      <w:r w:rsidRPr="00793101">
        <w:rPr>
          <w:szCs w:val="16"/>
        </w:rPr>
        <w:t xml:space="preserve"> </w:t>
      </w:r>
      <w:r w:rsidRPr="00793101">
        <w:rPr>
          <w:rStyle w:val="reference"/>
          <w:i/>
          <w:szCs w:val="16"/>
        </w:rPr>
        <w:t>Proclamation Giving Notice of the Coming into Force of Canada-United Kingdom Convention Respecting Judgments in Civil and Commercial Matters</w:t>
      </w:r>
      <w:r w:rsidRPr="00793101">
        <w:rPr>
          <w:rStyle w:val="reference"/>
          <w:szCs w:val="16"/>
        </w:rPr>
        <w:t xml:space="preserve">, </w:t>
      </w:r>
      <w:r w:rsidRPr="00793101">
        <w:rPr>
          <w:rStyle w:val="reference"/>
          <w:i/>
          <w:szCs w:val="16"/>
        </w:rPr>
        <w:t>supra</w:t>
      </w:r>
      <w:r w:rsidRPr="00793101">
        <w:rPr>
          <w:rStyle w:val="reference"/>
          <w:szCs w:val="16"/>
        </w:rPr>
        <w:t xml:space="preserve"> note </w:t>
      </w:r>
      <w:r>
        <w:fldChar w:fldCharType="begin"/>
      </w:r>
      <w:r>
        <w:instrText xml:space="preserve"> NOTEREF _Ref267057244 \h  \* MERGEFORMAT </w:instrText>
      </w:r>
      <w:r>
        <w:fldChar w:fldCharType="separate"/>
      </w:r>
      <w:r w:rsidRPr="00E045AC">
        <w:rPr>
          <w:rStyle w:val="reference"/>
          <w:szCs w:val="16"/>
        </w:rPr>
        <w:t>627</w:t>
      </w:r>
      <w:r>
        <w:fldChar w:fldCharType="end"/>
      </w:r>
      <w:r w:rsidRPr="00793101">
        <w:rPr>
          <w:rStyle w:val="reference"/>
          <w:szCs w:val="16"/>
        </w:rPr>
        <w:t xml:space="preserve">. </w:t>
      </w:r>
    </w:p>
  </w:footnote>
  <w:footnote w:id="635">
    <w:p w14:paraId="37A2CBD4" w14:textId="7E44694A"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rFonts w:cs="Sabon-Roman"/>
          <w:color w:val="auto"/>
          <w:szCs w:val="16"/>
          <w:lang w:val="en-US" w:eastAsia="en-US"/>
        </w:rPr>
        <w:t xml:space="preserve">See e.g. </w:t>
      </w:r>
      <w:r w:rsidRPr="00793101">
        <w:rPr>
          <w:rStyle w:val="name"/>
          <w:i/>
          <w:szCs w:val="16"/>
        </w:rPr>
        <w:t>Canada-United Kingdom Civil and Commercial Judgments Convention Act</w:t>
      </w:r>
      <w:r w:rsidRPr="00793101">
        <w:rPr>
          <w:szCs w:val="16"/>
        </w:rPr>
        <w:t>,</w:t>
      </w:r>
      <w:r w:rsidRPr="00793101">
        <w:rPr>
          <w:i/>
          <w:szCs w:val="16"/>
        </w:rPr>
        <w:t xml:space="preserve"> supra</w:t>
      </w:r>
      <w:r w:rsidRPr="00793101">
        <w:rPr>
          <w:szCs w:val="16"/>
        </w:rPr>
        <w:t xml:space="preserve"> note </w:t>
      </w:r>
      <w:r>
        <w:fldChar w:fldCharType="begin"/>
      </w:r>
      <w:r>
        <w:instrText xml:space="preserve"> NOTEREF _Ref267057244 \h  \* MERGEFORMAT </w:instrText>
      </w:r>
      <w:r>
        <w:fldChar w:fldCharType="separate"/>
      </w:r>
      <w:r w:rsidRPr="00E045AC">
        <w:rPr>
          <w:szCs w:val="16"/>
        </w:rPr>
        <w:t>627</w:t>
      </w:r>
      <w:r>
        <w:fldChar w:fldCharType="end"/>
      </w:r>
      <w:r w:rsidRPr="00793101">
        <w:rPr>
          <w:rStyle w:val="reference"/>
          <w:szCs w:val="16"/>
        </w:rPr>
        <w:t xml:space="preserve">; </w:t>
      </w:r>
      <w:r w:rsidRPr="00793101">
        <w:rPr>
          <w:i/>
          <w:szCs w:val="16"/>
        </w:rPr>
        <w:t>Reciprocal Enforcement of Judgments (UK) Act</w:t>
      </w:r>
      <w:r w:rsidRPr="00793101">
        <w:rPr>
          <w:szCs w:val="16"/>
        </w:rPr>
        <w:t>, RSO 1990, c R6.</w:t>
      </w:r>
    </w:p>
  </w:footnote>
  <w:footnote w:id="636">
    <w:p w14:paraId="7B72522A"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schedule art III.</w:t>
      </w:r>
    </w:p>
  </w:footnote>
  <w:footnote w:id="637">
    <w:p w14:paraId="6BC70067"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art II, 3.</w:t>
      </w:r>
    </w:p>
  </w:footnote>
  <w:footnote w:id="638">
    <w:p w14:paraId="4C676607"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art II, 4.</w:t>
      </w:r>
    </w:p>
  </w:footnote>
  <w:footnote w:id="639">
    <w:p w14:paraId="35C20910" w14:textId="041C76CF"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(NB) </w:t>
      </w:r>
      <w:r w:rsidRPr="00793101">
        <w:rPr>
          <w:i/>
          <w:szCs w:val="16"/>
        </w:rPr>
        <w:t>Foreign Judgments Act</w:t>
      </w:r>
      <w:r w:rsidRPr="00793101">
        <w:rPr>
          <w:szCs w:val="16"/>
        </w:rPr>
        <w:t xml:space="preserve">, </w:t>
      </w:r>
      <w:r w:rsidRPr="00793101">
        <w:rPr>
          <w:i/>
          <w:szCs w:val="16"/>
        </w:rPr>
        <w:t xml:space="preserve">supra </w:t>
      </w:r>
      <w:r w:rsidRPr="00793101">
        <w:rPr>
          <w:szCs w:val="16"/>
        </w:rPr>
        <w:t xml:space="preserve">note </w:t>
      </w:r>
      <w:r>
        <w:fldChar w:fldCharType="begin"/>
      </w:r>
      <w:r>
        <w:instrText xml:space="preserve"> NOTEREF _Ref267057137 \h  \* MERGEFORMAT </w:instrText>
      </w:r>
      <w:r>
        <w:fldChar w:fldCharType="separate"/>
      </w:r>
      <w:r w:rsidRPr="00E045AC">
        <w:rPr>
          <w:szCs w:val="16"/>
        </w:rPr>
        <w:t>626</w:t>
      </w:r>
      <w:r>
        <w:fldChar w:fldCharType="end"/>
      </w:r>
      <w:r w:rsidRPr="00793101">
        <w:rPr>
          <w:szCs w:val="16"/>
        </w:rPr>
        <w:t>, s 2.</w:t>
      </w:r>
    </w:p>
  </w:footnote>
  <w:footnote w:id="640">
    <w:p w14:paraId="6FE28194" w14:textId="3C48799E"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(SK) </w:t>
      </w:r>
      <w:r w:rsidRPr="00793101">
        <w:rPr>
          <w:rFonts w:cs="Sabon-Roman"/>
          <w:i/>
          <w:color w:val="auto"/>
          <w:szCs w:val="16"/>
          <w:lang w:val="en-US" w:eastAsia="en-US"/>
        </w:rPr>
        <w:t>Enforcement of Foreign Judgments Act</w:t>
      </w:r>
      <w:r w:rsidRPr="00793101">
        <w:rPr>
          <w:rFonts w:cs="Sabon-Roman"/>
          <w:color w:val="auto"/>
          <w:szCs w:val="16"/>
          <w:lang w:val="en-US" w:eastAsia="en-US"/>
        </w:rPr>
        <w:t xml:space="preserve">, </w:t>
      </w:r>
      <w:r w:rsidRPr="00793101">
        <w:rPr>
          <w:rFonts w:cs="Sabon-Roman"/>
          <w:i/>
          <w:color w:val="auto"/>
          <w:szCs w:val="16"/>
          <w:lang w:val="en-US" w:eastAsia="en-US"/>
        </w:rPr>
        <w:t xml:space="preserve">supra </w:t>
      </w:r>
      <w:r w:rsidRPr="00793101">
        <w:rPr>
          <w:rFonts w:cs="Sabon-Roman"/>
          <w:color w:val="auto"/>
          <w:szCs w:val="16"/>
          <w:lang w:val="en-US" w:eastAsia="en-US"/>
        </w:rPr>
        <w:t xml:space="preserve">note </w:t>
      </w:r>
      <w:r>
        <w:fldChar w:fldCharType="begin"/>
      </w:r>
      <w:r>
        <w:instrText xml:space="preserve"> NOTEREF _Ref267057137 \h  \* MERGEFORMAT </w:instrText>
      </w:r>
      <w:r>
        <w:fldChar w:fldCharType="separate"/>
      </w:r>
      <w:r w:rsidRPr="00E045AC">
        <w:rPr>
          <w:rFonts w:cs="Sabon-Roman"/>
          <w:color w:val="auto"/>
          <w:szCs w:val="16"/>
          <w:lang w:val="en-US" w:eastAsia="en-US"/>
        </w:rPr>
        <w:t>626</w:t>
      </w:r>
      <w:r>
        <w:fldChar w:fldCharType="end"/>
      </w:r>
      <w:r w:rsidRPr="00793101">
        <w:rPr>
          <w:rFonts w:cs="Sabon-Roman"/>
          <w:color w:val="auto"/>
          <w:szCs w:val="16"/>
          <w:lang w:val="en-US" w:eastAsia="en-US"/>
        </w:rPr>
        <w:t xml:space="preserve">. </w:t>
      </w:r>
    </w:p>
  </w:footnote>
  <w:footnote w:id="641">
    <w:p w14:paraId="5F91F1A4" w14:textId="77777777"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r w:rsidRPr="00FD1463">
        <w:rPr>
          <w:i/>
          <w:szCs w:val="16"/>
          <w:lang w:val="es-AR"/>
        </w:rPr>
        <w:t xml:space="preserve">Van Breda v </w:t>
      </w:r>
      <w:proofErr w:type="spellStart"/>
      <w:r w:rsidRPr="00FD1463">
        <w:rPr>
          <w:i/>
          <w:szCs w:val="16"/>
          <w:lang w:val="es-AR"/>
        </w:rPr>
        <w:t>Village</w:t>
      </w:r>
      <w:proofErr w:type="spellEnd"/>
      <w:r w:rsidRPr="00FD1463">
        <w:rPr>
          <w:i/>
          <w:szCs w:val="16"/>
          <w:lang w:val="es-AR"/>
        </w:rPr>
        <w:t xml:space="preserve"> Resorts </w:t>
      </w:r>
      <w:proofErr w:type="spellStart"/>
      <w:r w:rsidRPr="00FD1463">
        <w:rPr>
          <w:i/>
          <w:szCs w:val="16"/>
          <w:lang w:val="es-AR"/>
        </w:rPr>
        <w:t>Limited</w:t>
      </w:r>
      <w:proofErr w:type="spellEnd"/>
      <w:r w:rsidRPr="00FD1463">
        <w:rPr>
          <w:szCs w:val="16"/>
          <w:lang w:val="es-AR"/>
        </w:rPr>
        <w:t>, 2012 SCC 17, [2012] 1 SCR 572, SCJ No 17 [</w:t>
      </w:r>
      <w:r w:rsidRPr="00FD1463">
        <w:rPr>
          <w:i/>
          <w:szCs w:val="16"/>
          <w:lang w:val="es-AR"/>
        </w:rPr>
        <w:t>Van Breda</w:t>
      </w:r>
      <w:r w:rsidRPr="00FD1463">
        <w:rPr>
          <w:szCs w:val="16"/>
          <w:lang w:val="es-AR"/>
        </w:rPr>
        <w:t>] at para 79.</w:t>
      </w:r>
    </w:p>
  </w:footnote>
  <w:footnote w:id="642">
    <w:p w14:paraId="7CF0098D" w14:textId="0189D75C"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r w:rsidRPr="00FD1463">
        <w:rPr>
          <w:i/>
          <w:szCs w:val="16"/>
          <w:lang w:val="es-AR"/>
        </w:rPr>
        <w:t xml:space="preserve">Beals, supra </w:t>
      </w:r>
      <w:r w:rsidRPr="00FD1463">
        <w:rPr>
          <w:szCs w:val="16"/>
          <w:lang w:val="es-AR"/>
        </w:rPr>
        <w:t xml:space="preserve">note </w:t>
      </w:r>
      <w:r>
        <w:fldChar w:fldCharType="begin"/>
      </w:r>
      <w:r w:rsidRPr="00FD1463">
        <w:rPr>
          <w:lang w:val="es-AR"/>
        </w:rPr>
        <w:instrText xml:space="preserve"> NOTEREF _Ref267057309 \h  \* MERGEFORMAT </w:instrText>
      </w:r>
      <w:r>
        <w:fldChar w:fldCharType="separate"/>
      </w:r>
      <w:r w:rsidRPr="00E045AC">
        <w:rPr>
          <w:szCs w:val="16"/>
          <w:lang w:val="es-AR"/>
        </w:rPr>
        <w:t>621</w:t>
      </w:r>
      <w:r>
        <w:fldChar w:fldCharType="end"/>
      </w:r>
      <w:r w:rsidRPr="00FD1463">
        <w:rPr>
          <w:i/>
          <w:szCs w:val="16"/>
          <w:lang w:val="es-AR"/>
        </w:rPr>
        <w:t xml:space="preserve">. </w:t>
      </w:r>
    </w:p>
  </w:footnote>
  <w:footnote w:id="643">
    <w:p w14:paraId="1FAB526C" w14:textId="77777777"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r w:rsidRPr="00FD1463">
        <w:rPr>
          <w:i/>
          <w:szCs w:val="16"/>
          <w:lang w:val="es-AR"/>
        </w:rPr>
        <w:t>Ibid.</w:t>
      </w:r>
    </w:p>
  </w:footnote>
  <w:footnote w:id="644">
    <w:p w14:paraId="0A85B7CE" w14:textId="45D1B137"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r w:rsidRPr="00FD1463">
        <w:rPr>
          <w:i/>
          <w:szCs w:val="16"/>
          <w:lang w:val="es-AR"/>
        </w:rPr>
        <w:t>Van Breda, supra</w:t>
      </w:r>
      <w:r w:rsidRPr="00FD1463">
        <w:rPr>
          <w:szCs w:val="16"/>
          <w:lang w:val="es-AR"/>
        </w:rPr>
        <w:t xml:space="preserve"> note </w:t>
      </w:r>
      <w:r>
        <w:fldChar w:fldCharType="begin"/>
      </w:r>
      <w:r w:rsidRPr="00FD1463">
        <w:rPr>
          <w:lang w:val="es-AR"/>
        </w:rPr>
        <w:instrText xml:space="preserve"> NOTEREF _Ref267057360 \h  \* MERGEFORMAT </w:instrText>
      </w:r>
      <w:r>
        <w:fldChar w:fldCharType="separate"/>
      </w:r>
      <w:r w:rsidRPr="00E045AC">
        <w:rPr>
          <w:szCs w:val="16"/>
          <w:lang w:val="es-AR"/>
        </w:rPr>
        <w:t>641</w:t>
      </w:r>
      <w:r>
        <w:fldChar w:fldCharType="end"/>
      </w:r>
      <w:r w:rsidRPr="00FD1463">
        <w:rPr>
          <w:szCs w:val="16"/>
          <w:lang w:val="es-AR"/>
        </w:rPr>
        <w:t xml:space="preserve"> at para 34.</w:t>
      </w:r>
    </w:p>
  </w:footnote>
  <w:footnote w:id="645">
    <w:p w14:paraId="46E900A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Ibid</w:t>
      </w:r>
      <w:r w:rsidRPr="00793101">
        <w:rPr>
          <w:szCs w:val="16"/>
          <w:lang w:val="en-US"/>
        </w:rPr>
        <w:t xml:space="preserve"> at para 82.</w:t>
      </w:r>
    </w:p>
  </w:footnote>
  <w:footnote w:id="646">
    <w:p w14:paraId="73CABD96"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at para 90.</w:t>
      </w:r>
    </w:p>
  </w:footnote>
  <w:footnote w:id="647">
    <w:p w14:paraId="43D8292A"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w:t>
      </w:r>
      <w:r w:rsidRPr="00793101">
        <w:rPr>
          <w:i/>
          <w:szCs w:val="16"/>
        </w:rPr>
        <w:t xml:space="preserve"> </w:t>
      </w:r>
    </w:p>
  </w:footnote>
  <w:footnote w:id="648">
    <w:p w14:paraId="56B00BE5" w14:textId="20EBCA5D"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lang w:val="en-US"/>
        </w:rPr>
        <w:t xml:space="preserve"> See </w:t>
      </w:r>
      <w:proofErr w:type="spellStart"/>
      <w:r w:rsidRPr="00793101">
        <w:rPr>
          <w:i/>
          <w:szCs w:val="16"/>
        </w:rPr>
        <w:t>Bouzari</w:t>
      </w:r>
      <w:proofErr w:type="spellEnd"/>
      <w:r w:rsidRPr="00793101">
        <w:rPr>
          <w:i/>
          <w:szCs w:val="16"/>
        </w:rPr>
        <w:t xml:space="preserve">, supra </w:t>
      </w:r>
      <w:r w:rsidRPr="00793101">
        <w:rPr>
          <w:szCs w:val="16"/>
        </w:rPr>
        <w:t xml:space="preserve">note </w:t>
      </w:r>
      <w:r>
        <w:fldChar w:fldCharType="begin"/>
      </w:r>
      <w:r>
        <w:instrText xml:space="preserve"> NOTEREF _Ref267057386 \h  \* MERGEFORMAT </w:instrText>
      </w:r>
      <w:r>
        <w:fldChar w:fldCharType="separate"/>
      </w:r>
      <w:r w:rsidRPr="00E045AC">
        <w:rPr>
          <w:szCs w:val="16"/>
        </w:rPr>
        <w:t>397</w:t>
      </w:r>
      <w:r>
        <w:fldChar w:fldCharType="end"/>
      </w:r>
      <w:r w:rsidRPr="00793101">
        <w:rPr>
          <w:szCs w:val="16"/>
        </w:rPr>
        <w:t xml:space="preserve"> at paras</w:t>
      </w:r>
      <w:r w:rsidRPr="00793101">
        <w:rPr>
          <w:i/>
          <w:szCs w:val="16"/>
        </w:rPr>
        <w:t xml:space="preserve"> </w:t>
      </w:r>
      <w:r w:rsidRPr="00793101">
        <w:rPr>
          <w:szCs w:val="16"/>
        </w:rPr>
        <w:t xml:space="preserve">36-38; </w:t>
      </w:r>
      <w:r w:rsidRPr="00793101">
        <w:rPr>
          <w:i/>
          <w:szCs w:val="16"/>
        </w:rPr>
        <w:t xml:space="preserve">Van Breda, supra </w:t>
      </w:r>
      <w:r w:rsidRPr="00793101">
        <w:rPr>
          <w:szCs w:val="16"/>
        </w:rPr>
        <w:t xml:space="preserve">note </w:t>
      </w:r>
      <w:r>
        <w:fldChar w:fldCharType="begin"/>
      </w:r>
      <w:r>
        <w:instrText xml:space="preserve"> NOTEREF _Ref267057360 \h  \* MERGEFORMAT </w:instrText>
      </w:r>
      <w:r>
        <w:fldChar w:fldCharType="separate"/>
      </w:r>
      <w:r w:rsidRPr="00E045AC">
        <w:rPr>
          <w:szCs w:val="16"/>
          <w:lang w:val="en-US"/>
        </w:rPr>
        <w:t>641</w:t>
      </w:r>
      <w:r>
        <w:fldChar w:fldCharType="end"/>
      </w:r>
      <w:r w:rsidRPr="00793101">
        <w:rPr>
          <w:i/>
          <w:szCs w:val="16"/>
        </w:rPr>
        <w:t xml:space="preserve"> </w:t>
      </w:r>
      <w:r w:rsidRPr="00793101">
        <w:rPr>
          <w:szCs w:val="16"/>
        </w:rPr>
        <w:t>(Sharpe, JA)</w:t>
      </w:r>
      <w:r w:rsidRPr="00793101">
        <w:rPr>
          <w:szCs w:val="16"/>
          <w:lang w:val="en-US"/>
        </w:rPr>
        <w:t>.</w:t>
      </w:r>
    </w:p>
  </w:footnote>
  <w:footnote w:id="649">
    <w:p w14:paraId="3AC52FA7"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at para 100; see also </w:t>
      </w:r>
      <w:r w:rsidRPr="00793101">
        <w:rPr>
          <w:i/>
          <w:szCs w:val="16"/>
        </w:rPr>
        <w:t xml:space="preserve">Fewer v </w:t>
      </w:r>
      <w:proofErr w:type="spellStart"/>
      <w:r w:rsidRPr="00793101">
        <w:rPr>
          <w:i/>
          <w:szCs w:val="16"/>
        </w:rPr>
        <w:t>Sayisi</w:t>
      </w:r>
      <w:proofErr w:type="spellEnd"/>
      <w:r w:rsidRPr="00793101">
        <w:rPr>
          <w:i/>
          <w:szCs w:val="16"/>
        </w:rPr>
        <w:t xml:space="preserve"> Dene Education Authority</w:t>
      </w:r>
      <w:r w:rsidRPr="00793101">
        <w:rPr>
          <w:szCs w:val="16"/>
        </w:rPr>
        <w:t>, [2011] NJ No 60, 2011 NLCA 17 (CW White, JA) at para 46-47.</w:t>
      </w:r>
    </w:p>
  </w:footnote>
  <w:footnote w:id="650">
    <w:p w14:paraId="39C1DCE1" w14:textId="0CC09B6D"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Civil Code of Quebec</w:t>
      </w:r>
      <w:r w:rsidRPr="00793101">
        <w:rPr>
          <w:szCs w:val="16"/>
          <w:lang w:val="en-US"/>
        </w:rPr>
        <w:t xml:space="preserve">, supra note </w:t>
      </w:r>
      <w:r>
        <w:fldChar w:fldCharType="begin"/>
      </w:r>
      <w:r>
        <w:instrText xml:space="preserve"> NOTEREF _Ref267057522 \h  \* MERGEFORMAT </w:instrText>
      </w:r>
      <w:r>
        <w:fldChar w:fldCharType="separate"/>
      </w:r>
      <w:r w:rsidRPr="00E045AC">
        <w:rPr>
          <w:szCs w:val="16"/>
          <w:lang w:val="en-US"/>
        </w:rPr>
        <w:t>603</w:t>
      </w:r>
      <w:r>
        <w:fldChar w:fldCharType="end"/>
      </w:r>
      <w:r w:rsidRPr="00793101">
        <w:rPr>
          <w:szCs w:val="16"/>
          <w:lang w:val="en-US"/>
        </w:rPr>
        <w:t>, art 3155.</w:t>
      </w:r>
    </w:p>
  </w:footnote>
  <w:footnote w:id="651">
    <w:p w14:paraId="5D437AF4"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art 3158.</w:t>
      </w:r>
    </w:p>
  </w:footnote>
  <w:footnote w:id="652">
    <w:p w14:paraId="00D0CCF8"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art 3156.</w:t>
      </w:r>
    </w:p>
  </w:footnote>
  <w:footnote w:id="653">
    <w:p w14:paraId="6553EFE7"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art 3155(4).</w:t>
      </w:r>
    </w:p>
  </w:footnote>
  <w:footnote w:id="654">
    <w:p w14:paraId="60275865"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art 3155(2).</w:t>
      </w:r>
    </w:p>
  </w:footnote>
  <w:footnote w:id="655">
    <w:p w14:paraId="6076FA13"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art 3155(3).</w:t>
      </w:r>
    </w:p>
  </w:footnote>
  <w:footnote w:id="656">
    <w:p w14:paraId="4F648D82"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art 3155(5).</w:t>
      </w:r>
    </w:p>
  </w:footnote>
  <w:footnote w:id="657">
    <w:p w14:paraId="5F958F90"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lang w:val="en-US"/>
        </w:rPr>
        <w:t xml:space="preserve"> art 3136.</w:t>
      </w:r>
    </w:p>
  </w:footnote>
  <w:footnote w:id="658">
    <w:p w14:paraId="07B17144"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specifically, Book Ten, Title Three: International Jurisdiction of Quebec Authorities (arts 3134-3154).</w:t>
      </w:r>
    </w:p>
  </w:footnote>
  <w:footnote w:id="659">
    <w:p w14:paraId="3D52EB09"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art 3164.</w:t>
      </w:r>
    </w:p>
  </w:footnote>
  <w:footnote w:id="660">
    <w:p w14:paraId="310F8DF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art 3134.</w:t>
      </w:r>
    </w:p>
  </w:footnote>
  <w:footnote w:id="661">
    <w:p w14:paraId="3CC6F4F5"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art 3079.</w:t>
      </w:r>
    </w:p>
  </w:footnote>
  <w:footnote w:id="662">
    <w:p w14:paraId="37B030DF"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art 3136.</w:t>
      </w:r>
    </w:p>
  </w:footnote>
  <w:footnote w:id="663">
    <w:p w14:paraId="7D4FBAFE" w14:textId="20C8497D"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 xml:space="preserve">Van Breda, supra </w:t>
      </w:r>
      <w:r w:rsidRPr="00793101">
        <w:rPr>
          <w:szCs w:val="16"/>
        </w:rPr>
        <w:t xml:space="preserve">note </w:t>
      </w:r>
      <w:r>
        <w:fldChar w:fldCharType="begin"/>
      </w:r>
      <w:r>
        <w:instrText xml:space="preserve"> NOTEREF _Ref267057323 \h  \* MERGEFORMAT </w:instrText>
      </w:r>
      <w:r>
        <w:fldChar w:fldCharType="separate"/>
      </w:r>
      <w:r w:rsidRPr="00E045AC">
        <w:rPr>
          <w:szCs w:val="16"/>
        </w:rPr>
        <w:t>643</w:t>
      </w:r>
      <w:r>
        <w:fldChar w:fldCharType="end"/>
      </w:r>
      <w:r w:rsidRPr="00793101">
        <w:rPr>
          <w:szCs w:val="16"/>
        </w:rPr>
        <w:t xml:space="preserve"> at para 54; see also Janet Walker, “</w:t>
      </w:r>
      <w:proofErr w:type="spellStart"/>
      <w:r w:rsidRPr="00793101">
        <w:rPr>
          <w:szCs w:val="16"/>
        </w:rPr>
        <w:t>Muscutt</w:t>
      </w:r>
      <w:proofErr w:type="spellEnd"/>
      <w:r w:rsidRPr="00793101">
        <w:rPr>
          <w:szCs w:val="16"/>
        </w:rPr>
        <w:t xml:space="preserve"> Misplaced: The Future of Forum of Necessity Jurisdiction in Canada” (2009) 48 CBLJ 135.</w:t>
      </w:r>
    </w:p>
  </w:footnote>
  <w:footnote w:id="664">
    <w:p w14:paraId="76C59642"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See </w:t>
      </w:r>
      <w:proofErr w:type="gramStart"/>
      <w:r w:rsidRPr="00793101">
        <w:rPr>
          <w:i/>
          <w:szCs w:val="16"/>
        </w:rPr>
        <w:t>An</w:t>
      </w:r>
      <w:proofErr w:type="gramEnd"/>
      <w:r w:rsidRPr="00793101">
        <w:rPr>
          <w:i/>
          <w:szCs w:val="16"/>
        </w:rPr>
        <w:t xml:space="preserve"> Act to secure the carrying out of the Entente between France and Québec respecting mutual aid in judicial matters</w:t>
      </w:r>
      <w:r w:rsidRPr="00793101">
        <w:rPr>
          <w:szCs w:val="16"/>
        </w:rPr>
        <w:t>, RSQ, c A-20.1.</w:t>
      </w:r>
    </w:p>
  </w:footnote>
  <w:footnote w:id="665">
    <w:p w14:paraId="15226913"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rStyle w:val="tightinline"/>
          <w:szCs w:val="16"/>
        </w:rPr>
        <w:t>Online: Canada Treaty Information &lt;http://www.treaty-accord.gc.ca&gt;.</w:t>
      </w:r>
    </w:p>
  </w:footnote>
  <w:footnote w:id="666">
    <w:p w14:paraId="6425C48F" w14:textId="32EE934F"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Mutual Legal Assistance in Criminal Matters Act</w:t>
      </w:r>
      <w:r w:rsidRPr="00793101">
        <w:rPr>
          <w:szCs w:val="16"/>
        </w:rPr>
        <w:t xml:space="preserve">, </w:t>
      </w:r>
      <w:r w:rsidRPr="00793101">
        <w:rPr>
          <w:i/>
          <w:szCs w:val="16"/>
        </w:rPr>
        <w:t xml:space="preserve">supra </w:t>
      </w:r>
      <w:r w:rsidRPr="00793101">
        <w:rPr>
          <w:szCs w:val="16"/>
        </w:rPr>
        <w:t xml:space="preserve">note </w:t>
      </w:r>
      <w:r>
        <w:fldChar w:fldCharType="begin"/>
      </w:r>
      <w:r>
        <w:instrText xml:space="preserve"> NOTEREF _Ref267056927 \h  \* MERGEFORMAT </w:instrText>
      </w:r>
      <w:r>
        <w:fldChar w:fldCharType="separate"/>
      </w:r>
      <w:r w:rsidRPr="00E045AC">
        <w:rPr>
          <w:szCs w:val="16"/>
        </w:rPr>
        <w:t>594</w:t>
      </w:r>
      <w:r>
        <w:fldChar w:fldCharType="end"/>
      </w:r>
      <w:r w:rsidRPr="00793101">
        <w:rPr>
          <w:szCs w:val="16"/>
        </w:rPr>
        <w:t>, s 46(1) and (2).</w:t>
      </w:r>
    </w:p>
  </w:footnote>
  <w:footnote w:id="667">
    <w:p w14:paraId="17F286CE" w14:textId="77777777" w:rsidR="00356280" w:rsidRPr="00793101" w:rsidRDefault="00356280" w:rsidP="0040644D">
      <w:pPr>
        <w:pStyle w:val="FootnoteText"/>
        <w:spacing w:after="0" w:line="240" w:lineRule="auto"/>
        <w:rPr>
          <w:szCs w:val="16"/>
          <w:lang w:val="en-CA"/>
        </w:rPr>
      </w:pPr>
      <w:r w:rsidRPr="00793101">
        <w:rPr>
          <w:rStyle w:val="FootnoteReference"/>
          <w:szCs w:val="16"/>
        </w:rPr>
        <w:footnoteRef/>
      </w:r>
      <w:r w:rsidRPr="00793101">
        <w:rPr>
          <w:szCs w:val="16"/>
        </w:rPr>
        <w:t xml:space="preserve"> </w:t>
      </w:r>
      <w:r w:rsidRPr="00793101">
        <w:rPr>
          <w:i/>
          <w:szCs w:val="16"/>
        </w:rPr>
        <w:t>Ibid</w:t>
      </w:r>
      <w:r w:rsidRPr="00793101">
        <w:rPr>
          <w:szCs w:val="16"/>
        </w:rPr>
        <w:t>, s 47(a).</w:t>
      </w:r>
    </w:p>
  </w:footnote>
  <w:footnote w:id="668">
    <w:p w14:paraId="4E2A530B"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 s 6.</w:t>
      </w:r>
    </w:p>
  </w:footnote>
  <w:footnote w:id="669">
    <w:p w14:paraId="48C0AE67"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r w:rsidRPr="00793101">
        <w:rPr>
          <w:szCs w:val="16"/>
          <w:lang w:val="en-US"/>
        </w:rPr>
        <w:t>s 6(2).</w:t>
      </w:r>
    </w:p>
  </w:footnote>
  <w:footnote w:id="670">
    <w:p w14:paraId="22EF845B"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Ibid</w:t>
      </w:r>
      <w:r w:rsidRPr="00793101">
        <w:rPr>
          <w:szCs w:val="16"/>
          <w:lang w:val="en-US"/>
        </w:rPr>
        <w:t>, s 6(2).</w:t>
      </w:r>
    </w:p>
  </w:footnote>
  <w:footnote w:id="671">
    <w:p w14:paraId="59B54FDA"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szCs w:val="16"/>
        </w:rPr>
        <w:t>Ibid</w:t>
      </w:r>
      <w:r w:rsidRPr="00793101">
        <w:rPr>
          <w:szCs w:val="16"/>
        </w:rPr>
        <w:t>.</w:t>
      </w:r>
      <w:r w:rsidRPr="00793101">
        <w:rPr>
          <w:i/>
          <w:szCs w:val="16"/>
        </w:rPr>
        <w:t xml:space="preserve">  </w:t>
      </w:r>
      <w:r w:rsidRPr="00793101">
        <w:rPr>
          <w:szCs w:val="16"/>
        </w:rPr>
        <w:t xml:space="preserve">See also: </w:t>
      </w:r>
      <w:r w:rsidRPr="00793101">
        <w:rPr>
          <w:i/>
          <w:szCs w:val="16"/>
        </w:rPr>
        <w:t>Canada’s Crimes Against Humanity and War Crimes Act</w:t>
      </w:r>
      <w:r w:rsidRPr="00793101">
        <w:rPr>
          <w:szCs w:val="16"/>
        </w:rPr>
        <w:t>, online: Foreign Affairs, Trade and Development Canada &lt;www.international.gc.ca/court-cour/war-crimes-guerres.aspx?view=d &gt;.</w:t>
      </w:r>
    </w:p>
  </w:footnote>
  <w:footnote w:id="672">
    <w:p w14:paraId="1BC55243" w14:textId="690F2671" w:rsidR="00356280" w:rsidRPr="00793101" w:rsidRDefault="00356280" w:rsidP="00475A37">
      <w:pPr>
        <w:pStyle w:val="FootnoteText"/>
        <w:spacing w:after="0" w:line="240" w:lineRule="auto"/>
        <w:rPr>
          <w:szCs w:val="16"/>
        </w:rPr>
      </w:pPr>
      <w:r w:rsidRPr="00793101">
        <w:rPr>
          <w:rStyle w:val="FootnoteReference"/>
          <w:szCs w:val="16"/>
        </w:rPr>
        <w:footnoteRef/>
      </w:r>
      <w:r w:rsidRPr="00793101">
        <w:rPr>
          <w:szCs w:val="16"/>
        </w:rPr>
        <w:t xml:space="preserve"> </w:t>
      </w:r>
      <w:r>
        <w:rPr>
          <w:szCs w:val="16"/>
        </w:rPr>
        <w:t>Crimes under international law are not subject to amnesties or similar measures of impunity</w:t>
      </w:r>
      <w:r w:rsidRPr="00793101">
        <w:rPr>
          <w:szCs w:val="16"/>
        </w:rPr>
        <w:t xml:space="preserve"> has emerged in international jurisprudence; see </w:t>
      </w:r>
      <w:r w:rsidRPr="00793101">
        <w:rPr>
          <w:i/>
          <w:szCs w:val="16"/>
        </w:rPr>
        <w:t>Barrios Altos, supra</w:t>
      </w:r>
      <w:r w:rsidRPr="00793101">
        <w:rPr>
          <w:szCs w:val="16"/>
        </w:rPr>
        <w:t xml:space="preserve"> note </w:t>
      </w:r>
      <w:r>
        <w:fldChar w:fldCharType="begin"/>
      </w:r>
      <w:r>
        <w:instrText xml:space="preserve"> NOTEREF _Ref267054697 \h  \* MERGEFORMAT </w:instrText>
      </w:r>
      <w:r>
        <w:fldChar w:fldCharType="separate"/>
      </w:r>
      <w:r w:rsidRPr="00E045AC">
        <w:rPr>
          <w:szCs w:val="16"/>
        </w:rPr>
        <w:t>380</w:t>
      </w:r>
      <w:r>
        <w:fldChar w:fldCharType="end"/>
      </w:r>
      <w:r w:rsidRPr="00793101">
        <w:rPr>
          <w:szCs w:val="16"/>
        </w:rPr>
        <w:t xml:space="preserve">; </w:t>
      </w:r>
      <w:r w:rsidRPr="00793101">
        <w:rPr>
          <w:i/>
          <w:szCs w:val="16"/>
        </w:rPr>
        <w:t>Rodriguez v Uruguay</w:t>
      </w:r>
      <w:r w:rsidRPr="00793101">
        <w:rPr>
          <w:szCs w:val="16"/>
        </w:rPr>
        <w:t>, UNHRC Communication No 322/1988, 19 July 1994; UNHRC General Comment 20 on Art 7: Replaces general comment 7 concerning prohibition of torture and cruel treatment or punishment (Art 7), 44</w:t>
      </w:r>
      <w:r w:rsidRPr="00793101">
        <w:rPr>
          <w:szCs w:val="16"/>
          <w:vertAlign w:val="superscript"/>
        </w:rPr>
        <w:t>th</w:t>
      </w:r>
      <w:r w:rsidRPr="00793101">
        <w:rPr>
          <w:szCs w:val="16"/>
        </w:rPr>
        <w:t xml:space="preserve"> </w:t>
      </w:r>
      <w:proofErr w:type="spellStart"/>
      <w:r w:rsidRPr="00793101">
        <w:rPr>
          <w:szCs w:val="16"/>
        </w:rPr>
        <w:t>Sess</w:t>
      </w:r>
      <w:proofErr w:type="spellEnd"/>
      <w:r w:rsidRPr="00793101">
        <w:rPr>
          <w:szCs w:val="16"/>
        </w:rPr>
        <w:t>, 10 March 1992 at para 15.</w:t>
      </w:r>
      <w:r w:rsidRPr="00475A37">
        <w:rPr>
          <w:szCs w:val="16"/>
        </w:rPr>
        <w:t xml:space="preserve"> ICTY, </w:t>
      </w:r>
      <w:r w:rsidRPr="00C46311">
        <w:rPr>
          <w:i/>
          <w:szCs w:val="16"/>
        </w:rPr>
        <w:t xml:space="preserve">Prosecutor v. </w:t>
      </w:r>
      <w:proofErr w:type="spellStart"/>
      <w:r w:rsidRPr="00C46311">
        <w:rPr>
          <w:i/>
          <w:szCs w:val="16"/>
        </w:rPr>
        <w:t>Anto</w:t>
      </w:r>
      <w:proofErr w:type="spellEnd"/>
      <w:r w:rsidRPr="00C46311">
        <w:rPr>
          <w:i/>
          <w:szCs w:val="16"/>
        </w:rPr>
        <w:t xml:space="preserve"> </w:t>
      </w:r>
      <w:proofErr w:type="spellStart"/>
      <w:r w:rsidRPr="00C46311">
        <w:rPr>
          <w:i/>
          <w:szCs w:val="16"/>
        </w:rPr>
        <w:t>Furundzija</w:t>
      </w:r>
      <w:proofErr w:type="spellEnd"/>
      <w:r w:rsidRPr="00475A37">
        <w:rPr>
          <w:szCs w:val="16"/>
        </w:rPr>
        <w:t>, IT-95-17/1, Trial Chamber, Judgment, 10 Dec. 1998, para.15</w:t>
      </w:r>
      <w:r>
        <w:rPr>
          <w:szCs w:val="16"/>
        </w:rPr>
        <w:t>5 ("</w:t>
      </w:r>
      <w:r w:rsidRPr="00475A37">
        <w:rPr>
          <w:szCs w:val="16"/>
        </w:rPr>
        <w:t>The fact that torture is prohibited by a peremptory norm of international law has</w:t>
      </w:r>
      <w:r>
        <w:rPr>
          <w:szCs w:val="16"/>
        </w:rPr>
        <w:t xml:space="preserve"> </w:t>
      </w:r>
      <w:r w:rsidRPr="00475A37">
        <w:rPr>
          <w:szCs w:val="16"/>
        </w:rPr>
        <w:t>other effects at the inter-state and individual levels. At the inter-state level, it serves to</w:t>
      </w:r>
      <w:r>
        <w:rPr>
          <w:szCs w:val="16"/>
        </w:rPr>
        <w:t xml:space="preserve"> </w:t>
      </w:r>
      <w:r w:rsidRPr="00475A37">
        <w:rPr>
          <w:szCs w:val="16"/>
        </w:rPr>
        <w:t xml:space="preserve">internationally de-legitimise any legislative, </w:t>
      </w:r>
      <w:proofErr w:type="gramStart"/>
      <w:r w:rsidRPr="00475A37">
        <w:rPr>
          <w:szCs w:val="16"/>
        </w:rPr>
        <w:t>administrative</w:t>
      </w:r>
      <w:proofErr w:type="gramEnd"/>
      <w:r w:rsidRPr="00475A37">
        <w:rPr>
          <w:szCs w:val="16"/>
        </w:rPr>
        <w:t xml:space="preserve"> or judicial act authorising</w:t>
      </w:r>
      <w:r>
        <w:rPr>
          <w:szCs w:val="16"/>
        </w:rPr>
        <w:t xml:space="preserve"> </w:t>
      </w:r>
      <w:r w:rsidRPr="00475A37">
        <w:rPr>
          <w:szCs w:val="16"/>
        </w:rPr>
        <w:t xml:space="preserve">torture. It would be senseless to argue, on the one hand, that on account of the </w:t>
      </w:r>
      <w:r w:rsidRPr="00C46311">
        <w:rPr>
          <w:i/>
          <w:szCs w:val="16"/>
        </w:rPr>
        <w:t>jus cogens</w:t>
      </w:r>
      <w:r>
        <w:rPr>
          <w:szCs w:val="16"/>
        </w:rPr>
        <w:t xml:space="preserve"> </w:t>
      </w:r>
      <w:r w:rsidRPr="00475A37">
        <w:rPr>
          <w:szCs w:val="16"/>
        </w:rPr>
        <w:t>value of the prohibition against torture, treaties or customary rules providing for torture</w:t>
      </w:r>
      <w:r>
        <w:rPr>
          <w:szCs w:val="16"/>
        </w:rPr>
        <w:t xml:space="preserve"> </w:t>
      </w:r>
      <w:r w:rsidRPr="00475A37">
        <w:rPr>
          <w:szCs w:val="16"/>
        </w:rPr>
        <w:t xml:space="preserve">would be null and void </w:t>
      </w:r>
      <w:r w:rsidRPr="00C46311">
        <w:rPr>
          <w:i/>
          <w:szCs w:val="16"/>
        </w:rPr>
        <w:t>ab initio</w:t>
      </w:r>
      <w:r w:rsidRPr="00475A37">
        <w:rPr>
          <w:szCs w:val="16"/>
        </w:rPr>
        <w:t>,</w:t>
      </w:r>
      <w:r>
        <w:rPr>
          <w:szCs w:val="16"/>
        </w:rPr>
        <w:t xml:space="preserve"> </w:t>
      </w:r>
      <w:r w:rsidRPr="00475A37">
        <w:rPr>
          <w:szCs w:val="16"/>
        </w:rPr>
        <w:t>and then be unmindful of a State say, taking national</w:t>
      </w:r>
      <w:r>
        <w:rPr>
          <w:szCs w:val="16"/>
        </w:rPr>
        <w:t xml:space="preserve"> </w:t>
      </w:r>
      <w:r w:rsidRPr="00475A37">
        <w:rPr>
          <w:szCs w:val="16"/>
        </w:rPr>
        <w:t>measures authorising or condoning torture or absolving its perpetrators through an</w:t>
      </w:r>
      <w:r>
        <w:rPr>
          <w:szCs w:val="16"/>
        </w:rPr>
        <w:t xml:space="preserve"> </w:t>
      </w:r>
      <w:r w:rsidRPr="00475A37">
        <w:rPr>
          <w:szCs w:val="16"/>
        </w:rPr>
        <w:t>amnesty law</w:t>
      </w:r>
      <w:r>
        <w:rPr>
          <w:szCs w:val="16"/>
        </w:rPr>
        <w:t xml:space="preserve">"); Statute of the Special Court of Sierra Leone, art.10 </w:t>
      </w:r>
      <w:r w:rsidRPr="00475A37">
        <w:rPr>
          <w:szCs w:val="16"/>
        </w:rPr>
        <w:t>Amnesty</w:t>
      </w:r>
      <w:r>
        <w:rPr>
          <w:szCs w:val="16"/>
        </w:rPr>
        <w:t xml:space="preserve"> ("</w:t>
      </w:r>
      <w:r w:rsidRPr="00475A37">
        <w:rPr>
          <w:szCs w:val="16"/>
        </w:rPr>
        <w:t xml:space="preserve">An amnesty granted to any person falling within the jurisdiction of the Special Court in respect of the crimes referred to in articles 2 to 4 of the present Statute </w:t>
      </w:r>
      <w:r>
        <w:rPr>
          <w:szCs w:val="16"/>
        </w:rPr>
        <w:t xml:space="preserve">[Crimes against humanity, </w:t>
      </w:r>
      <w:r w:rsidRPr="00460581">
        <w:rPr>
          <w:szCs w:val="16"/>
        </w:rPr>
        <w:t>Violations of Article 3 common to the Geneva Conventions and of Additional Protocol II</w:t>
      </w:r>
      <w:r>
        <w:rPr>
          <w:szCs w:val="16"/>
        </w:rPr>
        <w:t xml:space="preserve"> and </w:t>
      </w:r>
      <w:r w:rsidRPr="00460581">
        <w:rPr>
          <w:szCs w:val="16"/>
        </w:rPr>
        <w:t>Other serious violations of international humanitarian law</w:t>
      </w:r>
      <w:r>
        <w:rPr>
          <w:szCs w:val="16"/>
        </w:rPr>
        <w:t xml:space="preserve">] </w:t>
      </w:r>
      <w:r w:rsidRPr="00475A37">
        <w:rPr>
          <w:szCs w:val="16"/>
        </w:rPr>
        <w:t>shall not be a bar to prosecution</w:t>
      </w:r>
      <w:r>
        <w:rPr>
          <w:szCs w:val="16"/>
        </w:rPr>
        <w:t>").</w:t>
      </w:r>
    </w:p>
  </w:footnote>
  <w:footnote w:id="673">
    <w:p w14:paraId="7BF195AD" w14:textId="6A694F0B" w:rsidR="00356280" w:rsidRPr="00793101" w:rsidRDefault="00356280" w:rsidP="0040644D">
      <w:pPr>
        <w:pStyle w:val="FootnoteText"/>
        <w:spacing w:after="0" w:line="240" w:lineRule="auto"/>
        <w:rPr>
          <w:szCs w:val="16"/>
          <w:lang w:val="en-US"/>
        </w:rPr>
      </w:pPr>
      <w:r w:rsidRPr="00793101">
        <w:rPr>
          <w:rStyle w:val="FootnoteReference"/>
          <w:szCs w:val="16"/>
          <w:lang w:val="en-CA"/>
        </w:rPr>
        <w:footnoteRef/>
      </w:r>
      <w:r w:rsidRPr="00793101">
        <w:rPr>
          <w:szCs w:val="16"/>
          <w:lang w:val="en-US"/>
        </w:rPr>
        <w:t xml:space="preserve"> </w:t>
      </w:r>
      <w:proofErr w:type="spellStart"/>
      <w:r w:rsidRPr="00793101">
        <w:rPr>
          <w:i/>
          <w:szCs w:val="16"/>
          <w:lang w:val="en-US"/>
        </w:rPr>
        <w:t>Hape</w:t>
      </w:r>
      <w:proofErr w:type="spellEnd"/>
      <w:r w:rsidRPr="00793101">
        <w:rPr>
          <w:i/>
          <w:szCs w:val="16"/>
          <w:lang w:val="en-US"/>
        </w:rPr>
        <w:t>, supra</w:t>
      </w:r>
      <w:r w:rsidRPr="00793101">
        <w:rPr>
          <w:szCs w:val="16"/>
          <w:lang w:val="en-US"/>
        </w:rPr>
        <w:t xml:space="preserve"> note </w:t>
      </w:r>
      <w:r>
        <w:fldChar w:fldCharType="begin"/>
      </w:r>
      <w:r>
        <w:instrText xml:space="preserve"> NOTEREF _Ref266965260 \h  \* MERGEFORMAT </w:instrText>
      </w:r>
      <w:r>
        <w:fldChar w:fldCharType="separate"/>
      </w:r>
      <w:r>
        <w:t>9</w:t>
      </w:r>
      <w:r>
        <w:fldChar w:fldCharType="end"/>
      </w:r>
      <w:r w:rsidRPr="00793101">
        <w:rPr>
          <w:szCs w:val="16"/>
          <w:lang w:val="en-US"/>
        </w:rPr>
        <w:t xml:space="preserve"> at para 103.</w:t>
      </w:r>
    </w:p>
  </w:footnote>
  <w:footnote w:id="674">
    <w:p w14:paraId="7E07F6AB" w14:textId="77777777" w:rsidR="00356280" w:rsidRPr="00FD1463" w:rsidRDefault="00356280" w:rsidP="0040644D">
      <w:pPr>
        <w:pStyle w:val="FootnoteText"/>
        <w:spacing w:after="0" w:line="240" w:lineRule="auto"/>
        <w:rPr>
          <w:szCs w:val="16"/>
          <w:lang w:val="en-US"/>
        </w:rPr>
      </w:pPr>
      <w:r w:rsidRPr="00793101">
        <w:rPr>
          <w:rStyle w:val="FootnoteReference"/>
          <w:szCs w:val="16"/>
          <w:lang w:val="en-CA"/>
        </w:rPr>
        <w:footnoteRef/>
      </w:r>
      <w:r w:rsidRPr="00FD1463">
        <w:rPr>
          <w:szCs w:val="16"/>
          <w:lang w:val="en-US"/>
        </w:rPr>
        <w:t xml:space="preserve"> </w:t>
      </w:r>
      <w:r w:rsidRPr="00FD1463">
        <w:rPr>
          <w:i/>
          <w:szCs w:val="16"/>
          <w:lang w:val="en-US"/>
        </w:rPr>
        <w:t>Canada (Justice) v Khadr</w:t>
      </w:r>
      <w:r w:rsidRPr="00FD1463">
        <w:rPr>
          <w:szCs w:val="16"/>
          <w:lang w:val="en-US"/>
        </w:rPr>
        <w:t>, [2008] 2 SCR 125, [2008] SCJ No. 28.</w:t>
      </w:r>
    </w:p>
  </w:footnote>
  <w:footnote w:id="675">
    <w:p w14:paraId="128F02D2" w14:textId="5871922E"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Mutual Legal Assistance in Criminal Matters Act</w:t>
      </w:r>
      <w:r w:rsidRPr="00793101">
        <w:rPr>
          <w:szCs w:val="16"/>
          <w:lang w:val="en-US"/>
        </w:rPr>
        <w:t xml:space="preserve">, </w:t>
      </w:r>
      <w:r w:rsidRPr="00793101">
        <w:rPr>
          <w:i/>
          <w:szCs w:val="16"/>
          <w:lang w:val="en-US"/>
        </w:rPr>
        <w:t>supra</w:t>
      </w:r>
      <w:r w:rsidRPr="00793101">
        <w:rPr>
          <w:szCs w:val="16"/>
          <w:lang w:val="en-US"/>
        </w:rPr>
        <w:t xml:space="preserve"> note </w:t>
      </w:r>
      <w:r>
        <w:fldChar w:fldCharType="begin"/>
      </w:r>
      <w:r>
        <w:instrText xml:space="preserve"> NOTEREF _Ref267056927 \h  \* MERGEFORMAT </w:instrText>
      </w:r>
      <w:r>
        <w:fldChar w:fldCharType="separate"/>
      </w:r>
      <w:r w:rsidRPr="00E045AC">
        <w:rPr>
          <w:szCs w:val="16"/>
          <w:lang w:val="en-US"/>
        </w:rPr>
        <w:t>594</w:t>
      </w:r>
      <w:r>
        <w:fldChar w:fldCharType="end"/>
      </w:r>
      <w:r w:rsidRPr="00793101">
        <w:rPr>
          <w:szCs w:val="16"/>
          <w:lang w:val="en-US"/>
        </w:rPr>
        <w:t>, ss 11, 12, 15, 17.</w:t>
      </w:r>
    </w:p>
  </w:footnote>
  <w:footnote w:id="676">
    <w:p w14:paraId="136C0025" w14:textId="77777777" w:rsidR="00356280" w:rsidRPr="00793101" w:rsidRDefault="00356280" w:rsidP="0040644D">
      <w:pPr>
        <w:pStyle w:val="FootnoteText"/>
        <w:spacing w:after="0" w:line="240" w:lineRule="auto"/>
        <w:rPr>
          <w:szCs w:val="16"/>
          <w:highlight w:val="green"/>
          <w:lang w:val="en-US"/>
        </w:rPr>
      </w:pPr>
      <w:r w:rsidRPr="00793101">
        <w:rPr>
          <w:rStyle w:val="FootnoteReference"/>
          <w:szCs w:val="16"/>
        </w:rPr>
        <w:footnoteRef/>
      </w:r>
      <w:r w:rsidRPr="00793101">
        <w:rPr>
          <w:szCs w:val="16"/>
        </w:rPr>
        <w:t xml:space="preserve"> </w:t>
      </w:r>
      <w:r w:rsidRPr="00793101">
        <w:rPr>
          <w:szCs w:val="16"/>
          <w:lang w:val="en-US"/>
        </w:rPr>
        <w:t>Amnesty International Canada, Human rights abuses prevalent among vulnerable groups: Amnesty International Submission to the UN Universal Periodic Review, AI Index: AMR 20/008/2012 (Amnesty International Canada, 2012).</w:t>
      </w:r>
    </w:p>
  </w:footnote>
  <w:footnote w:id="677">
    <w:p w14:paraId="314E345A"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Amnesty International Canada, </w:t>
      </w:r>
      <w:r w:rsidRPr="00793101">
        <w:rPr>
          <w:i/>
          <w:szCs w:val="16"/>
        </w:rPr>
        <w:t>Briefing to the UN Committee against Torture 48</w:t>
      </w:r>
      <w:r w:rsidRPr="00793101">
        <w:rPr>
          <w:i/>
          <w:szCs w:val="16"/>
          <w:vertAlign w:val="superscript"/>
        </w:rPr>
        <w:t>th</w:t>
      </w:r>
      <w:r w:rsidRPr="00793101">
        <w:rPr>
          <w:i/>
          <w:szCs w:val="16"/>
        </w:rPr>
        <w:t xml:space="preserve"> Session</w:t>
      </w:r>
      <w:r w:rsidRPr="00793101">
        <w:rPr>
          <w:szCs w:val="16"/>
        </w:rPr>
        <w:t xml:space="preserve">, AI Index: AMR 20/004/2012 </w:t>
      </w:r>
      <w:r w:rsidRPr="00793101">
        <w:rPr>
          <w:szCs w:val="16"/>
          <w:lang w:val="en-US"/>
        </w:rPr>
        <w:t>at 21.</w:t>
      </w:r>
    </w:p>
  </w:footnote>
  <w:footnote w:id="678">
    <w:p w14:paraId="2B4C1DB8" w14:textId="3D838E9F" w:rsidR="00356280" w:rsidRPr="00AA6144" w:rsidRDefault="00356280" w:rsidP="00AA6144">
      <w:pPr>
        <w:spacing w:after="0" w:line="240" w:lineRule="auto"/>
        <w:rPr>
          <w:szCs w:val="16"/>
        </w:rPr>
      </w:pPr>
      <w:r w:rsidRPr="004164D6">
        <w:rPr>
          <w:rStyle w:val="FootnoteReference"/>
          <w:sz w:val="16"/>
          <w:szCs w:val="16"/>
          <w:lang w:val="en-CA"/>
        </w:rPr>
        <w:footnoteRef/>
      </w:r>
      <w:r w:rsidRPr="004164D6">
        <w:rPr>
          <w:sz w:val="16"/>
          <w:szCs w:val="16"/>
          <w:lang w:val="en-CA"/>
        </w:rPr>
        <w:t xml:space="preserve"> Department of Justice Canada, </w:t>
      </w:r>
      <w:r w:rsidRPr="004164D6">
        <w:rPr>
          <w:i/>
          <w:sz w:val="16"/>
          <w:szCs w:val="16"/>
          <w:lang w:val="en-CA"/>
        </w:rPr>
        <w:t>Canada’s program on crimes against humanity and war crimes program – Summative evaluation</w:t>
      </w:r>
      <w:r>
        <w:rPr>
          <w:i/>
          <w:sz w:val="16"/>
          <w:szCs w:val="16"/>
          <w:lang w:val="en-CA"/>
        </w:rPr>
        <w:t>, 13</w:t>
      </w:r>
      <w:r w:rsidRPr="00AA6144">
        <w:rPr>
          <w:i/>
          <w:sz w:val="16"/>
          <w:szCs w:val="16"/>
          <w:vertAlign w:val="superscript"/>
          <w:lang w:val="en-CA"/>
        </w:rPr>
        <w:t>th</w:t>
      </w:r>
      <w:r>
        <w:rPr>
          <w:i/>
          <w:sz w:val="16"/>
          <w:szCs w:val="16"/>
          <w:lang w:val="en-CA"/>
        </w:rPr>
        <w:t xml:space="preserve"> Report</w:t>
      </w:r>
      <w:r w:rsidRPr="004164D6">
        <w:rPr>
          <w:i/>
          <w:sz w:val="16"/>
          <w:szCs w:val="16"/>
          <w:lang w:val="en-CA"/>
        </w:rPr>
        <w:t xml:space="preserve"> </w:t>
      </w:r>
      <w:r w:rsidRPr="004164D6">
        <w:rPr>
          <w:sz w:val="16"/>
          <w:szCs w:val="16"/>
          <w:lang w:val="en-CA"/>
        </w:rPr>
        <w:t>(2016) online: &lt;</w:t>
      </w:r>
      <w:r w:rsidRPr="000D6C42">
        <w:rPr>
          <w:sz w:val="16"/>
          <w:szCs w:val="16"/>
        </w:rPr>
        <w:t>https://www.justice.gc.ca/eng/rp-pr/cj-jp/wc-cdg/wc20112015-cdg20112015/wc20112015-cdg20112015.pdf</w:t>
      </w:r>
      <w:r w:rsidRPr="004164D6">
        <w:rPr>
          <w:sz w:val="16"/>
          <w:szCs w:val="16"/>
          <w:lang w:val="en-CA"/>
        </w:rPr>
        <w:t xml:space="preserve">&gt; at 4. </w:t>
      </w:r>
    </w:p>
  </w:footnote>
  <w:footnote w:id="679">
    <w:p w14:paraId="221CD983" w14:textId="623C1B29" w:rsidR="00356280" w:rsidRPr="004164D6" w:rsidRDefault="00356280" w:rsidP="004164D6">
      <w:pPr>
        <w:pStyle w:val="FootnoteText"/>
        <w:spacing w:after="0" w:line="240" w:lineRule="auto"/>
        <w:rPr>
          <w:szCs w:val="16"/>
          <w:lang w:val="en-CA"/>
        </w:rPr>
      </w:pPr>
      <w:r w:rsidRPr="004164D6">
        <w:rPr>
          <w:rStyle w:val="FootnoteReference"/>
          <w:szCs w:val="16"/>
          <w:lang w:val="en-CA"/>
        </w:rPr>
        <w:footnoteRef/>
      </w:r>
      <w:r w:rsidRPr="004164D6">
        <w:rPr>
          <w:szCs w:val="16"/>
          <w:lang w:val="en-CA"/>
        </w:rPr>
        <w:t xml:space="preserve">  </w:t>
      </w:r>
      <w:r w:rsidRPr="004164D6">
        <w:rPr>
          <w:i/>
          <w:szCs w:val="16"/>
          <w:lang w:val="en-CA"/>
        </w:rPr>
        <w:t>Ibid</w:t>
      </w:r>
      <w:r w:rsidRPr="004164D6">
        <w:rPr>
          <w:szCs w:val="16"/>
          <w:lang w:val="en-CA"/>
        </w:rPr>
        <w:t xml:space="preserve"> at 4. </w:t>
      </w:r>
    </w:p>
  </w:footnote>
  <w:footnote w:id="680">
    <w:p w14:paraId="47D13CDF" w14:textId="77777777" w:rsidR="00356280" w:rsidRPr="00793101" w:rsidRDefault="00356280" w:rsidP="004B086F">
      <w:pPr>
        <w:pStyle w:val="FootnoteText"/>
        <w:spacing w:after="0" w:line="240" w:lineRule="auto"/>
        <w:rPr>
          <w:szCs w:val="16"/>
          <w:lang w:val="en-CA"/>
        </w:rPr>
      </w:pPr>
      <w:r w:rsidRPr="004164D6">
        <w:rPr>
          <w:rStyle w:val="FootnoteReference"/>
          <w:szCs w:val="16"/>
          <w:lang w:val="en-CA"/>
        </w:rPr>
        <w:footnoteRef/>
      </w:r>
      <w:r w:rsidRPr="004164D6">
        <w:rPr>
          <w:szCs w:val="16"/>
          <w:lang w:val="en-CA"/>
        </w:rPr>
        <w:t xml:space="preserve">  Online: Public</w:t>
      </w:r>
      <w:r w:rsidRPr="00793101">
        <w:rPr>
          <w:szCs w:val="16"/>
          <w:lang w:val="en-CA"/>
        </w:rPr>
        <w:t xml:space="preserve"> Prosecution Service of Canada &lt;http://www.ppsc-sppc.gc.ca/eng/bas/abt-suj.html&gt;.</w:t>
      </w:r>
    </w:p>
  </w:footnote>
  <w:footnote w:id="681">
    <w:p w14:paraId="41191F63" w14:textId="1C00E6A6" w:rsidR="00356280" w:rsidRPr="00793101" w:rsidRDefault="00356280" w:rsidP="004B086F">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iCs/>
          <w:szCs w:val="16"/>
          <w:lang w:val="en-CA"/>
        </w:rPr>
        <w:t>Crimes Against Humanity and War Crimes Program</w:t>
      </w:r>
      <w:r w:rsidRPr="00793101">
        <w:rPr>
          <w:i/>
          <w:szCs w:val="16"/>
          <w:lang w:val="en-CA"/>
        </w:rPr>
        <w:t xml:space="preserve"> – Summative evaluation, supra </w:t>
      </w:r>
      <w:r w:rsidRPr="00793101">
        <w:rPr>
          <w:szCs w:val="16"/>
          <w:lang w:val="en-CA"/>
        </w:rPr>
        <w:t xml:space="preserve">note </w:t>
      </w:r>
      <w:r>
        <w:fldChar w:fldCharType="begin"/>
      </w:r>
      <w:r>
        <w:instrText xml:space="preserve"> NOTEREF _Ref267057674 \h  \* MERGEFORMAT </w:instrText>
      </w:r>
      <w:r>
        <w:fldChar w:fldCharType="separate"/>
      </w:r>
      <w:r w:rsidRPr="00E045AC">
        <w:rPr>
          <w:szCs w:val="16"/>
          <w:lang w:val="en-CA"/>
        </w:rPr>
        <w:t>680</w:t>
      </w:r>
      <w:r>
        <w:fldChar w:fldCharType="end"/>
      </w:r>
      <w:r w:rsidRPr="00793101">
        <w:rPr>
          <w:szCs w:val="16"/>
          <w:lang w:val="en-CA"/>
        </w:rPr>
        <w:t xml:space="preserve"> at iii.</w:t>
      </w:r>
    </w:p>
  </w:footnote>
  <w:footnote w:id="682">
    <w:p w14:paraId="7BD5F3C6" w14:textId="77777777" w:rsidR="00356280" w:rsidRPr="00793101" w:rsidRDefault="00356280" w:rsidP="004B086F">
      <w:pPr>
        <w:pStyle w:val="FootnoteText"/>
        <w:spacing w:after="0" w:line="240" w:lineRule="auto"/>
        <w:rPr>
          <w:szCs w:val="16"/>
          <w:lang w:val="en-US"/>
        </w:rPr>
      </w:pPr>
      <w:r w:rsidRPr="00793101">
        <w:rPr>
          <w:rStyle w:val="FootnoteReference"/>
          <w:szCs w:val="16"/>
        </w:rPr>
        <w:footnoteRef/>
      </w:r>
      <w:r w:rsidRPr="00793101">
        <w:rPr>
          <w:szCs w:val="16"/>
        </w:rPr>
        <w:t xml:space="preserve"> Canada Border Services Agency et al, </w:t>
      </w:r>
      <w:r w:rsidRPr="00793101">
        <w:rPr>
          <w:i/>
          <w:szCs w:val="16"/>
          <w:lang w:val="en-US"/>
        </w:rPr>
        <w:t>12th Report: Canada’s Program on Crimes Against Humanity and War Crimes 2008-2011</w:t>
      </w:r>
      <w:r w:rsidRPr="00793101">
        <w:rPr>
          <w:szCs w:val="16"/>
          <w:lang w:val="en-US"/>
        </w:rPr>
        <w:t>, online: Canada Border Services Agency &lt;</w:t>
      </w:r>
      <w:r w:rsidRPr="00793101">
        <w:rPr>
          <w:szCs w:val="16"/>
        </w:rPr>
        <w:t>http://cbsa.gc.ca/security-securite/wc-cg/bsf5039-eng.pdf</w:t>
      </w:r>
      <w:r w:rsidRPr="00793101">
        <w:rPr>
          <w:szCs w:val="16"/>
          <w:lang w:val="en-US"/>
        </w:rPr>
        <w:t xml:space="preserve">&gt;. </w:t>
      </w:r>
    </w:p>
  </w:footnote>
  <w:footnote w:id="683">
    <w:p w14:paraId="59F5F8D3" w14:textId="4F89E045" w:rsidR="00356280" w:rsidRPr="00793101" w:rsidRDefault="00356280" w:rsidP="004B086F">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Pr>
          <w:i/>
          <w:lang w:val="en-CA"/>
        </w:rPr>
        <w:t>Crimes Against Humanity and War Crimes Program Evaluation: Final Report</w:t>
      </w:r>
      <w:r>
        <w:rPr>
          <w:lang w:val="en-CA"/>
        </w:rPr>
        <w:t xml:space="preserve">, </w:t>
      </w:r>
      <w:r w:rsidRPr="0077043E">
        <w:rPr>
          <w:i/>
          <w:lang w:val="en-CA"/>
        </w:rPr>
        <w:t xml:space="preserve">supra </w:t>
      </w:r>
      <w:r>
        <w:rPr>
          <w:lang w:val="en-CA"/>
        </w:rPr>
        <w:t xml:space="preserve">note </w:t>
      </w:r>
      <w:r>
        <w:rPr>
          <w:lang w:val="en-CA"/>
        </w:rPr>
        <w:fldChar w:fldCharType="begin"/>
      </w:r>
      <w:r>
        <w:rPr>
          <w:lang w:val="en-CA"/>
        </w:rPr>
        <w:instrText xml:space="preserve"> NOTEREF _Ref498080233 \h </w:instrText>
      </w:r>
      <w:r>
        <w:rPr>
          <w:lang w:val="en-CA"/>
        </w:rPr>
      </w:r>
      <w:r>
        <w:rPr>
          <w:lang w:val="en-CA"/>
        </w:rPr>
        <w:fldChar w:fldCharType="separate"/>
      </w:r>
      <w:r>
        <w:rPr>
          <w:lang w:val="en-CA"/>
        </w:rPr>
        <w:t>3</w:t>
      </w:r>
      <w:r>
        <w:rPr>
          <w:lang w:val="en-CA"/>
        </w:rPr>
        <w:fldChar w:fldCharType="end"/>
      </w:r>
      <w:r>
        <w:rPr>
          <w:lang w:val="en-CA"/>
        </w:rPr>
        <w:t xml:space="preserve"> at </w:t>
      </w:r>
      <w:proofErr w:type="spellStart"/>
      <w:r>
        <w:rPr>
          <w:lang w:val="en-CA"/>
        </w:rPr>
        <w:t>i</w:t>
      </w:r>
      <w:proofErr w:type="spellEnd"/>
      <w:r>
        <w:rPr>
          <w:lang w:val="en-CA"/>
        </w:rPr>
        <w:t>.</w:t>
      </w:r>
    </w:p>
  </w:footnote>
  <w:footnote w:id="684">
    <w:p w14:paraId="4C57A745" w14:textId="77777777" w:rsidR="00356280" w:rsidRPr="00793101" w:rsidRDefault="00356280" w:rsidP="004B086F">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Joseph </w:t>
      </w:r>
      <w:proofErr w:type="spellStart"/>
      <w:r w:rsidRPr="00793101">
        <w:rPr>
          <w:szCs w:val="16"/>
          <w:lang w:val="en-US"/>
        </w:rPr>
        <w:t>Rikhof</w:t>
      </w:r>
      <w:proofErr w:type="spellEnd"/>
      <w:r w:rsidRPr="00793101">
        <w:rPr>
          <w:szCs w:val="16"/>
          <w:lang w:val="en-US"/>
        </w:rPr>
        <w:t xml:space="preserve">, “Canada and War Criminals: The Policy, the Program and the Results” presented at the </w:t>
      </w:r>
      <w:r w:rsidRPr="00793101">
        <w:rPr>
          <w:iCs/>
          <w:szCs w:val="16"/>
          <w:lang w:val="en-US"/>
        </w:rPr>
        <w:t>18</w:t>
      </w:r>
      <w:r w:rsidRPr="00793101">
        <w:rPr>
          <w:iCs/>
          <w:szCs w:val="16"/>
          <w:vertAlign w:val="superscript"/>
          <w:lang w:val="en-US"/>
        </w:rPr>
        <w:t>th</w:t>
      </w:r>
      <w:r w:rsidRPr="00793101">
        <w:rPr>
          <w:iCs/>
          <w:szCs w:val="16"/>
          <w:lang w:val="en-US"/>
        </w:rPr>
        <w:t xml:space="preserve"> International Conference of the International Society for the Reform of Criminal Law</w:t>
      </w:r>
      <w:r w:rsidRPr="00793101">
        <w:rPr>
          <w:szCs w:val="16"/>
          <w:lang w:val="en-US"/>
        </w:rPr>
        <w:t xml:space="preserve"> held at Montreal Canada from 8-12 August 2004, online: &lt;http://www.isrcl.org/Papers/2004/Rikhof.pdf&gt;.</w:t>
      </w:r>
    </w:p>
  </w:footnote>
  <w:footnote w:id="685">
    <w:p w14:paraId="59B8DC21" w14:textId="4481C1BE" w:rsidR="00356280" w:rsidRPr="00166FF9" w:rsidRDefault="00356280" w:rsidP="004B086F">
      <w:pPr>
        <w:pStyle w:val="FootnoteText"/>
        <w:rPr>
          <w:lang w:val="en-CA"/>
        </w:rPr>
      </w:pPr>
      <w:r>
        <w:rPr>
          <w:rStyle w:val="FootnoteReference"/>
        </w:rPr>
        <w:footnoteRef/>
      </w:r>
      <w:r>
        <w:t xml:space="preserve"> </w:t>
      </w:r>
      <w:r>
        <w:rPr>
          <w:lang w:val="en-CA"/>
        </w:rPr>
        <w:t xml:space="preserve">The RCMP has an annual budget of $682,000, whereas a criminal investigation and prosecution is estimated to cost over $6 million per case. </w:t>
      </w:r>
      <w:r>
        <w:rPr>
          <w:i/>
          <w:lang w:val="en-CA"/>
        </w:rPr>
        <w:t>Crimes Against Humanity and War Crimes Program Evaluation: Final Report</w:t>
      </w:r>
      <w:r>
        <w:rPr>
          <w:lang w:val="en-CA"/>
        </w:rPr>
        <w:t xml:space="preserve">, </w:t>
      </w:r>
      <w:r w:rsidRPr="0077043E">
        <w:rPr>
          <w:i/>
          <w:lang w:val="en-CA"/>
        </w:rPr>
        <w:t xml:space="preserve">supra </w:t>
      </w:r>
      <w:r>
        <w:rPr>
          <w:lang w:val="en-CA"/>
        </w:rPr>
        <w:t xml:space="preserve">note </w:t>
      </w:r>
      <w:r>
        <w:rPr>
          <w:lang w:val="en-CA"/>
        </w:rPr>
        <w:fldChar w:fldCharType="begin"/>
      </w:r>
      <w:r>
        <w:rPr>
          <w:lang w:val="en-CA"/>
        </w:rPr>
        <w:instrText xml:space="preserve"> NOTEREF _Ref498080233 \h </w:instrText>
      </w:r>
      <w:r>
        <w:rPr>
          <w:lang w:val="en-CA"/>
        </w:rPr>
      </w:r>
      <w:r>
        <w:rPr>
          <w:lang w:val="en-CA"/>
        </w:rPr>
        <w:fldChar w:fldCharType="separate"/>
      </w:r>
      <w:r>
        <w:rPr>
          <w:lang w:val="en-CA"/>
        </w:rPr>
        <w:t>3</w:t>
      </w:r>
      <w:r>
        <w:rPr>
          <w:lang w:val="en-CA"/>
        </w:rPr>
        <w:fldChar w:fldCharType="end"/>
      </w:r>
      <w:r>
        <w:rPr>
          <w:lang w:val="en-CA"/>
        </w:rPr>
        <w:t xml:space="preserve"> at 11 and 73.</w:t>
      </w:r>
    </w:p>
  </w:footnote>
  <w:footnote w:id="686">
    <w:p w14:paraId="23E1C491" w14:textId="77777777" w:rsidR="00356280" w:rsidRPr="00793101" w:rsidRDefault="00356280" w:rsidP="004B086F">
      <w:pPr>
        <w:pStyle w:val="FootnoteText"/>
        <w:spacing w:after="0" w:line="240" w:lineRule="auto"/>
        <w:rPr>
          <w:szCs w:val="16"/>
          <w:highlight w:val="green"/>
        </w:rPr>
      </w:pPr>
      <w:r w:rsidRPr="00793101">
        <w:rPr>
          <w:rStyle w:val="FootnoteReference"/>
          <w:szCs w:val="16"/>
        </w:rPr>
        <w:footnoteRef/>
      </w:r>
      <w:r w:rsidRPr="00793101">
        <w:rPr>
          <w:szCs w:val="16"/>
        </w:rPr>
        <w:t xml:space="preserve"> </w:t>
      </w:r>
      <w:r w:rsidRPr="00793101">
        <w:rPr>
          <w:i/>
          <w:szCs w:val="16"/>
        </w:rPr>
        <w:t xml:space="preserve">Amnesty </w:t>
      </w:r>
      <w:r w:rsidRPr="00793101">
        <w:rPr>
          <w:bCs/>
          <w:i/>
          <w:szCs w:val="16"/>
          <w:lang w:val="en-US"/>
        </w:rPr>
        <w:t>International Canada Open Letter to Ministers Toews and Kenney about "Wanted by the CBSA"</w:t>
      </w:r>
      <w:r w:rsidRPr="00793101">
        <w:rPr>
          <w:bCs/>
          <w:szCs w:val="16"/>
          <w:lang w:val="en-US"/>
        </w:rPr>
        <w:t xml:space="preserve"> (2 August 2011), online: Amnesty International Canada &lt;</w:t>
      </w:r>
      <w:r w:rsidRPr="00793101">
        <w:rPr>
          <w:szCs w:val="16"/>
        </w:rPr>
        <w:t>http://www.amnesty.ca/news/news-item/amnesty-international-canada-open-letter-to-ministers-toews-and-kenney&gt;. See also “Canada: Briefing to the UN Committee Against Torture 48</w:t>
      </w:r>
      <w:r w:rsidRPr="00793101">
        <w:rPr>
          <w:szCs w:val="16"/>
          <w:vertAlign w:val="superscript"/>
        </w:rPr>
        <w:t>th</w:t>
      </w:r>
      <w:r w:rsidRPr="00793101">
        <w:rPr>
          <w:szCs w:val="16"/>
        </w:rPr>
        <w:t xml:space="preserve"> Session, May 2012” at 13, online: Amnesty International &lt;http://www.amnesty.org&gt;.</w:t>
      </w:r>
    </w:p>
  </w:footnote>
  <w:footnote w:id="687">
    <w:p w14:paraId="273EBBB4" w14:textId="77777777" w:rsidR="00356280" w:rsidRPr="00793101" w:rsidRDefault="00356280" w:rsidP="004B086F">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War Crimes and Crimes Against Humanity</w:t>
      </w:r>
      <w:r w:rsidRPr="00793101">
        <w:rPr>
          <w:szCs w:val="16"/>
        </w:rPr>
        <w:t>, online: Canadian Department of Justice &lt;http://canada.justice.gc.ca/eng/cj-jp/wc-cdg/index.html&gt;.</w:t>
      </w:r>
    </w:p>
  </w:footnote>
  <w:footnote w:id="688">
    <w:p w14:paraId="2CB3B7BE" w14:textId="77777777" w:rsidR="00356280" w:rsidRPr="00793101" w:rsidRDefault="00356280" w:rsidP="004B086F">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Pr>
          <w:i/>
          <w:szCs w:val="16"/>
          <w:lang w:val="en-CA"/>
        </w:rPr>
        <w:t xml:space="preserve">Immigration and Refugee Protection </w:t>
      </w:r>
      <w:r w:rsidRPr="00D937C4">
        <w:rPr>
          <w:i/>
          <w:szCs w:val="16"/>
          <w:lang w:val="en-CA"/>
        </w:rPr>
        <w:t>Act</w:t>
      </w:r>
      <w:r>
        <w:rPr>
          <w:szCs w:val="16"/>
          <w:lang w:val="en-CA"/>
        </w:rPr>
        <w:t>, SC 2001, c 27, s 35(1)(a).</w:t>
      </w:r>
      <w:r w:rsidRPr="00793101">
        <w:rPr>
          <w:i/>
          <w:iCs/>
          <w:szCs w:val="16"/>
          <w:lang w:val="en-CA"/>
        </w:rPr>
        <w:t xml:space="preserve"> </w:t>
      </w:r>
    </w:p>
  </w:footnote>
  <w:footnote w:id="689">
    <w:p w14:paraId="059CB537" w14:textId="77777777" w:rsidR="00356280" w:rsidRPr="00793101" w:rsidRDefault="00356280" w:rsidP="004B086F">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Citizenship and Immigration Canada, </w:t>
      </w:r>
      <w:r w:rsidRPr="00793101">
        <w:rPr>
          <w:i/>
          <w:szCs w:val="16"/>
          <w:lang w:val="en-CA"/>
        </w:rPr>
        <w:t>ENF-18 War crimes and crimes against humanity</w:t>
      </w:r>
      <w:r w:rsidRPr="00793101">
        <w:rPr>
          <w:szCs w:val="16"/>
          <w:lang w:val="en-CA"/>
        </w:rPr>
        <w:t>, online: Citizenship and Immigration Canada &lt;http://www.cic.gc.ca/english/resources/manuals/enf/enf18-eng.pdf&gt;.</w:t>
      </w:r>
    </w:p>
  </w:footnote>
  <w:footnote w:id="690">
    <w:p w14:paraId="67E0B381" w14:textId="77777777" w:rsidR="00356280" w:rsidRPr="00166FF9" w:rsidRDefault="00356280" w:rsidP="00AA6144">
      <w:pPr>
        <w:pStyle w:val="FootnoteText"/>
        <w:spacing w:after="0" w:line="240" w:lineRule="auto"/>
        <w:rPr>
          <w:lang w:val="en-CA"/>
        </w:rPr>
      </w:pPr>
      <w:r>
        <w:rPr>
          <w:rStyle w:val="FootnoteReference"/>
        </w:rPr>
        <w:footnoteRef/>
      </w:r>
      <w:r>
        <w:t xml:space="preserve"> </w:t>
      </w:r>
      <w:r>
        <w:rPr>
          <w:lang w:val="en-CA"/>
        </w:rPr>
        <w:t>Now IRCC.</w:t>
      </w:r>
    </w:p>
  </w:footnote>
  <w:footnote w:id="691">
    <w:p w14:paraId="3253425E" w14:textId="2F3BC8A6" w:rsidR="00356280" w:rsidRPr="00793101" w:rsidRDefault="00356280" w:rsidP="00F8712C">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US"/>
        </w:rPr>
        <w:t xml:space="preserve">12th Report: Canada’s Program on Crimes Against Humanity and War Crimes 2008-2011, supra </w:t>
      </w:r>
      <w:r w:rsidRPr="00793101">
        <w:rPr>
          <w:szCs w:val="16"/>
          <w:lang w:val="en-US"/>
        </w:rPr>
        <w:t xml:space="preserve">note </w:t>
      </w:r>
      <w:r>
        <w:fldChar w:fldCharType="begin"/>
      </w:r>
      <w:r>
        <w:instrText xml:space="preserve"> NOTEREF _Ref267057762 \h  \* MERGEFORMAT </w:instrText>
      </w:r>
      <w:r>
        <w:fldChar w:fldCharType="separate"/>
      </w:r>
      <w:r w:rsidRPr="00E045AC">
        <w:rPr>
          <w:szCs w:val="16"/>
          <w:lang w:val="en-US"/>
        </w:rPr>
        <w:t>684</w:t>
      </w:r>
      <w:r>
        <w:fldChar w:fldCharType="end"/>
      </w:r>
      <w:r w:rsidRPr="00793101">
        <w:rPr>
          <w:szCs w:val="16"/>
          <w:lang w:val="en-US"/>
        </w:rPr>
        <w:t xml:space="preserve"> at </w:t>
      </w:r>
      <w:r w:rsidRPr="00793101">
        <w:rPr>
          <w:iCs/>
          <w:szCs w:val="16"/>
          <w:lang w:val="en-CA"/>
        </w:rPr>
        <w:t>5.</w:t>
      </w:r>
    </w:p>
  </w:footnote>
  <w:footnote w:id="692">
    <w:p w14:paraId="3F25D635" w14:textId="77777777" w:rsidR="00356280" w:rsidRPr="00793101" w:rsidRDefault="00356280" w:rsidP="001D4016">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szCs w:val="16"/>
          <w:lang w:val="en-US"/>
        </w:rPr>
        <w:t xml:space="preserve">See for example </w:t>
      </w:r>
      <w:r w:rsidRPr="00793101">
        <w:rPr>
          <w:i/>
          <w:szCs w:val="16"/>
          <w:lang w:val="en-US"/>
        </w:rPr>
        <w:t xml:space="preserve">Canada (Minister of Citizenship and Immigration) v Rogan </w:t>
      </w:r>
      <w:r w:rsidRPr="00793101">
        <w:rPr>
          <w:szCs w:val="16"/>
          <w:lang w:val="en-US"/>
        </w:rPr>
        <w:t>[2011] FCJ No 1221.</w:t>
      </w:r>
    </w:p>
  </w:footnote>
  <w:footnote w:id="693">
    <w:p w14:paraId="299782BA" w14:textId="00574A00" w:rsidR="00356280" w:rsidRPr="00166FF9" w:rsidRDefault="00356280" w:rsidP="00AA6144">
      <w:pPr>
        <w:pStyle w:val="FootnoteText"/>
        <w:spacing w:after="0" w:line="240" w:lineRule="auto"/>
        <w:rPr>
          <w:lang w:val="en-CA"/>
        </w:rPr>
      </w:pPr>
      <w:r>
        <w:rPr>
          <w:rStyle w:val="FootnoteReference"/>
        </w:rPr>
        <w:footnoteRef/>
      </w:r>
      <w:r>
        <w:t xml:space="preserve"> </w:t>
      </w:r>
      <w:r>
        <w:rPr>
          <w:i/>
          <w:lang w:val="en-CA"/>
        </w:rPr>
        <w:t>Crimes Against Humanity and War Crimes Program Evaluation: Final Report</w:t>
      </w:r>
      <w:r>
        <w:rPr>
          <w:lang w:val="en-CA"/>
        </w:rPr>
        <w:t xml:space="preserve">, </w:t>
      </w:r>
      <w:r w:rsidRPr="0077043E">
        <w:rPr>
          <w:i/>
          <w:lang w:val="en-CA"/>
        </w:rPr>
        <w:t xml:space="preserve">supra </w:t>
      </w:r>
      <w:r>
        <w:rPr>
          <w:lang w:val="en-CA"/>
        </w:rPr>
        <w:t xml:space="preserve">note </w:t>
      </w:r>
      <w:r>
        <w:rPr>
          <w:lang w:val="en-CA"/>
        </w:rPr>
        <w:fldChar w:fldCharType="begin"/>
      </w:r>
      <w:r>
        <w:rPr>
          <w:lang w:val="en-CA"/>
        </w:rPr>
        <w:instrText xml:space="preserve"> NOTEREF _Ref498080233 \h </w:instrText>
      </w:r>
      <w:r>
        <w:rPr>
          <w:lang w:val="en-CA"/>
        </w:rPr>
      </w:r>
      <w:r>
        <w:rPr>
          <w:lang w:val="en-CA"/>
        </w:rPr>
        <w:fldChar w:fldCharType="separate"/>
      </w:r>
      <w:r>
        <w:rPr>
          <w:lang w:val="en-CA"/>
        </w:rPr>
        <w:t>3</w:t>
      </w:r>
      <w:r>
        <w:rPr>
          <w:lang w:val="en-CA"/>
        </w:rPr>
        <w:fldChar w:fldCharType="end"/>
      </w:r>
      <w:r>
        <w:rPr>
          <w:lang w:val="en-CA"/>
        </w:rPr>
        <w:t xml:space="preserve"> at 8.</w:t>
      </w:r>
    </w:p>
  </w:footnote>
  <w:footnote w:id="694">
    <w:p w14:paraId="347EDA62" w14:textId="3B9650B9" w:rsidR="00356280" w:rsidRPr="00166FF9" w:rsidRDefault="00356280" w:rsidP="00AA6144">
      <w:pPr>
        <w:pStyle w:val="FootnoteText"/>
        <w:spacing w:after="0" w:line="240" w:lineRule="auto"/>
        <w:rPr>
          <w:lang w:val="en-CA"/>
        </w:rPr>
      </w:pPr>
      <w:r>
        <w:rPr>
          <w:rStyle w:val="FootnoteReference"/>
        </w:rPr>
        <w:footnoteRef/>
      </w:r>
      <w:r>
        <w:t xml:space="preserve"> </w:t>
      </w:r>
      <w:r>
        <w:rPr>
          <w:i/>
          <w:lang w:val="en-CA"/>
        </w:rPr>
        <w:t>Crimes Against Humanity and War Crimes Program Evaluation: Final Report</w:t>
      </w:r>
      <w:r>
        <w:rPr>
          <w:lang w:val="en-CA"/>
        </w:rPr>
        <w:t xml:space="preserve">, </w:t>
      </w:r>
      <w:r w:rsidRPr="0077043E">
        <w:rPr>
          <w:i/>
          <w:lang w:val="en-CA"/>
        </w:rPr>
        <w:t xml:space="preserve">supra </w:t>
      </w:r>
      <w:r>
        <w:rPr>
          <w:lang w:val="en-CA"/>
        </w:rPr>
        <w:t xml:space="preserve">note </w:t>
      </w:r>
      <w:r>
        <w:rPr>
          <w:lang w:val="en-CA"/>
        </w:rPr>
        <w:fldChar w:fldCharType="begin"/>
      </w:r>
      <w:r>
        <w:rPr>
          <w:lang w:val="en-CA"/>
        </w:rPr>
        <w:instrText xml:space="preserve"> NOTEREF _Ref498080233 \h </w:instrText>
      </w:r>
      <w:r>
        <w:rPr>
          <w:lang w:val="en-CA"/>
        </w:rPr>
      </w:r>
      <w:r>
        <w:rPr>
          <w:lang w:val="en-CA"/>
        </w:rPr>
        <w:fldChar w:fldCharType="separate"/>
      </w:r>
      <w:r>
        <w:rPr>
          <w:lang w:val="en-CA"/>
        </w:rPr>
        <w:t>3</w:t>
      </w:r>
      <w:r>
        <w:rPr>
          <w:lang w:val="en-CA"/>
        </w:rPr>
        <w:fldChar w:fldCharType="end"/>
      </w:r>
      <w:r>
        <w:rPr>
          <w:lang w:val="en-CA"/>
        </w:rPr>
        <w:t xml:space="preserve"> at 8-9.</w:t>
      </w:r>
    </w:p>
  </w:footnote>
  <w:footnote w:id="695">
    <w:p w14:paraId="018CC004" w14:textId="77777777" w:rsidR="00356280" w:rsidRPr="00793101" w:rsidRDefault="00356280" w:rsidP="004B086F">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szCs w:val="16"/>
        </w:rPr>
        <w:t xml:space="preserve">Canada Border Services Agency et al, </w:t>
      </w:r>
      <w:r w:rsidRPr="00793101">
        <w:rPr>
          <w:i/>
          <w:szCs w:val="16"/>
          <w:lang w:val="en-US"/>
        </w:rPr>
        <w:t>10th Report: Canada’s Program on Crimes Against Humanity and War Crimes 2006-2007</w:t>
      </w:r>
      <w:r w:rsidRPr="00793101">
        <w:rPr>
          <w:szCs w:val="16"/>
          <w:lang w:val="en-US"/>
        </w:rPr>
        <w:t>, online: Canadian Border Services Agency &lt;</w:t>
      </w:r>
      <w:r w:rsidRPr="00793101">
        <w:rPr>
          <w:szCs w:val="16"/>
        </w:rPr>
        <w:t>http://www.cbsa-asfc.gc.ca/security-securite/wc-cg/wc-cg2007-eng.html#c5</w:t>
      </w:r>
      <w:r w:rsidRPr="00793101">
        <w:rPr>
          <w:szCs w:val="16"/>
          <w:lang w:val="en-CA"/>
        </w:rPr>
        <w:t>&gt;. See “Enforcement in Canada – Criminal investigations and prosecution” subsection.</w:t>
      </w:r>
    </w:p>
  </w:footnote>
  <w:footnote w:id="696">
    <w:p w14:paraId="0FAF07D6" w14:textId="6D4EBC16" w:rsidR="00356280" w:rsidRPr="00793101" w:rsidRDefault="00356280" w:rsidP="004B086F">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93101">
        <w:rPr>
          <w:i/>
          <w:szCs w:val="16"/>
          <w:lang w:val="en-CA"/>
        </w:rPr>
        <w:t>Crimes Against Humanity and War Crimes Act</w:t>
      </w:r>
      <w:r w:rsidRPr="00793101">
        <w:rPr>
          <w:szCs w:val="16"/>
          <w:lang w:val="en-CA"/>
        </w:rPr>
        <w:t xml:space="preserve">, </w:t>
      </w:r>
      <w:r w:rsidRPr="0077043E">
        <w:rPr>
          <w:i/>
          <w:szCs w:val="16"/>
          <w:lang w:val="en-CA"/>
        </w:rPr>
        <w:t>supra</w:t>
      </w:r>
      <w:r w:rsidRPr="00793101">
        <w:rPr>
          <w:szCs w:val="16"/>
          <w:lang w:val="en-CA"/>
        </w:rPr>
        <w:t xml:space="preserve"> note </w:t>
      </w:r>
      <w:r>
        <w:fldChar w:fldCharType="begin"/>
      </w:r>
      <w:r>
        <w:instrText xml:space="preserve"> NOTEREF _Ref266965596 \h  \* MERGEFORMAT </w:instrText>
      </w:r>
      <w:r>
        <w:fldChar w:fldCharType="separate"/>
      </w:r>
      <w:r>
        <w:t>12</w:t>
      </w:r>
      <w:r>
        <w:fldChar w:fldCharType="end"/>
      </w:r>
      <w:r w:rsidRPr="00793101">
        <w:rPr>
          <w:szCs w:val="16"/>
          <w:lang w:val="en-CA"/>
        </w:rPr>
        <w:t>, s 9(3).</w:t>
      </w:r>
    </w:p>
  </w:footnote>
  <w:footnote w:id="697">
    <w:p w14:paraId="48CC60EE" w14:textId="77777777" w:rsidR="00356280" w:rsidRPr="00793101" w:rsidRDefault="00356280" w:rsidP="004B086F">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Online: Public Prosecution Service of Canada &lt;</w:t>
      </w:r>
      <w:r w:rsidRPr="00793101">
        <w:rPr>
          <w:szCs w:val="16"/>
        </w:rPr>
        <w:t>http://www.ppsc-sppc.gc.ca/eng/</w:t>
      </w:r>
      <w:r w:rsidRPr="00793101">
        <w:rPr>
          <w:szCs w:val="16"/>
          <w:lang w:val="en-CA"/>
        </w:rPr>
        <w:t>&gt;.</w:t>
      </w:r>
    </w:p>
  </w:footnote>
  <w:footnote w:id="698">
    <w:p w14:paraId="63AF54AD" w14:textId="77777777" w:rsidR="00356280" w:rsidRPr="00793101" w:rsidRDefault="00356280" w:rsidP="004B086F">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Despite its misleading name, the War Crimes Section is also responsible for dealing with crimes against humanity and genocide within the Program. However, it has no express mandate to address other crimes under international law.</w:t>
      </w:r>
    </w:p>
  </w:footnote>
  <w:footnote w:id="699">
    <w:p w14:paraId="58505AA5" w14:textId="77777777" w:rsidR="00356280" w:rsidRPr="00793101" w:rsidRDefault="00356280" w:rsidP="004B086F">
      <w:pPr>
        <w:pStyle w:val="FootnoteText"/>
        <w:spacing w:after="0" w:line="240" w:lineRule="auto"/>
        <w:rPr>
          <w:szCs w:val="16"/>
          <w:highlight w:val="green"/>
          <w:lang w:val="en-CA"/>
        </w:rPr>
      </w:pPr>
      <w:r w:rsidRPr="00793101">
        <w:rPr>
          <w:rStyle w:val="FootnoteReference"/>
          <w:szCs w:val="16"/>
          <w:lang w:val="en-CA"/>
        </w:rPr>
        <w:footnoteRef/>
      </w:r>
      <w:r w:rsidRPr="00793101">
        <w:rPr>
          <w:szCs w:val="16"/>
          <w:lang w:val="en-CA"/>
        </w:rPr>
        <w:t xml:space="preserve">  </w:t>
      </w:r>
      <w:r w:rsidRPr="00793101">
        <w:rPr>
          <w:i/>
          <w:szCs w:val="16"/>
        </w:rPr>
        <w:t>War Crimes and Crimes Against Humanity</w:t>
      </w:r>
      <w:r w:rsidRPr="00793101">
        <w:rPr>
          <w:szCs w:val="16"/>
        </w:rPr>
        <w:t>, online: Canadian Department of Justice &lt;http://canada.justice.gc.ca/eng/cj-jp/wc-cdg/index.html&gt;.</w:t>
      </w:r>
    </w:p>
  </w:footnote>
  <w:footnote w:id="700">
    <w:p w14:paraId="1DB25811" w14:textId="0F9E2DAD" w:rsidR="00356280" w:rsidRPr="00834B0C" w:rsidRDefault="00356280" w:rsidP="004B086F">
      <w:pPr>
        <w:pStyle w:val="FootnoteText"/>
        <w:rPr>
          <w:lang w:val="en-CA"/>
        </w:rPr>
      </w:pPr>
      <w:r>
        <w:rPr>
          <w:rStyle w:val="FootnoteReference"/>
        </w:rPr>
        <w:footnoteRef/>
      </w:r>
      <w:r>
        <w:t xml:space="preserve"> </w:t>
      </w:r>
      <w:r>
        <w:rPr>
          <w:i/>
          <w:lang w:val="en-CA"/>
        </w:rPr>
        <w:t>Crimes Against Humanity and War Crimes Program Evaluation: Final Report</w:t>
      </w:r>
      <w:r>
        <w:rPr>
          <w:lang w:val="en-CA"/>
        </w:rPr>
        <w:t xml:space="preserve">, </w:t>
      </w:r>
      <w:r w:rsidRPr="0077043E">
        <w:rPr>
          <w:i/>
          <w:lang w:val="en-CA"/>
        </w:rPr>
        <w:t xml:space="preserve">supra </w:t>
      </w:r>
      <w:r>
        <w:rPr>
          <w:lang w:val="en-CA"/>
        </w:rPr>
        <w:t xml:space="preserve">note </w:t>
      </w:r>
      <w:r>
        <w:rPr>
          <w:lang w:val="en-CA"/>
        </w:rPr>
        <w:fldChar w:fldCharType="begin"/>
      </w:r>
      <w:r>
        <w:rPr>
          <w:lang w:val="en-CA"/>
        </w:rPr>
        <w:instrText xml:space="preserve"> NOTEREF _Ref498080233 \h </w:instrText>
      </w:r>
      <w:r>
        <w:rPr>
          <w:lang w:val="en-CA"/>
        </w:rPr>
      </w:r>
      <w:r>
        <w:rPr>
          <w:lang w:val="en-CA"/>
        </w:rPr>
        <w:fldChar w:fldCharType="separate"/>
      </w:r>
      <w:r>
        <w:rPr>
          <w:lang w:val="en-CA"/>
        </w:rPr>
        <w:t>3</w:t>
      </w:r>
      <w:r>
        <w:rPr>
          <w:lang w:val="en-CA"/>
        </w:rPr>
        <w:fldChar w:fldCharType="end"/>
      </w:r>
      <w:r>
        <w:rPr>
          <w:lang w:val="en-CA"/>
        </w:rPr>
        <w:t xml:space="preserve"> at </w:t>
      </w:r>
      <w:proofErr w:type="spellStart"/>
      <w:r>
        <w:rPr>
          <w:lang w:val="en-CA"/>
        </w:rPr>
        <w:t>i</w:t>
      </w:r>
      <w:proofErr w:type="spellEnd"/>
      <w:r>
        <w:rPr>
          <w:lang w:val="en-CA"/>
        </w:rPr>
        <w:t>.</w:t>
      </w:r>
    </w:p>
  </w:footnote>
  <w:footnote w:id="701">
    <w:p w14:paraId="5DE93BC5" w14:textId="029324AD" w:rsidR="00356280" w:rsidRDefault="00356280" w:rsidP="00AA6144">
      <w:pPr>
        <w:tabs>
          <w:tab w:val="left" w:pos="547"/>
        </w:tabs>
        <w:spacing w:after="0" w:line="240" w:lineRule="auto"/>
      </w:pPr>
    </w:p>
  </w:footnote>
  <w:footnote w:id="702">
    <w:p w14:paraId="57A6EC3A" w14:textId="0628179E" w:rsidR="00356280" w:rsidRPr="00166FF9" w:rsidRDefault="00356280" w:rsidP="00AA6144">
      <w:pPr>
        <w:pStyle w:val="FootnoteText"/>
        <w:spacing w:after="0" w:line="240" w:lineRule="auto"/>
        <w:rPr>
          <w:lang w:val="en-CA"/>
        </w:rPr>
      </w:pPr>
      <w:r>
        <w:rPr>
          <w:rStyle w:val="FootnoteReference"/>
        </w:rPr>
        <w:footnoteRef/>
      </w:r>
      <w:r>
        <w:t xml:space="preserve"> </w:t>
      </w:r>
      <w:r>
        <w:rPr>
          <w:lang w:val="en-CA"/>
        </w:rPr>
        <w:t xml:space="preserve">Ibid. at </w:t>
      </w:r>
      <w:proofErr w:type="spellStart"/>
      <w:r>
        <w:rPr>
          <w:lang w:val="en-CA"/>
        </w:rPr>
        <w:t>i</w:t>
      </w:r>
      <w:proofErr w:type="spellEnd"/>
      <w:r>
        <w:rPr>
          <w:lang w:val="en-CA"/>
        </w:rPr>
        <w:t>.</w:t>
      </w:r>
    </w:p>
  </w:footnote>
  <w:footnote w:id="703">
    <w:p w14:paraId="39C149FB" w14:textId="54623EC3" w:rsidR="00356280" w:rsidRPr="00793101" w:rsidRDefault="00356280" w:rsidP="00F8712C">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proofErr w:type="spellStart"/>
      <w:r w:rsidRPr="00793101">
        <w:rPr>
          <w:i/>
          <w:szCs w:val="16"/>
          <w:lang w:val="en-CA"/>
        </w:rPr>
        <w:t>Munyaneza</w:t>
      </w:r>
      <w:proofErr w:type="spellEnd"/>
      <w:r w:rsidRPr="00793101">
        <w:rPr>
          <w:szCs w:val="16"/>
          <w:lang w:val="en-CA"/>
        </w:rPr>
        <w:t xml:space="preserve">, supra note </w:t>
      </w:r>
      <w:r>
        <w:fldChar w:fldCharType="begin"/>
      </w:r>
      <w:r>
        <w:instrText xml:space="preserve"> NOTEREF _Ref267057917 \h  \* MERGEFORMAT </w:instrText>
      </w:r>
      <w:r>
        <w:fldChar w:fldCharType="separate"/>
      </w:r>
      <w:r w:rsidRPr="00E045AC">
        <w:rPr>
          <w:szCs w:val="16"/>
          <w:lang w:val="en-CA"/>
        </w:rPr>
        <w:t>252</w:t>
      </w:r>
      <w:r>
        <w:fldChar w:fldCharType="end"/>
      </w:r>
      <w:r w:rsidRPr="00793101">
        <w:rPr>
          <w:szCs w:val="16"/>
          <w:lang w:val="en-CA"/>
        </w:rPr>
        <w:t xml:space="preserve">. </w:t>
      </w:r>
    </w:p>
  </w:footnote>
  <w:footnote w:id="704">
    <w:p w14:paraId="47400504" w14:textId="77777777" w:rsidR="00356280" w:rsidRPr="00793101" w:rsidRDefault="00356280" w:rsidP="001D4016">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R c </w:t>
      </w:r>
      <w:proofErr w:type="spellStart"/>
      <w:r w:rsidRPr="00793101">
        <w:rPr>
          <w:i/>
          <w:szCs w:val="16"/>
          <w:lang w:val="en-US"/>
        </w:rPr>
        <w:t>Mungwarere</w:t>
      </w:r>
      <w:proofErr w:type="spellEnd"/>
      <w:r w:rsidRPr="00793101">
        <w:rPr>
          <w:i/>
          <w:szCs w:val="16"/>
          <w:lang w:val="en-US"/>
        </w:rPr>
        <w:t xml:space="preserve">, </w:t>
      </w:r>
      <w:r w:rsidRPr="00793101">
        <w:rPr>
          <w:szCs w:val="16"/>
          <w:lang w:val="en-US"/>
        </w:rPr>
        <w:t>2013 ONCS 4594.</w:t>
      </w:r>
    </w:p>
  </w:footnote>
  <w:footnote w:id="705">
    <w:p w14:paraId="7E0D3454" w14:textId="420A0822" w:rsidR="00356280" w:rsidRPr="00793101" w:rsidRDefault="00356280" w:rsidP="008A0F11">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A case may stay in the DOJ/RCMP inventory if “the allegation pertains to a Canadian citizen living in Canada or to a person present in Canada who cannot be removed for practical or legal reasons; or policy reasons such as the national or public interest, or over-arching reasons related to the interests of the War Crimes Program, international impunity or the search for justice exist.” See </w:t>
      </w:r>
      <w:r w:rsidRPr="00793101">
        <w:rPr>
          <w:i/>
          <w:szCs w:val="16"/>
        </w:rPr>
        <w:t xml:space="preserve">Crimes Against Humanity And War Crimes Program - Summative Evaluation, supra </w:t>
      </w:r>
      <w:r w:rsidRPr="00793101">
        <w:rPr>
          <w:szCs w:val="16"/>
        </w:rPr>
        <w:t xml:space="preserve">note </w:t>
      </w:r>
      <w:r>
        <w:fldChar w:fldCharType="begin"/>
      </w:r>
      <w:r>
        <w:instrText xml:space="preserve"> NOTEREF _Ref267057674 \h  \* MERGEFORMAT </w:instrText>
      </w:r>
      <w:r>
        <w:fldChar w:fldCharType="separate"/>
      </w:r>
      <w:r w:rsidRPr="00E045AC">
        <w:rPr>
          <w:szCs w:val="16"/>
        </w:rPr>
        <w:t>680</w:t>
      </w:r>
      <w:r>
        <w:fldChar w:fldCharType="end"/>
      </w:r>
      <w:r w:rsidRPr="00793101">
        <w:rPr>
          <w:i/>
          <w:szCs w:val="16"/>
        </w:rPr>
        <w:t xml:space="preserve"> </w:t>
      </w:r>
      <w:r w:rsidRPr="00793101">
        <w:rPr>
          <w:szCs w:val="16"/>
        </w:rPr>
        <w:t>at</w:t>
      </w:r>
      <w:r w:rsidRPr="00793101">
        <w:rPr>
          <w:szCs w:val="16"/>
          <w:lang w:val="en-CA"/>
        </w:rPr>
        <w:t xml:space="preserve"> 17-18.  </w:t>
      </w:r>
    </w:p>
  </w:footnote>
  <w:footnote w:id="706">
    <w:p w14:paraId="5B9D7E77" w14:textId="5638E55B" w:rsidR="00356280" w:rsidRPr="00793101" w:rsidRDefault="00356280" w:rsidP="00F8712C">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For cost estimates of remedies available to the program, see </w:t>
      </w:r>
      <w:r w:rsidRPr="00793101">
        <w:rPr>
          <w:i/>
          <w:szCs w:val="16"/>
        </w:rPr>
        <w:t xml:space="preserve">Crimes Against Humanity And War Crimes Program - Summative Evaluation, supra </w:t>
      </w:r>
      <w:r w:rsidRPr="00793101">
        <w:rPr>
          <w:szCs w:val="16"/>
        </w:rPr>
        <w:t xml:space="preserve">note </w:t>
      </w:r>
      <w:r>
        <w:fldChar w:fldCharType="begin"/>
      </w:r>
      <w:r>
        <w:instrText xml:space="preserve"> NOTEREF _Ref267057674 \h  \* MERGEFORMAT </w:instrText>
      </w:r>
      <w:r>
        <w:fldChar w:fldCharType="separate"/>
      </w:r>
      <w:r w:rsidRPr="00E045AC">
        <w:rPr>
          <w:szCs w:val="16"/>
        </w:rPr>
        <w:t>680</w:t>
      </w:r>
      <w:r>
        <w:fldChar w:fldCharType="end"/>
      </w:r>
      <w:r w:rsidRPr="00793101">
        <w:rPr>
          <w:i/>
          <w:szCs w:val="16"/>
        </w:rPr>
        <w:t xml:space="preserve"> </w:t>
      </w:r>
      <w:r w:rsidRPr="00793101">
        <w:rPr>
          <w:szCs w:val="16"/>
        </w:rPr>
        <w:t xml:space="preserve">at </w:t>
      </w:r>
      <w:r w:rsidRPr="00793101">
        <w:rPr>
          <w:szCs w:val="16"/>
          <w:lang w:val="en-CA"/>
        </w:rPr>
        <w:t>47-49.</w:t>
      </w:r>
    </w:p>
  </w:footnote>
  <w:footnote w:id="707">
    <w:p w14:paraId="44097020" w14:textId="7482593A" w:rsidR="00356280" w:rsidRPr="00793101" w:rsidRDefault="00356280" w:rsidP="001D4016">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12th Report: Canada’s Program on Crimes Against Humanity and War Crimes 2008-2011, supra </w:t>
      </w:r>
      <w:r w:rsidRPr="00793101">
        <w:rPr>
          <w:szCs w:val="16"/>
          <w:lang w:val="en-US"/>
        </w:rPr>
        <w:t xml:space="preserve">note </w:t>
      </w:r>
      <w:r>
        <w:fldChar w:fldCharType="begin"/>
      </w:r>
      <w:r>
        <w:instrText xml:space="preserve"> NOTEREF _Ref267057762 \h  \* MERGEFORMAT </w:instrText>
      </w:r>
      <w:r>
        <w:fldChar w:fldCharType="separate"/>
      </w:r>
      <w:r w:rsidRPr="00E045AC">
        <w:rPr>
          <w:szCs w:val="16"/>
          <w:lang w:val="en-US"/>
        </w:rPr>
        <w:t>684</w:t>
      </w:r>
      <w:r>
        <w:fldChar w:fldCharType="end"/>
      </w:r>
      <w:r w:rsidRPr="00793101">
        <w:rPr>
          <w:szCs w:val="16"/>
          <w:lang w:val="en-US"/>
        </w:rPr>
        <w:t xml:space="preserve"> at </w:t>
      </w:r>
      <w:r w:rsidRPr="00793101">
        <w:rPr>
          <w:iCs/>
          <w:szCs w:val="16"/>
          <w:lang w:val="en-CA"/>
        </w:rPr>
        <w:t>3.</w:t>
      </w:r>
    </w:p>
  </w:footnote>
  <w:footnote w:id="708">
    <w:p w14:paraId="391F4DBF" w14:textId="46ECA185" w:rsidR="00356280" w:rsidRPr="00CD7077" w:rsidRDefault="00356280" w:rsidP="00AA6144">
      <w:pPr>
        <w:pStyle w:val="FootnoteText"/>
        <w:spacing w:after="0" w:line="240" w:lineRule="auto"/>
        <w:rPr>
          <w:lang w:val="en-CA"/>
        </w:rPr>
      </w:pPr>
      <w:r>
        <w:rPr>
          <w:rStyle w:val="FootnoteReference"/>
        </w:rPr>
        <w:footnoteRef/>
      </w:r>
      <w:r>
        <w:t xml:space="preserve"> </w:t>
      </w:r>
      <w:r>
        <w:rPr>
          <w:i/>
          <w:lang w:val="en-CA"/>
        </w:rPr>
        <w:t>Crimes Against Humanity and War Crimes Program Evaluation: Final Report</w:t>
      </w:r>
      <w:r>
        <w:rPr>
          <w:lang w:val="en-CA"/>
        </w:rPr>
        <w:t xml:space="preserve">, </w:t>
      </w:r>
      <w:r w:rsidRPr="0077043E">
        <w:rPr>
          <w:i/>
          <w:lang w:val="en-CA"/>
        </w:rPr>
        <w:t xml:space="preserve">supra </w:t>
      </w:r>
      <w:r>
        <w:rPr>
          <w:lang w:val="en-CA"/>
        </w:rPr>
        <w:t xml:space="preserve">note </w:t>
      </w:r>
      <w:r>
        <w:rPr>
          <w:lang w:val="en-CA"/>
        </w:rPr>
        <w:fldChar w:fldCharType="begin"/>
      </w:r>
      <w:r>
        <w:rPr>
          <w:lang w:val="en-CA"/>
        </w:rPr>
        <w:instrText xml:space="preserve"> NOTEREF _Ref498080233 \h </w:instrText>
      </w:r>
      <w:r>
        <w:rPr>
          <w:lang w:val="en-CA"/>
        </w:rPr>
      </w:r>
      <w:r>
        <w:rPr>
          <w:lang w:val="en-CA"/>
        </w:rPr>
        <w:fldChar w:fldCharType="separate"/>
      </w:r>
      <w:r>
        <w:rPr>
          <w:lang w:val="en-CA"/>
        </w:rPr>
        <w:t>3</w:t>
      </w:r>
      <w:r>
        <w:rPr>
          <w:lang w:val="en-CA"/>
        </w:rPr>
        <w:fldChar w:fldCharType="end"/>
      </w:r>
      <w:r>
        <w:rPr>
          <w:lang w:val="en-CA"/>
        </w:rPr>
        <w:t xml:space="preserve"> at 59.</w:t>
      </w:r>
    </w:p>
  </w:footnote>
  <w:footnote w:id="709">
    <w:p w14:paraId="00F6753A" w14:textId="382A9882" w:rsidR="00356280" w:rsidRPr="00CD7077" w:rsidRDefault="00356280" w:rsidP="00AA6144">
      <w:pPr>
        <w:pStyle w:val="FootnoteText"/>
        <w:spacing w:after="0" w:line="240" w:lineRule="auto"/>
        <w:rPr>
          <w:lang w:val="en-CA"/>
        </w:rPr>
      </w:pPr>
      <w:r>
        <w:rPr>
          <w:rStyle w:val="FootnoteReference"/>
        </w:rPr>
        <w:footnoteRef/>
      </w:r>
      <w:r>
        <w:t xml:space="preserve"> </w:t>
      </w:r>
      <w:r>
        <w:rPr>
          <w:lang w:val="en-CA"/>
        </w:rPr>
        <w:t>Ibid. at 11.</w:t>
      </w:r>
    </w:p>
  </w:footnote>
  <w:footnote w:id="710">
    <w:p w14:paraId="09FBE793" w14:textId="324914E4" w:rsidR="00356280" w:rsidRPr="00793101" w:rsidRDefault="00356280" w:rsidP="00F8712C">
      <w:pPr>
        <w:pStyle w:val="FootnoteText"/>
        <w:spacing w:after="0" w:line="240" w:lineRule="auto"/>
        <w:rPr>
          <w:szCs w:val="16"/>
          <w:lang w:val="en-CA"/>
        </w:rPr>
      </w:pPr>
      <w:r w:rsidRPr="00793101">
        <w:rPr>
          <w:rStyle w:val="FootnoteReference"/>
          <w:szCs w:val="16"/>
          <w:lang w:val="en-CA"/>
        </w:rPr>
        <w:footnoteRef/>
      </w:r>
      <w:r w:rsidRPr="00793101">
        <w:rPr>
          <w:szCs w:val="16"/>
          <w:lang w:val="en-CA"/>
        </w:rPr>
        <w:t xml:space="preserve">  </w:t>
      </w:r>
      <w:r w:rsidRPr="0077043E">
        <w:rPr>
          <w:szCs w:val="16"/>
          <w:lang w:val="en-CA"/>
        </w:rPr>
        <w:t>Ibid</w:t>
      </w:r>
      <w:r>
        <w:rPr>
          <w:i/>
          <w:szCs w:val="16"/>
          <w:lang w:val="en-CA"/>
        </w:rPr>
        <w:t>.</w:t>
      </w:r>
      <w:r w:rsidRPr="00793101">
        <w:rPr>
          <w:szCs w:val="16"/>
          <w:lang w:val="en-CA"/>
        </w:rPr>
        <w:t xml:space="preserve"> at 18.</w:t>
      </w:r>
    </w:p>
  </w:footnote>
  <w:footnote w:id="711">
    <w:p w14:paraId="1FEF9A0B" w14:textId="54E36290" w:rsidR="00356280" w:rsidRPr="00166FF9" w:rsidRDefault="00356280" w:rsidP="00AA6144">
      <w:pPr>
        <w:pStyle w:val="FootnoteText"/>
        <w:spacing w:after="0" w:line="240" w:lineRule="auto"/>
        <w:rPr>
          <w:lang w:val="en-CA"/>
        </w:rPr>
      </w:pPr>
      <w:r>
        <w:rPr>
          <w:rStyle w:val="FootnoteReference"/>
        </w:rPr>
        <w:footnoteRef/>
      </w:r>
      <w:r>
        <w:t xml:space="preserve"> </w:t>
      </w:r>
      <w:r>
        <w:rPr>
          <w:lang w:val="en-CA"/>
        </w:rPr>
        <w:t>Ibid. at 72.</w:t>
      </w:r>
    </w:p>
  </w:footnote>
  <w:footnote w:id="712">
    <w:p w14:paraId="45F55A58" w14:textId="4D9BB7BD" w:rsidR="00356280" w:rsidRPr="00793101" w:rsidRDefault="00356280" w:rsidP="00F8712C">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 xml:space="preserve">Amnesty </w:t>
      </w:r>
      <w:r w:rsidRPr="00793101">
        <w:rPr>
          <w:bCs/>
          <w:i/>
          <w:szCs w:val="16"/>
          <w:lang w:val="en-US"/>
        </w:rPr>
        <w:t>International Canada Open Letter to Ministers Toews and Kenney about "Wanted by the CBSA", supra</w:t>
      </w:r>
      <w:r w:rsidRPr="00793101">
        <w:rPr>
          <w:bCs/>
          <w:szCs w:val="16"/>
          <w:lang w:val="en-US"/>
        </w:rPr>
        <w:t xml:space="preserve"> note</w:t>
      </w:r>
      <w:r>
        <w:rPr>
          <w:bCs/>
          <w:szCs w:val="16"/>
          <w:lang w:val="en-US"/>
        </w:rPr>
        <w:t xml:space="preserve"> 684.</w:t>
      </w:r>
    </w:p>
  </w:footnote>
  <w:footnote w:id="713">
    <w:p w14:paraId="7097C8F4" w14:textId="77777777" w:rsidR="00356280" w:rsidRPr="00793101" w:rsidRDefault="00356280" w:rsidP="00F8712C">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rPr>
        <w:t>Ibid.</w:t>
      </w:r>
      <w:r w:rsidRPr="00793101">
        <w:rPr>
          <w:szCs w:val="16"/>
        </w:rPr>
        <w:t xml:space="preserve"> </w:t>
      </w:r>
    </w:p>
  </w:footnote>
  <w:footnote w:id="714">
    <w:p w14:paraId="0A053F37" w14:textId="54BA880E" w:rsidR="00356280" w:rsidRPr="00166FF9" w:rsidRDefault="00356280" w:rsidP="00AA6144">
      <w:pPr>
        <w:pStyle w:val="FootnoteText"/>
        <w:spacing w:after="0" w:line="240" w:lineRule="auto"/>
        <w:rPr>
          <w:lang w:val="en-CA"/>
        </w:rPr>
      </w:pPr>
      <w:r>
        <w:rPr>
          <w:rStyle w:val="FootnoteReference"/>
        </w:rPr>
        <w:footnoteRef/>
      </w:r>
      <w:r>
        <w:t xml:space="preserve"> </w:t>
      </w:r>
      <w:r>
        <w:rPr>
          <w:i/>
          <w:lang w:val="en-CA"/>
        </w:rPr>
        <w:t>Crimes Against Humanity and War Crimes Program Evaluation: Final Report</w:t>
      </w:r>
      <w:r>
        <w:rPr>
          <w:lang w:val="en-CA"/>
        </w:rPr>
        <w:t xml:space="preserve">, </w:t>
      </w:r>
      <w:r w:rsidRPr="0077043E">
        <w:rPr>
          <w:i/>
          <w:lang w:val="en-CA"/>
        </w:rPr>
        <w:t xml:space="preserve">supra </w:t>
      </w:r>
      <w:r>
        <w:rPr>
          <w:lang w:val="en-CA"/>
        </w:rPr>
        <w:t xml:space="preserve">note </w:t>
      </w:r>
      <w:r>
        <w:rPr>
          <w:lang w:val="en-CA"/>
        </w:rPr>
        <w:fldChar w:fldCharType="begin"/>
      </w:r>
      <w:r>
        <w:rPr>
          <w:lang w:val="en-CA"/>
        </w:rPr>
        <w:instrText xml:space="preserve"> NOTEREF _Ref498080233 \h </w:instrText>
      </w:r>
      <w:r>
        <w:rPr>
          <w:lang w:val="en-CA"/>
        </w:rPr>
      </w:r>
      <w:r>
        <w:rPr>
          <w:lang w:val="en-CA"/>
        </w:rPr>
        <w:fldChar w:fldCharType="separate"/>
      </w:r>
      <w:r>
        <w:rPr>
          <w:lang w:val="en-CA"/>
        </w:rPr>
        <w:t>3</w:t>
      </w:r>
      <w:r>
        <w:rPr>
          <w:lang w:val="en-CA"/>
        </w:rPr>
        <w:fldChar w:fldCharType="end"/>
      </w:r>
      <w:r>
        <w:rPr>
          <w:lang w:val="en-CA"/>
        </w:rPr>
        <w:t xml:space="preserve"> at </w:t>
      </w:r>
      <w:proofErr w:type="spellStart"/>
      <w:r>
        <w:rPr>
          <w:lang w:val="en-CA"/>
        </w:rPr>
        <w:t>i</w:t>
      </w:r>
      <w:proofErr w:type="spellEnd"/>
      <w:r>
        <w:rPr>
          <w:lang w:val="en-CA"/>
        </w:rPr>
        <w:t>.</w:t>
      </w:r>
    </w:p>
  </w:footnote>
  <w:footnote w:id="715">
    <w:p w14:paraId="7C80EA8B" w14:textId="60551A81"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Lafontaine,</w:t>
      </w:r>
      <w:r w:rsidRPr="00793101">
        <w:rPr>
          <w:i/>
          <w:szCs w:val="16"/>
        </w:rPr>
        <w:t xml:space="preserve"> supra</w:t>
      </w:r>
      <w:r w:rsidRPr="00793101">
        <w:rPr>
          <w:szCs w:val="16"/>
        </w:rPr>
        <w:t xml:space="preserve"> note </w:t>
      </w:r>
      <w:r>
        <w:fldChar w:fldCharType="begin"/>
      </w:r>
      <w:r>
        <w:instrText xml:space="preserve"> NOTEREF _Ref267057974 \h  \* MERGEFORMAT </w:instrText>
      </w:r>
      <w:r>
        <w:fldChar w:fldCharType="separate"/>
      </w:r>
      <w:r w:rsidRPr="00E045AC">
        <w:rPr>
          <w:szCs w:val="16"/>
        </w:rPr>
        <w:t>223</w:t>
      </w:r>
      <w:r>
        <w:fldChar w:fldCharType="end"/>
      </w:r>
      <w:r w:rsidRPr="00793101">
        <w:rPr>
          <w:szCs w:val="16"/>
        </w:rPr>
        <w:t xml:space="preserve"> at 271. </w:t>
      </w:r>
    </w:p>
  </w:footnote>
  <w:footnote w:id="716">
    <w:p w14:paraId="78B2CD1B" w14:textId="1BEED133"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proofErr w:type="spellStart"/>
      <w:r w:rsidRPr="00793101">
        <w:rPr>
          <w:i/>
          <w:iCs/>
          <w:szCs w:val="16"/>
          <w:lang w:val="en-US"/>
        </w:rPr>
        <w:t>Finta</w:t>
      </w:r>
      <w:proofErr w:type="spellEnd"/>
      <w:r w:rsidRPr="00793101">
        <w:rPr>
          <w:szCs w:val="16"/>
          <w:lang w:val="en-US"/>
        </w:rPr>
        <w:t xml:space="preserve">, </w:t>
      </w:r>
      <w:r w:rsidRPr="00793101">
        <w:rPr>
          <w:i/>
          <w:szCs w:val="16"/>
          <w:lang w:val="en-US"/>
        </w:rPr>
        <w:t>supra</w:t>
      </w:r>
      <w:r w:rsidRPr="00793101">
        <w:rPr>
          <w:szCs w:val="16"/>
          <w:lang w:val="en-US"/>
        </w:rPr>
        <w:t xml:space="preserve"> note </w:t>
      </w:r>
      <w:r>
        <w:fldChar w:fldCharType="begin"/>
      </w:r>
      <w:r>
        <w:instrText xml:space="preserve"> NOTEREF _Ref267054720 \h  \* MERGEFORMAT </w:instrText>
      </w:r>
      <w:r>
        <w:fldChar w:fldCharType="separate"/>
      </w:r>
      <w:r w:rsidRPr="00E045AC">
        <w:rPr>
          <w:szCs w:val="16"/>
          <w:lang w:val="en-US"/>
        </w:rPr>
        <w:t>104</w:t>
      </w:r>
      <w:r>
        <w:fldChar w:fldCharType="end"/>
      </w:r>
      <w:r w:rsidRPr="00793101">
        <w:rPr>
          <w:szCs w:val="16"/>
          <w:lang w:val="en-US"/>
        </w:rPr>
        <w:t xml:space="preserve">. </w:t>
      </w:r>
    </w:p>
  </w:footnote>
  <w:footnote w:id="717">
    <w:p w14:paraId="7E737353"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r w:rsidRPr="00793101">
        <w:rPr>
          <w:i/>
          <w:color w:val="auto"/>
          <w:szCs w:val="16"/>
          <w:lang w:val="en-US"/>
        </w:rPr>
        <w:t xml:space="preserve">Prosecutor v </w:t>
      </w:r>
      <w:proofErr w:type="spellStart"/>
      <w:r w:rsidRPr="00793101">
        <w:rPr>
          <w:i/>
          <w:color w:val="auto"/>
          <w:szCs w:val="16"/>
          <w:lang w:val="en-US"/>
        </w:rPr>
        <w:t>Akayesu</w:t>
      </w:r>
      <w:proofErr w:type="spellEnd"/>
      <w:r w:rsidRPr="00793101">
        <w:rPr>
          <w:i/>
          <w:color w:val="auto"/>
          <w:szCs w:val="16"/>
          <w:lang w:val="en-US"/>
        </w:rPr>
        <w:t xml:space="preserve">, </w:t>
      </w:r>
      <w:r w:rsidRPr="00793101">
        <w:rPr>
          <w:color w:val="auto"/>
          <w:szCs w:val="16"/>
          <w:lang w:val="en-US"/>
        </w:rPr>
        <w:t xml:space="preserve">(Judgment) 1 June 2001 (ICTR Appeals Chamber), paras 447 to 469. </w:t>
      </w:r>
    </w:p>
  </w:footnote>
  <w:footnote w:id="718">
    <w:p w14:paraId="2E1C345C" w14:textId="2735A7AC"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r w:rsidRPr="00FD1463">
        <w:rPr>
          <w:i/>
          <w:szCs w:val="16"/>
          <w:lang w:val="es-AR"/>
        </w:rPr>
        <w:t>Finta, supra</w:t>
      </w:r>
      <w:r w:rsidRPr="00FD1463">
        <w:rPr>
          <w:szCs w:val="16"/>
          <w:lang w:val="es-AR"/>
        </w:rPr>
        <w:t xml:space="preserve"> note </w:t>
      </w:r>
      <w:r>
        <w:fldChar w:fldCharType="begin"/>
      </w:r>
      <w:r w:rsidRPr="00FD1463">
        <w:rPr>
          <w:lang w:val="es-AR"/>
        </w:rPr>
        <w:instrText xml:space="preserve"> NOTEREF _Ref267054720 \h  \* MERGEFORMAT </w:instrText>
      </w:r>
      <w:r>
        <w:fldChar w:fldCharType="separate"/>
      </w:r>
      <w:r w:rsidRPr="00E045AC">
        <w:rPr>
          <w:szCs w:val="16"/>
          <w:lang w:val="es-AR"/>
        </w:rPr>
        <w:t>104</w:t>
      </w:r>
      <w:r>
        <w:fldChar w:fldCharType="end"/>
      </w:r>
      <w:r w:rsidRPr="00FD1463">
        <w:rPr>
          <w:szCs w:val="16"/>
          <w:lang w:val="es-AR"/>
        </w:rPr>
        <w:t xml:space="preserve"> at 846.  </w:t>
      </w:r>
    </w:p>
  </w:footnote>
  <w:footnote w:id="719">
    <w:p w14:paraId="0B1174FB" w14:textId="2E1F30EF" w:rsidR="00356280" w:rsidRPr="00793101" w:rsidRDefault="00356280" w:rsidP="0040644D">
      <w:pPr>
        <w:pStyle w:val="FootnoteText"/>
        <w:spacing w:after="0" w:line="240" w:lineRule="auto"/>
        <w:rPr>
          <w:szCs w:val="16"/>
          <w:lang w:val="es-SV"/>
        </w:rPr>
      </w:pPr>
      <w:r w:rsidRPr="00793101">
        <w:rPr>
          <w:rStyle w:val="FootnoteReference"/>
          <w:szCs w:val="16"/>
        </w:rPr>
        <w:footnoteRef/>
      </w:r>
      <w:r w:rsidRPr="00793101">
        <w:rPr>
          <w:szCs w:val="16"/>
          <w:lang w:val="es-SV"/>
        </w:rPr>
        <w:t xml:space="preserve"> </w:t>
      </w:r>
      <w:proofErr w:type="spellStart"/>
      <w:r w:rsidRPr="00793101">
        <w:rPr>
          <w:i/>
          <w:iCs/>
          <w:szCs w:val="16"/>
          <w:lang w:val="es-SV"/>
        </w:rPr>
        <w:t>Munyaneza</w:t>
      </w:r>
      <w:proofErr w:type="spellEnd"/>
      <w:r w:rsidRPr="00793101">
        <w:rPr>
          <w:szCs w:val="16"/>
          <w:lang w:val="es-SV"/>
        </w:rPr>
        <w:t>,</w:t>
      </w:r>
      <w:r w:rsidRPr="00793101">
        <w:rPr>
          <w:i/>
          <w:szCs w:val="16"/>
          <w:lang w:val="es-SV"/>
        </w:rPr>
        <w:t xml:space="preserve"> supra</w:t>
      </w:r>
      <w:r w:rsidRPr="00793101">
        <w:rPr>
          <w:szCs w:val="16"/>
          <w:lang w:val="es-SV"/>
        </w:rPr>
        <w:t xml:space="preserve"> note </w:t>
      </w:r>
      <w:r>
        <w:fldChar w:fldCharType="begin"/>
      </w:r>
      <w:r w:rsidRPr="00FD1463">
        <w:rPr>
          <w:lang w:val="es-AR"/>
        </w:rPr>
        <w:instrText xml:space="preserve"> NOTEREF _Ref267057917 \h  \* MERGEFORMAT </w:instrText>
      </w:r>
      <w:r>
        <w:fldChar w:fldCharType="separate"/>
      </w:r>
      <w:r w:rsidRPr="00E045AC">
        <w:rPr>
          <w:szCs w:val="16"/>
          <w:lang w:val="es-SV"/>
        </w:rPr>
        <w:t>252</w:t>
      </w:r>
      <w:r>
        <w:fldChar w:fldCharType="end"/>
      </w:r>
      <w:r w:rsidRPr="00793101">
        <w:rPr>
          <w:szCs w:val="16"/>
          <w:lang w:val="es-SV"/>
        </w:rPr>
        <w:t>.</w:t>
      </w:r>
    </w:p>
  </w:footnote>
  <w:footnote w:id="720">
    <w:p w14:paraId="37C18691" w14:textId="41B200CB"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Lafontaine, </w:t>
      </w:r>
      <w:r w:rsidRPr="00793101">
        <w:rPr>
          <w:i/>
          <w:szCs w:val="16"/>
        </w:rPr>
        <w:t>supra</w:t>
      </w:r>
      <w:r w:rsidRPr="00793101">
        <w:rPr>
          <w:szCs w:val="16"/>
        </w:rPr>
        <w:t xml:space="preserve"> note </w:t>
      </w:r>
      <w:r>
        <w:fldChar w:fldCharType="begin"/>
      </w:r>
      <w:r>
        <w:instrText xml:space="preserve"> NOTEREF _Ref267057974 \h  \* MERGEFORMAT </w:instrText>
      </w:r>
      <w:r>
        <w:fldChar w:fldCharType="separate"/>
      </w:r>
      <w:r w:rsidRPr="00E045AC">
        <w:rPr>
          <w:szCs w:val="16"/>
        </w:rPr>
        <w:t>223</w:t>
      </w:r>
      <w:r>
        <w:fldChar w:fldCharType="end"/>
      </w:r>
      <w:r w:rsidRPr="00793101">
        <w:rPr>
          <w:szCs w:val="16"/>
        </w:rPr>
        <w:t xml:space="preserve"> at 272. See also Robert J Currie &amp; Ion </w:t>
      </w:r>
      <w:proofErr w:type="spellStart"/>
      <w:r w:rsidRPr="00793101">
        <w:rPr>
          <w:szCs w:val="16"/>
        </w:rPr>
        <w:t>Stancu</w:t>
      </w:r>
      <w:proofErr w:type="spellEnd"/>
      <w:r w:rsidRPr="00793101">
        <w:rPr>
          <w:szCs w:val="16"/>
        </w:rPr>
        <w:t>, “</w:t>
      </w:r>
      <w:r w:rsidRPr="00793101">
        <w:rPr>
          <w:i/>
          <w:szCs w:val="16"/>
        </w:rPr>
        <w:t xml:space="preserve">R. v. </w:t>
      </w:r>
      <w:proofErr w:type="spellStart"/>
      <w:r w:rsidRPr="00793101">
        <w:rPr>
          <w:i/>
          <w:szCs w:val="16"/>
        </w:rPr>
        <w:t>Munyaneza</w:t>
      </w:r>
      <w:proofErr w:type="spellEnd"/>
      <w:r w:rsidRPr="00793101">
        <w:rPr>
          <w:szCs w:val="16"/>
        </w:rPr>
        <w:t>: Pondering Canada’s First Core Crimes Conviction” (2010) 10 International Criminal Law Review 829-853.</w:t>
      </w:r>
    </w:p>
  </w:footnote>
  <w:footnote w:id="721">
    <w:p w14:paraId="16544A29" w14:textId="63996BA6"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proofErr w:type="spellStart"/>
      <w:r w:rsidRPr="00FD1463">
        <w:rPr>
          <w:i/>
          <w:iCs/>
          <w:szCs w:val="16"/>
          <w:lang w:val="es-AR"/>
        </w:rPr>
        <w:t>Munyaneza</w:t>
      </w:r>
      <w:proofErr w:type="spellEnd"/>
      <w:r w:rsidRPr="00FD1463">
        <w:rPr>
          <w:szCs w:val="16"/>
          <w:lang w:val="es-AR"/>
        </w:rPr>
        <w:t xml:space="preserve">, </w:t>
      </w:r>
      <w:r w:rsidRPr="00FD1463">
        <w:rPr>
          <w:i/>
          <w:szCs w:val="16"/>
          <w:lang w:val="es-AR"/>
        </w:rPr>
        <w:t xml:space="preserve">supra </w:t>
      </w:r>
      <w:r w:rsidRPr="00FD1463">
        <w:rPr>
          <w:szCs w:val="16"/>
          <w:lang w:val="es-AR"/>
        </w:rPr>
        <w:t xml:space="preserve">note </w:t>
      </w:r>
      <w:r>
        <w:fldChar w:fldCharType="begin"/>
      </w:r>
      <w:r w:rsidRPr="00FD1463">
        <w:rPr>
          <w:lang w:val="es-AR"/>
        </w:rPr>
        <w:instrText xml:space="preserve"> NOTEREF _Ref267057917 \h  \* MERGEFORMAT </w:instrText>
      </w:r>
      <w:r>
        <w:fldChar w:fldCharType="separate"/>
      </w:r>
      <w:r w:rsidRPr="00E045AC">
        <w:rPr>
          <w:szCs w:val="16"/>
          <w:lang w:val="es-AR"/>
        </w:rPr>
        <w:t>252</w:t>
      </w:r>
      <w:r>
        <w:fldChar w:fldCharType="end"/>
      </w:r>
      <w:r w:rsidRPr="00FD1463">
        <w:rPr>
          <w:szCs w:val="16"/>
          <w:lang w:val="es-AR"/>
        </w:rPr>
        <w:t xml:space="preserve"> at paras 110-117.</w:t>
      </w:r>
    </w:p>
  </w:footnote>
  <w:footnote w:id="722">
    <w:p w14:paraId="3AADC66F" w14:textId="77777777"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proofErr w:type="spellStart"/>
      <w:r w:rsidRPr="00FD1463">
        <w:rPr>
          <w:bCs/>
          <w:i/>
          <w:szCs w:val="16"/>
          <w:lang w:val="es-AR"/>
        </w:rPr>
        <w:t>Munyaneza</w:t>
      </w:r>
      <w:proofErr w:type="spellEnd"/>
      <w:r w:rsidRPr="00FD1463">
        <w:rPr>
          <w:bCs/>
          <w:i/>
          <w:szCs w:val="16"/>
          <w:lang w:val="es-AR"/>
        </w:rPr>
        <w:t xml:space="preserve"> v R</w:t>
      </w:r>
      <w:r w:rsidRPr="00FD1463">
        <w:rPr>
          <w:bCs/>
          <w:szCs w:val="16"/>
          <w:lang w:val="es-AR"/>
        </w:rPr>
        <w:t>, 2014 QCCA 906, [2014] QJ No 3059 (</w:t>
      </w:r>
      <w:proofErr w:type="spellStart"/>
      <w:r w:rsidRPr="00FD1463">
        <w:rPr>
          <w:bCs/>
          <w:szCs w:val="16"/>
          <w:lang w:val="es-AR"/>
        </w:rPr>
        <w:t>Quicklaw</w:t>
      </w:r>
      <w:proofErr w:type="spellEnd"/>
      <w:r w:rsidRPr="00FD1463">
        <w:rPr>
          <w:bCs/>
          <w:szCs w:val="16"/>
          <w:lang w:val="es-AR"/>
        </w:rPr>
        <w:t xml:space="preserve">). </w:t>
      </w:r>
    </w:p>
  </w:footnote>
  <w:footnote w:id="723">
    <w:p w14:paraId="37A26B5D"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bCs/>
          <w:i/>
          <w:szCs w:val="16"/>
          <w:lang w:val="en-US"/>
        </w:rPr>
        <w:t>Ibid</w:t>
      </w:r>
      <w:r w:rsidRPr="00793101">
        <w:rPr>
          <w:bCs/>
          <w:szCs w:val="16"/>
          <w:lang w:val="en-US"/>
        </w:rPr>
        <w:t xml:space="preserve">, at </w:t>
      </w:r>
      <w:r w:rsidRPr="00793101">
        <w:rPr>
          <w:szCs w:val="16"/>
          <w:lang w:val="en-US"/>
        </w:rPr>
        <w:t xml:space="preserve">para 372. </w:t>
      </w:r>
    </w:p>
  </w:footnote>
  <w:footnote w:id="724">
    <w:p w14:paraId="6CFD9CDC" w14:textId="77777777" w:rsidR="00356280" w:rsidRPr="000C692A" w:rsidRDefault="00356280" w:rsidP="0040644D">
      <w:pPr>
        <w:pStyle w:val="FootnoteText"/>
        <w:spacing w:after="0" w:line="240" w:lineRule="auto"/>
        <w:rPr>
          <w:szCs w:val="16"/>
          <w:lang w:val="en-US"/>
        </w:rPr>
      </w:pPr>
      <w:r w:rsidRPr="00793101">
        <w:rPr>
          <w:rStyle w:val="FootnoteReference"/>
          <w:szCs w:val="16"/>
        </w:rPr>
        <w:footnoteRef/>
      </w:r>
      <w:r w:rsidRPr="000C692A">
        <w:rPr>
          <w:szCs w:val="16"/>
          <w:lang w:val="en-US"/>
        </w:rPr>
        <w:t xml:space="preserve"> </w:t>
      </w:r>
      <w:r w:rsidRPr="000C692A">
        <w:rPr>
          <w:i/>
          <w:szCs w:val="16"/>
          <w:lang w:val="en-US"/>
        </w:rPr>
        <w:t>CCIJ’s Public Cases and Interventions</w:t>
      </w:r>
      <w:r w:rsidRPr="000C692A">
        <w:rPr>
          <w:szCs w:val="16"/>
          <w:lang w:val="en-US"/>
        </w:rPr>
        <w:t xml:space="preserve">, </w:t>
      </w:r>
      <w:proofErr w:type="gramStart"/>
      <w:r w:rsidRPr="000C692A">
        <w:rPr>
          <w:szCs w:val="16"/>
          <w:lang w:val="en-US"/>
        </w:rPr>
        <w:t>online :</w:t>
      </w:r>
      <w:proofErr w:type="gramEnd"/>
      <w:r w:rsidRPr="000C692A">
        <w:rPr>
          <w:szCs w:val="16"/>
          <w:lang w:val="en-US"/>
        </w:rPr>
        <w:t xml:space="preserve"> Canadian Centre for International Justice &lt;http://www.ccij.ca/programs/cases/index.php?DOC_INST=19&gt;.</w:t>
      </w:r>
    </w:p>
  </w:footnote>
  <w:footnote w:id="725">
    <w:p w14:paraId="5877881A" w14:textId="5DF3B0D2"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w:t>
      </w:r>
      <w:proofErr w:type="spellStart"/>
      <w:r w:rsidRPr="00793101">
        <w:rPr>
          <w:i/>
          <w:iCs/>
          <w:szCs w:val="16"/>
          <w:lang w:val="en-US"/>
        </w:rPr>
        <w:t>Mugesera</w:t>
      </w:r>
      <w:proofErr w:type="spellEnd"/>
      <w:r w:rsidRPr="00793101">
        <w:rPr>
          <w:i/>
          <w:iCs/>
          <w:szCs w:val="16"/>
          <w:lang w:val="en-US"/>
        </w:rPr>
        <w:t xml:space="preserve">, supra </w:t>
      </w:r>
      <w:r w:rsidRPr="00793101">
        <w:rPr>
          <w:iCs/>
          <w:szCs w:val="16"/>
          <w:lang w:val="en-US"/>
        </w:rPr>
        <w:t xml:space="preserve">note </w:t>
      </w:r>
      <w:r>
        <w:fldChar w:fldCharType="begin"/>
      </w:r>
      <w:r>
        <w:instrText xml:space="preserve"> NOTEREF _Ref266972936 \h  \* MERGEFORMAT </w:instrText>
      </w:r>
      <w:r>
        <w:fldChar w:fldCharType="separate"/>
      </w:r>
      <w:r w:rsidRPr="00E045AC">
        <w:rPr>
          <w:iCs/>
          <w:szCs w:val="16"/>
          <w:lang w:val="en-US"/>
        </w:rPr>
        <w:t>217</w:t>
      </w:r>
      <w:r>
        <w:fldChar w:fldCharType="end"/>
      </w:r>
      <w:r w:rsidRPr="00793101">
        <w:rPr>
          <w:iCs/>
          <w:szCs w:val="16"/>
          <w:lang w:val="en-US"/>
        </w:rPr>
        <w:t>.</w:t>
      </w:r>
      <w:r w:rsidRPr="00793101">
        <w:rPr>
          <w:i/>
          <w:iCs/>
          <w:szCs w:val="16"/>
          <w:lang w:val="en-US"/>
        </w:rPr>
        <w:t xml:space="preserve">  </w:t>
      </w:r>
    </w:p>
  </w:footnote>
  <w:footnote w:id="726">
    <w:p w14:paraId="7CAD21BC"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0C692A">
        <w:rPr>
          <w:i/>
          <w:szCs w:val="16"/>
          <w:lang w:val="en-US"/>
        </w:rPr>
        <w:t>CCIJ’s Public Cases and Interventions</w:t>
      </w:r>
      <w:r w:rsidRPr="000C692A">
        <w:rPr>
          <w:szCs w:val="16"/>
          <w:lang w:val="en-US"/>
        </w:rPr>
        <w:t xml:space="preserve">, </w:t>
      </w:r>
      <w:proofErr w:type="gramStart"/>
      <w:r w:rsidRPr="000C692A">
        <w:rPr>
          <w:szCs w:val="16"/>
          <w:lang w:val="en-US"/>
        </w:rPr>
        <w:t>online :</w:t>
      </w:r>
      <w:proofErr w:type="gramEnd"/>
      <w:r w:rsidRPr="000C692A">
        <w:rPr>
          <w:szCs w:val="16"/>
          <w:lang w:val="en-US"/>
        </w:rPr>
        <w:t xml:space="preserve"> Canadian Centre for International Justice &lt;http://www.ccij.ca/programs/cases/index.php?DOC_INST=19&gt;.</w:t>
      </w:r>
    </w:p>
  </w:footnote>
  <w:footnote w:id="727">
    <w:p w14:paraId="18F436C4" w14:textId="0B1E435B" w:rsidR="00356280" w:rsidRPr="00FD1463" w:rsidRDefault="00356280" w:rsidP="0040644D">
      <w:pPr>
        <w:pStyle w:val="FootnoteText"/>
        <w:spacing w:after="0" w:line="240" w:lineRule="auto"/>
        <w:rPr>
          <w:szCs w:val="16"/>
          <w:lang w:val="es-AR"/>
        </w:rPr>
      </w:pPr>
      <w:r w:rsidRPr="00793101">
        <w:rPr>
          <w:rStyle w:val="FootnoteReference"/>
          <w:szCs w:val="16"/>
        </w:rPr>
        <w:footnoteRef/>
      </w:r>
      <w:r w:rsidRPr="00FD1463">
        <w:rPr>
          <w:szCs w:val="16"/>
          <w:lang w:val="es-AR"/>
        </w:rPr>
        <w:t xml:space="preserve"> </w:t>
      </w:r>
      <w:proofErr w:type="spellStart"/>
      <w:r w:rsidRPr="00FD1463">
        <w:rPr>
          <w:i/>
          <w:szCs w:val="16"/>
          <w:lang w:val="es-AR"/>
        </w:rPr>
        <w:t>Mugesera</w:t>
      </w:r>
      <w:proofErr w:type="spellEnd"/>
      <w:r w:rsidRPr="00FD1463">
        <w:rPr>
          <w:i/>
          <w:szCs w:val="16"/>
          <w:lang w:val="es-AR"/>
        </w:rPr>
        <w:t xml:space="preserve">, supra </w:t>
      </w:r>
      <w:r w:rsidRPr="00FD1463">
        <w:rPr>
          <w:szCs w:val="16"/>
          <w:lang w:val="es-AR"/>
        </w:rPr>
        <w:t xml:space="preserve">note </w:t>
      </w:r>
      <w:r>
        <w:fldChar w:fldCharType="begin"/>
      </w:r>
      <w:r w:rsidRPr="00FD1463">
        <w:rPr>
          <w:lang w:val="es-AR"/>
        </w:rPr>
        <w:instrText xml:space="preserve"> NOTEREF _Ref266972936 \h  \* MERGEFORMAT </w:instrText>
      </w:r>
      <w:r>
        <w:fldChar w:fldCharType="separate"/>
      </w:r>
      <w:r w:rsidRPr="00E045AC">
        <w:rPr>
          <w:szCs w:val="16"/>
          <w:lang w:val="es-AR"/>
        </w:rPr>
        <w:t>217</w:t>
      </w:r>
      <w:r>
        <w:fldChar w:fldCharType="end"/>
      </w:r>
      <w:r w:rsidRPr="00FD1463">
        <w:rPr>
          <w:i/>
          <w:szCs w:val="16"/>
          <w:lang w:val="es-AR"/>
        </w:rPr>
        <w:t xml:space="preserve"> </w:t>
      </w:r>
      <w:r w:rsidRPr="00FD1463">
        <w:rPr>
          <w:szCs w:val="16"/>
          <w:lang w:val="es-AR"/>
        </w:rPr>
        <w:t xml:space="preserve">at para 174. </w:t>
      </w:r>
    </w:p>
  </w:footnote>
  <w:footnote w:id="728">
    <w:p w14:paraId="6BE5AE47"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i/>
          <w:szCs w:val="16"/>
          <w:lang w:val="en-US"/>
        </w:rPr>
        <w:t xml:space="preserve">Ibid </w:t>
      </w:r>
      <w:r w:rsidRPr="00793101">
        <w:rPr>
          <w:szCs w:val="16"/>
          <w:lang w:val="en-US"/>
        </w:rPr>
        <w:t>at para 119.</w:t>
      </w:r>
    </w:p>
  </w:footnote>
  <w:footnote w:id="729">
    <w:p w14:paraId="655BD905" w14:textId="77777777" w:rsidR="00356280" w:rsidRPr="00793101" w:rsidRDefault="00356280" w:rsidP="0040644D">
      <w:pPr>
        <w:pStyle w:val="FootnoteText"/>
        <w:spacing w:after="0" w:line="240" w:lineRule="auto"/>
        <w:rPr>
          <w:szCs w:val="16"/>
        </w:rPr>
      </w:pPr>
      <w:r w:rsidRPr="00793101">
        <w:rPr>
          <w:rStyle w:val="FootnoteReference"/>
          <w:szCs w:val="16"/>
        </w:rPr>
        <w:footnoteRef/>
      </w:r>
      <w:r w:rsidRPr="00793101">
        <w:rPr>
          <w:szCs w:val="16"/>
        </w:rPr>
        <w:t xml:space="preserve">  In December 2011, the Canadian government determined that </w:t>
      </w:r>
      <w:proofErr w:type="spellStart"/>
      <w:r w:rsidRPr="00793101">
        <w:rPr>
          <w:szCs w:val="16"/>
        </w:rPr>
        <w:t>Mugesera</w:t>
      </w:r>
      <w:proofErr w:type="spellEnd"/>
      <w:r w:rsidRPr="00793101">
        <w:rPr>
          <w:szCs w:val="16"/>
        </w:rPr>
        <w:t xml:space="preserve"> would not be subject to persecution upon return to Rwanda and confirmed his deportation for early 2012. In January 2012, </w:t>
      </w:r>
      <w:proofErr w:type="spellStart"/>
      <w:r w:rsidRPr="00793101">
        <w:rPr>
          <w:szCs w:val="16"/>
        </w:rPr>
        <w:t>Mugesera</w:t>
      </w:r>
      <w:proofErr w:type="spellEnd"/>
      <w:r w:rsidRPr="00793101">
        <w:rPr>
          <w:szCs w:val="16"/>
        </w:rPr>
        <w:t xml:space="preserve"> lost his appeal before the Federal Court in an effort to prevent his removal to Rwanda but succeeded in obtaining a request by the United Nations Committee against Torture to delay his deportation so the Committee could assess whether he would be at risk of torture in Rwanda. The Quebec Superior Court granted </w:t>
      </w:r>
      <w:proofErr w:type="spellStart"/>
      <w:r w:rsidRPr="00793101">
        <w:rPr>
          <w:szCs w:val="16"/>
        </w:rPr>
        <w:t>Mugesera</w:t>
      </w:r>
      <w:proofErr w:type="spellEnd"/>
      <w:r w:rsidRPr="00793101">
        <w:rPr>
          <w:szCs w:val="16"/>
        </w:rPr>
        <w:t xml:space="preserve"> a temporary stay of his deportation, pending a hearing on the Committee’s request.  On January 23 2012, the Superior Court refused to block the deportation, </w:t>
      </w:r>
      <w:proofErr w:type="gramStart"/>
      <w:r w:rsidRPr="00793101">
        <w:rPr>
          <w:szCs w:val="16"/>
        </w:rPr>
        <w:t>a  final</w:t>
      </w:r>
      <w:proofErr w:type="gramEnd"/>
      <w:r w:rsidRPr="00793101">
        <w:rPr>
          <w:szCs w:val="16"/>
        </w:rPr>
        <w:t xml:space="preserve"> appeal to the Federal Court was rejected and </w:t>
      </w:r>
      <w:proofErr w:type="spellStart"/>
      <w:r w:rsidRPr="00793101">
        <w:rPr>
          <w:szCs w:val="16"/>
        </w:rPr>
        <w:t>Mugesera</w:t>
      </w:r>
      <w:proofErr w:type="spellEnd"/>
      <w:r w:rsidRPr="00793101">
        <w:rPr>
          <w:szCs w:val="16"/>
        </w:rPr>
        <w:t xml:space="preserve"> was deported the same day. </w:t>
      </w:r>
    </w:p>
  </w:footnote>
  <w:footnote w:id="730">
    <w:p w14:paraId="0FA17F25" w14:textId="77777777" w:rsidR="00356280" w:rsidRPr="00793101" w:rsidRDefault="00356280" w:rsidP="0040644D">
      <w:pPr>
        <w:pStyle w:val="FootnoteText"/>
        <w:spacing w:after="0" w:line="240" w:lineRule="auto"/>
        <w:rPr>
          <w:szCs w:val="16"/>
          <w:lang w:val="en-US"/>
        </w:rPr>
      </w:pPr>
      <w:r w:rsidRPr="00793101">
        <w:rPr>
          <w:rStyle w:val="FootnoteReference"/>
          <w:szCs w:val="16"/>
        </w:rPr>
        <w:footnoteRef/>
      </w:r>
      <w:r w:rsidRPr="00793101">
        <w:rPr>
          <w:szCs w:val="16"/>
        </w:rPr>
        <w:t xml:space="preserve"> </w:t>
      </w:r>
      <w:r w:rsidRPr="00793101">
        <w:rPr>
          <w:bCs/>
          <w:i/>
          <w:szCs w:val="16"/>
          <w:lang w:val="en-US"/>
        </w:rPr>
        <w:t>Trial of ex-Quebec resident on Rwanda genocide charges stirs tensions</w:t>
      </w:r>
      <w:r w:rsidRPr="00793101">
        <w:rPr>
          <w:bCs/>
          <w:szCs w:val="16"/>
          <w:lang w:val="en-US"/>
        </w:rPr>
        <w:t>, 17 November 2013, online: CTV News &lt;http://www.ctvnews.ca/canada/trial-of-ex-quebec-resident-on-rwanda-genocide-charges-stirs-tensions-1.1547147&gt;.</w:t>
      </w:r>
    </w:p>
  </w:footnote>
  <w:footnote w:id="731">
    <w:p w14:paraId="34CE40B4" w14:textId="04284A4E" w:rsidR="00356280" w:rsidRPr="00AA6144" w:rsidRDefault="00356280" w:rsidP="00AA6144">
      <w:pPr>
        <w:widowControl/>
        <w:suppressAutoHyphens w:val="0"/>
        <w:spacing w:after="0" w:line="240" w:lineRule="auto"/>
        <w:rPr>
          <w:rFonts w:ascii="Times New Roman" w:hAnsi="Times New Roman"/>
          <w:color w:val="auto"/>
          <w:sz w:val="16"/>
          <w:szCs w:val="16"/>
          <w:lang w:eastAsia="en-US"/>
        </w:rPr>
      </w:pPr>
      <w:r w:rsidRPr="00AA6144">
        <w:rPr>
          <w:rStyle w:val="FootnoteReference"/>
          <w:sz w:val="16"/>
          <w:szCs w:val="16"/>
        </w:rPr>
        <w:footnoteRef/>
      </w:r>
      <w:r w:rsidRPr="00AA6144">
        <w:rPr>
          <w:sz w:val="16"/>
          <w:szCs w:val="16"/>
        </w:rPr>
        <w:t xml:space="preserve"> </w:t>
      </w:r>
      <w:proofErr w:type="spellStart"/>
      <w:r w:rsidRPr="000C2340">
        <w:rPr>
          <w:i/>
          <w:sz w:val="16"/>
          <w:szCs w:val="16"/>
        </w:rPr>
        <w:t>Ezokola</w:t>
      </w:r>
      <w:proofErr w:type="spellEnd"/>
      <w:r w:rsidRPr="00AA6144">
        <w:rPr>
          <w:i/>
          <w:sz w:val="16"/>
          <w:szCs w:val="16"/>
        </w:rPr>
        <w:t xml:space="preserve"> v. Canada (Citizenship and Immigration</w:t>
      </w:r>
      <w:r w:rsidRPr="00AA6144">
        <w:rPr>
          <w:sz w:val="16"/>
          <w:szCs w:val="16"/>
        </w:rPr>
        <w:t>), 2013 SCC 40,</w:t>
      </w:r>
      <w:r w:rsidRPr="00EF7063">
        <w:rPr>
          <w:sz w:val="16"/>
          <w:szCs w:val="16"/>
        </w:rPr>
        <w:t xml:space="preserve"> </w:t>
      </w:r>
      <w:r w:rsidRPr="00EF7063">
        <w:rPr>
          <w:bCs/>
          <w:sz w:val="16"/>
          <w:szCs w:val="16"/>
          <w:lang w:val="en-CA"/>
        </w:rPr>
        <w:t>[</w:t>
      </w:r>
      <w:r w:rsidRPr="00AA6144">
        <w:rPr>
          <w:bCs/>
          <w:sz w:val="16"/>
          <w:szCs w:val="16"/>
          <w:lang w:val="en-CA"/>
        </w:rPr>
        <w:t>2013</w:t>
      </w:r>
      <w:r w:rsidRPr="00EF7063">
        <w:rPr>
          <w:bCs/>
          <w:sz w:val="16"/>
          <w:szCs w:val="16"/>
          <w:lang w:val="en-CA"/>
        </w:rPr>
        <w:t>]</w:t>
      </w:r>
      <w:r w:rsidRPr="00EF7063">
        <w:rPr>
          <w:sz w:val="16"/>
          <w:szCs w:val="16"/>
          <w:lang w:val="en-CA"/>
        </w:rPr>
        <w:t xml:space="preserve"> 2 </w:t>
      </w:r>
      <w:r w:rsidRPr="00AA6144">
        <w:rPr>
          <w:sz w:val="16"/>
          <w:szCs w:val="16"/>
        </w:rPr>
        <w:t>SCR 678</w:t>
      </w:r>
      <w:r>
        <w:rPr>
          <w:sz w:val="16"/>
          <w:szCs w:val="16"/>
        </w:rPr>
        <w:t>.</w:t>
      </w:r>
    </w:p>
  </w:footnote>
  <w:footnote w:id="732">
    <w:p w14:paraId="2357DD2F" w14:textId="0346FC30" w:rsidR="00356280" w:rsidRPr="00AA6144" w:rsidRDefault="00356280" w:rsidP="00AA6144">
      <w:pPr>
        <w:pStyle w:val="FootnoteText"/>
        <w:spacing w:after="0" w:line="240" w:lineRule="auto"/>
        <w:rPr>
          <w:lang w:val="en-CA"/>
        </w:rPr>
      </w:pPr>
      <w:r w:rsidRPr="00EF7063">
        <w:rPr>
          <w:rStyle w:val="FootnoteReference"/>
          <w:szCs w:val="16"/>
        </w:rPr>
        <w:footnoteRef/>
      </w:r>
      <w:r w:rsidRPr="00EF7063">
        <w:rPr>
          <w:szCs w:val="16"/>
        </w:rPr>
        <w:t xml:space="preserve"> </w:t>
      </w:r>
      <w:r w:rsidRPr="00AA6144">
        <w:rPr>
          <w:i/>
          <w:szCs w:val="16"/>
          <w:lang w:val="en-CA"/>
        </w:rPr>
        <w:t xml:space="preserve">Ibid, </w:t>
      </w:r>
      <w:r w:rsidRPr="00EF7063">
        <w:rPr>
          <w:szCs w:val="16"/>
          <w:lang w:val="en-CA"/>
        </w:rPr>
        <w:t>at para 19</w:t>
      </w:r>
      <w:r>
        <w:rPr>
          <w:szCs w:val="16"/>
          <w:lang w:val="en-CA"/>
        </w:rPr>
        <w:t>.</w:t>
      </w:r>
    </w:p>
  </w:footnote>
  <w:footnote w:id="733">
    <w:p w14:paraId="06C0B8F6" w14:textId="0B83A83A" w:rsidR="00356280" w:rsidRPr="00AA6144" w:rsidRDefault="00356280" w:rsidP="00AA6144">
      <w:pPr>
        <w:pStyle w:val="FootnoteText"/>
        <w:spacing w:after="0" w:line="240" w:lineRule="auto"/>
        <w:rPr>
          <w:lang w:val="en-CA"/>
        </w:rPr>
      </w:pPr>
      <w:r>
        <w:rPr>
          <w:rStyle w:val="FootnoteReference"/>
        </w:rPr>
        <w:footnoteRef/>
      </w:r>
      <w:r>
        <w:t xml:space="preserve"> </w:t>
      </w:r>
      <w:r>
        <w:rPr>
          <w:lang w:val="en-CA"/>
        </w:rPr>
        <w:t>Amnesty International Canada, “</w:t>
      </w:r>
      <w:proofErr w:type="spellStart"/>
      <w:r>
        <w:rPr>
          <w:lang w:val="en-CA"/>
        </w:rPr>
        <w:t>Ezokola</w:t>
      </w:r>
      <w:proofErr w:type="spellEnd"/>
      <w:r>
        <w:rPr>
          <w:lang w:val="en-CA"/>
        </w:rPr>
        <w:t xml:space="preserve"> v. Canada”, (November 20, 2016), online: &lt;wwww.amnesty.ca/legal-brief/</w:t>
      </w:r>
      <w:proofErr w:type="spellStart"/>
      <w:r>
        <w:rPr>
          <w:lang w:val="en-CA"/>
        </w:rPr>
        <w:t>ezokola</w:t>
      </w:r>
      <w:proofErr w:type="spellEnd"/>
      <w:r>
        <w:rPr>
          <w:lang w:val="en-CA"/>
        </w:rPr>
        <w:t>-v-</w:t>
      </w:r>
      <w:proofErr w:type="spellStart"/>
      <w:r>
        <w:rPr>
          <w:lang w:val="en-CA"/>
        </w:rPr>
        <w:t>canada</w:t>
      </w:r>
      <w:proofErr w:type="spellEnd"/>
      <w:r>
        <w:rPr>
          <w:lang w:val="en-CA"/>
        </w:rPr>
        <w:t>&gt;.</w:t>
      </w:r>
    </w:p>
  </w:footnote>
  <w:footnote w:id="734">
    <w:p w14:paraId="3133B5A8" w14:textId="68B5BF37" w:rsidR="00356280" w:rsidRPr="00AA6144" w:rsidRDefault="00356280" w:rsidP="00AA6144">
      <w:pPr>
        <w:pStyle w:val="FootnoteText"/>
        <w:spacing w:after="0" w:line="240" w:lineRule="auto"/>
        <w:rPr>
          <w:i/>
          <w:szCs w:val="16"/>
          <w:lang w:val="en-CA"/>
        </w:rPr>
      </w:pPr>
      <w:r w:rsidRPr="00AA6144">
        <w:rPr>
          <w:rStyle w:val="FootnoteReference"/>
          <w:i/>
          <w:szCs w:val="16"/>
        </w:rPr>
        <w:footnoteRef/>
      </w:r>
      <w:r w:rsidRPr="00AA6144">
        <w:rPr>
          <w:i/>
          <w:szCs w:val="16"/>
          <w:lang w:val="en-CA"/>
        </w:rPr>
        <w:t xml:space="preserve"> Ibid.</w:t>
      </w:r>
    </w:p>
  </w:footnote>
  <w:footnote w:id="735">
    <w:p w14:paraId="75FD12D9" w14:textId="74480C84" w:rsidR="00356280" w:rsidRPr="00AA6144" w:rsidRDefault="00356280" w:rsidP="00AA6144">
      <w:pPr>
        <w:pStyle w:val="FootnoteText"/>
        <w:spacing w:after="0" w:line="240" w:lineRule="auto"/>
        <w:rPr>
          <w:i/>
          <w:szCs w:val="16"/>
          <w:lang w:val="en-CA"/>
        </w:rPr>
      </w:pPr>
      <w:r w:rsidRPr="00AA6144">
        <w:rPr>
          <w:rStyle w:val="FootnoteReference"/>
          <w:i/>
          <w:szCs w:val="16"/>
        </w:rPr>
        <w:footnoteRef/>
      </w:r>
      <w:r w:rsidRPr="00AA6144">
        <w:rPr>
          <w:i/>
          <w:szCs w:val="16"/>
          <w:lang w:val="en-CA"/>
        </w:rPr>
        <w:t xml:space="preserve"> Ibid.</w:t>
      </w:r>
    </w:p>
  </w:footnote>
  <w:footnote w:id="736">
    <w:p w14:paraId="5E1025FE" w14:textId="16554136" w:rsidR="00356280" w:rsidRPr="00776A4E" w:rsidRDefault="00356280" w:rsidP="00AA6144">
      <w:pPr>
        <w:widowControl/>
        <w:suppressAutoHyphens w:val="0"/>
        <w:spacing w:after="0" w:line="240" w:lineRule="auto"/>
        <w:rPr>
          <w:rFonts w:ascii="Times New Roman" w:hAnsi="Times New Roman"/>
          <w:color w:val="auto"/>
          <w:sz w:val="24"/>
          <w:lang w:val="en-CA" w:eastAsia="en-US"/>
        </w:rPr>
      </w:pPr>
      <w:r w:rsidRPr="00AA6144">
        <w:rPr>
          <w:rStyle w:val="FootnoteReference"/>
          <w:i/>
          <w:sz w:val="16"/>
          <w:szCs w:val="16"/>
        </w:rPr>
        <w:footnoteRef/>
      </w:r>
      <w:r w:rsidRPr="00AA6144">
        <w:rPr>
          <w:i/>
          <w:sz w:val="16"/>
          <w:szCs w:val="16"/>
          <w:lang w:val="en-CA"/>
        </w:rPr>
        <w:t xml:space="preserve"> </w:t>
      </w:r>
      <w:r w:rsidRPr="000C2340">
        <w:rPr>
          <w:i/>
          <w:sz w:val="16"/>
          <w:szCs w:val="16"/>
          <w:lang w:val="en-CA"/>
        </w:rPr>
        <w:t>Ibid.</w:t>
      </w:r>
    </w:p>
  </w:footnote>
  <w:footnote w:id="737">
    <w:p w14:paraId="758C0C4B" w14:textId="7086B46A" w:rsidR="00356280" w:rsidRPr="00004FA6" w:rsidRDefault="00356280" w:rsidP="000C2340">
      <w:pPr>
        <w:pStyle w:val="FootnoteText"/>
        <w:spacing w:after="0" w:line="240" w:lineRule="auto"/>
        <w:rPr>
          <w:lang w:val="en-US"/>
        </w:rPr>
      </w:pPr>
      <w:r>
        <w:rPr>
          <w:rStyle w:val="FootnoteReference"/>
        </w:rPr>
        <w:footnoteRef/>
      </w:r>
      <w:r>
        <w:t xml:space="preserve"> Joseph </w:t>
      </w:r>
      <w:proofErr w:type="spellStart"/>
      <w:r>
        <w:t>Rikhof</w:t>
      </w:r>
      <w:proofErr w:type="spellEnd"/>
      <w:r>
        <w:t xml:space="preserve">, “Update on Exclusion and Inadmissibility Jurisprudence: New developments since the decisions of the Supreme Court of Canada in the </w:t>
      </w:r>
      <w:proofErr w:type="spellStart"/>
      <w:r>
        <w:t>Ezokola</w:t>
      </w:r>
      <w:proofErr w:type="spellEnd"/>
      <w:r>
        <w:t xml:space="preserve"> and </w:t>
      </w:r>
      <w:proofErr w:type="spellStart"/>
      <w:r>
        <w:t>Febles</w:t>
      </w:r>
      <w:proofErr w:type="spellEnd"/>
      <w:r>
        <w:t xml:space="preserve">” </w:t>
      </w:r>
      <w:r w:rsidRPr="00AA6144">
        <w:rPr>
          <w:i/>
        </w:rPr>
        <w:t>Canadian Association for Refugee and Forced Migration Studies</w:t>
      </w:r>
      <w:r>
        <w:t>, Working Paper 2017/2 (2017) at 6-9, online (pdf): &lt;</w:t>
      </w:r>
      <w:r w:rsidRPr="000C2340">
        <w:t>http://carfms.org/wp-content/uploads/2017/04/CARFMS-WPS-No10-Joseph-Rikhof.pdf</w:t>
      </w:r>
      <w:r>
        <w:t>&gt;.</w:t>
      </w:r>
    </w:p>
  </w:footnote>
  <w:footnote w:id="738">
    <w:p w14:paraId="71CBCC02" w14:textId="1BCD9A3B" w:rsidR="00356280" w:rsidRPr="00AA6144" w:rsidRDefault="00356280" w:rsidP="00AA6144">
      <w:pPr>
        <w:pStyle w:val="FootnoteText"/>
        <w:spacing w:after="0"/>
        <w:rPr>
          <w:lang w:val="en-US"/>
        </w:rPr>
      </w:pPr>
      <w:r>
        <w:rPr>
          <w:rStyle w:val="FootnoteReference"/>
        </w:rPr>
        <w:footnoteRef/>
      </w:r>
      <w:r>
        <w:t xml:space="preserve"> </w:t>
      </w:r>
      <w:r w:rsidRPr="00AA6144">
        <w:rPr>
          <w:i/>
        </w:rPr>
        <w:t>Ibid,</w:t>
      </w:r>
      <w:r>
        <w:t xml:space="preserve"> at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62A7" w14:textId="77777777" w:rsidR="00356280" w:rsidRDefault="003562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230FD" w14:textId="77777777" w:rsidR="00356280" w:rsidRDefault="0035628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4F1D2" w14:textId="77777777" w:rsidR="00356280" w:rsidRDefault="0035628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8B9F8" w14:textId="77777777" w:rsidR="00356280" w:rsidRDefault="003562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E6C6" w14:textId="77777777" w:rsidR="00356280" w:rsidRDefault="00356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064C7" w14:textId="77777777" w:rsidR="00356280" w:rsidRDefault="00356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E581C" w14:textId="77777777" w:rsidR="00356280" w:rsidRDefault="003562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68DF" w14:textId="77777777" w:rsidR="00356280" w:rsidRDefault="0035628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92756" w14:textId="77777777" w:rsidR="00356280" w:rsidRDefault="0035628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1E21" w14:textId="77777777" w:rsidR="00356280" w:rsidRDefault="00356280" w:rsidP="00A06B14">
    <w:pPr>
      <w:pStyle w:val="AIEvenPageHeader"/>
      <w:tabs>
        <w:tab w:val="clear" w:pos="4320"/>
      </w:tabs>
      <w:ind w:left="426"/>
    </w:pPr>
    <w:r>
      <w:t>[CANADA]</w:t>
    </w:r>
  </w:p>
  <w:p w14:paraId="5912B6FF" w14:textId="77777777" w:rsidR="00356280" w:rsidRDefault="00356280">
    <w:pPr>
      <w:pStyle w:val="AIEvenPageHeader"/>
      <w:ind w:left="426"/>
    </w:pPr>
    <w:r>
      <w:rPr>
        <w:noProof/>
        <w:lang w:eastAsia="en-US"/>
      </w:rPr>
      <mc:AlternateContent>
        <mc:Choice Requires="wps">
          <w:drawing>
            <wp:anchor distT="0" distB="0" distL="0" distR="0" simplePos="0" relativeHeight="251658240" behindDoc="0" locked="0" layoutInCell="1" allowOverlap="1" wp14:anchorId="5F187AF1" wp14:editId="493146EB">
              <wp:simplePos x="0" y="0"/>
              <wp:positionH relativeFrom="page">
                <wp:posOffset>1266825</wp:posOffset>
              </wp:positionH>
              <wp:positionV relativeFrom="paragraph">
                <wp:posOffset>28575</wp:posOffset>
              </wp:positionV>
              <wp:extent cx="688340" cy="516255"/>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8340" cy="51625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0BB5D77" w14:textId="77777777" w:rsidR="00356280" w:rsidRDefault="00356280">
                          <w:r>
                            <w:fldChar w:fldCharType="begin"/>
                          </w:r>
                          <w:r>
                            <w:instrText xml:space="preserve"> PAGE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87AF1" id="_x0000_t202" coordsize="21600,21600" o:spt="202" path="m,l,21600r21600,l21600,xe">
              <v:stroke joinstyle="miter"/>
              <v:path gradientshapeok="t" o:connecttype="rect"/>
            </v:shapetype>
            <v:shape id="Text Box 3" o:spid="_x0000_s1037" type="#_x0000_t202" style="position:absolute;left:0;text-align:left;margin-left:99.75pt;margin-top:2.25pt;width:54.2pt;height:40.65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" stroked="f">
              <v:fill opacity="0"/>
              <v:textbox inset="0,0,0,0">
                <w:txbxContent>
                  <w:p w14:paraId="50BB5D77" w14:textId="77777777" w:rsidR="00356280" w:rsidRDefault="00356280">
                    <w:r>
                      <w:fldChar w:fldCharType="begin"/>
                    </w:r>
                    <w:r>
                      <w:instrText xml:space="preserve"> PAGE </w:instrText>
                    </w:r>
                    <w:r>
                      <w:fldChar w:fldCharType="separate"/>
                    </w:r>
                    <w:r>
                      <w:rPr>
                        <w:noProof/>
                      </w:rPr>
                      <w:t>2</w:t>
                    </w:r>
                    <w:r>
                      <w:rPr>
                        <w:noProof/>
                      </w:rPr>
                      <w:fldChar w:fldCharType="end"/>
                    </w:r>
                  </w:p>
                </w:txbxContent>
              </v:textbox>
              <w10:wrap type="square" side="largest" anchorx="page"/>
            </v:shape>
          </w:pict>
        </mc:Fallback>
      </mc:AlternateContent>
    </w:r>
    <w:r>
      <w:t>[End impunity through universal jurisdiction]</w:t>
    </w:r>
  </w:p>
  <w:p w14:paraId="3E033AC4" w14:textId="77777777" w:rsidR="00356280" w:rsidRDefault="00356280">
    <w:pPr>
      <w:ind w:right="360" w:firstLine="28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5F2BC" w14:textId="77777777" w:rsidR="00356280" w:rsidRDefault="00356280" w:rsidP="00A06B14">
    <w:pPr>
      <w:pStyle w:val="AIOddPageHeader"/>
      <w:tabs>
        <w:tab w:val="clear" w:pos="4320"/>
      </w:tabs>
      <w:ind w:right="560"/>
    </w:pPr>
    <w:r>
      <w:rPr>
        <w:noProof/>
        <w:lang w:eastAsia="en-US"/>
      </w:rPr>
      <mc:AlternateContent>
        <mc:Choice Requires="wps">
          <w:drawing>
            <wp:anchor distT="0" distB="0" distL="0" distR="0" simplePos="0" relativeHeight="251657216" behindDoc="0" locked="0" layoutInCell="1" allowOverlap="1" wp14:anchorId="027A7746" wp14:editId="2F3E5A00">
              <wp:simplePos x="0" y="0"/>
              <wp:positionH relativeFrom="page">
                <wp:posOffset>5819775</wp:posOffset>
              </wp:positionH>
              <wp:positionV relativeFrom="paragraph">
                <wp:posOffset>635</wp:posOffset>
              </wp:positionV>
              <wp:extent cx="229235" cy="16256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256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BBDAA2E" w14:textId="77777777" w:rsidR="00356280" w:rsidRDefault="00356280">
                          <w:r>
                            <w:fldChar w:fldCharType="begin"/>
                          </w:r>
                          <w:r>
                            <w:instrText xml:space="preserve"> PAGE </w:instrText>
                          </w:r>
                          <w:r>
                            <w:fldChar w:fldCharType="separate"/>
                          </w:r>
                          <w:r>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A7746" id="_x0000_t202" coordsize="21600,21600" o:spt="202" path="m,l,21600r21600,l21600,xe">
              <v:stroke joinstyle="miter"/>
              <v:path gradientshapeok="t" o:connecttype="rect"/>
            </v:shapetype>
            <v:shape id="Text Box 1" o:spid="_x0000_s1038" type="#_x0000_t202" style="position:absolute;left:0;text-align:left;margin-left:458.25pt;margin-top:.05pt;width:18.05pt;height:12.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" stroked="f">
              <v:fill opacity="0"/>
              <v:textbox inset="0,0,0,0">
                <w:txbxContent>
                  <w:p w14:paraId="1BBDAA2E" w14:textId="77777777" w:rsidR="00356280" w:rsidRDefault="00356280">
                    <w:r>
                      <w:fldChar w:fldCharType="begin"/>
                    </w:r>
                    <w:r>
                      <w:instrText xml:space="preserve"> PAGE </w:instrText>
                    </w:r>
                    <w:r>
                      <w:fldChar w:fldCharType="separate"/>
                    </w:r>
                    <w:r>
                      <w:rPr>
                        <w:noProof/>
                      </w:rPr>
                      <w:t>3</w:t>
                    </w:r>
                    <w:r>
                      <w:rPr>
                        <w:noProof/>
                      </w:rPr>
                      <w:fldChar w:fldCharType="end"/>
                    </w:r>
                  </w:p>
                </w:txbxContent>
              </v:textbox>
              <w10:wrap type="square" side="largest" anchorx="page"/>
            </v:shape>
          </w:pict>
        </mc:Fallback>
      </mc:AlternateContent>
    </w:r>
    <w:r>
      <w:t>[CANADA]</w:t>
    </w:r>
  </w:p>
  <w:p w14:paraId="2BFDD53D" w14:textId="77777777" w:rsidR="00356280" w:rsidRDefault="00356280">
    <w:pPr>
      <w:pStyle w:val="AIOddPageHeader"/>
      <w:ind w:right="560"/>
    </w:pPr>
    <w:r>
      <w:t>[End impunity through universal jurisdiction]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17436" w14:textId="77777777" w:rsidR="00356280" w:rsidRDefault="003562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filled="t">
        <v:fill color2="black"/>
        <v:imagedata r:id="rId1" o:title=""/>
      </v:shape>
    </w:pict>
  </w:numPicBullet>
  <w:abstractNum w:abstractNumId="0" w15:restartNumberingAfterBreak="0">
    <w:nsid w:val="FFFFFF1D"/>
    <w:multiLevelType w:val="multilevel"/>
    <w:tmpl w:val="53822A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9BD4B52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04B58DD"/>
    <w:multiLevelType w:val="hybridMultilevel"/>
    <w:tmpl w:val="DE7E4B8C"/>
    <w:lvl w:ilvl="0" w:tplc="3748349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E335B3"/>
    <w:multiLevelType w:val="hybridMultilevel"/>
    <w:tmpl w:val="929E1D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24732"/>
    <w:multiLevelType w:val="hybridMultilevel"/>
    <w:tmpl w:val="DD884C30"/>
    <w:lvl w:ilvl="0" w:tplc="5F640628">
      <w:numFmt w:val="bullet"/>
      <w:lvlText w:val="-"/>
      <w:lvlJc w:val="left"/>
      <w:pPr>
        <w:ind w:left="720" w:hanging="360"/>
      </w:pPr>
      <w:rPr>
        <w:rFonts w:ascii="Times New Roman" w:eastAsia="Garamond"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254C8"/>
    <w:multiLevelType w:val="multilevel"/>
    <w:tmpl w:val="A79E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15F7F"/>
    <w:multiLevelType w:val="hybridMultilevel"/>
    <w:tmpl w:val="38706E86"/>
    <w:lvl w:ilvl="0" w:tplc="030C39A8">
      <w:start w:val="2"/>
      <w:numFmt w:val="bullet"/>
      <w:lvlText w:val="-"/>
      <w:lvlJc w:val="left"/>
      <w:pPr>
        <w:ind w:left="720" w:hanging="360"/>
      </w:pPr>
      <w:rPr>
        <w:rFonts w:ascii="Amnesty Trade Gothic" w:eastAsia="Times New Roma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36098"/>
    <w:multiLevelType w:val="hybridMultilevel"/>
    <w:tmpl w:val="30A4918C"/>
    <w:lvl w:ilvl="0" w:tplc="AB2C23AE">
      <w:start w:val="1"/>
      <w:numFmt w:val="lowerRoman"/>
      <w:lvlText w:val="(%1)"/>
      <w:lvlJc w:val="left"/>
      <w:pPr>
        <w:ind w:left="72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0FCB158B"/>
    <w:multiLevelType w:val="hybridMultilevel"/>
    <w:tmpl w:val="31C6D3DA"/>
    <w:lvl w:ilvl="0" w:tplc="7C181788">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1133770C"/>
    <w:multiLevelType w:val="hybridMultilevel"/>
    <w:tmpl w:val="D37E4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63066"/>
    <w:multiLevelType w:val="hybridMultilevel"/>
    <w:tmpl w:val="51CEE01C"/>
    <w:lvl w:ilvl="0" w:tplc="80E8C342">
      <w:start w:val="1"/>
      <w:numFmt w:val="lowerRoman"/>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191C7E99"/>
    <w:multiLevelType w:val="multilevel"/>
    <w:tmpl w:val="0124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D231F3"/>
    <w:multiLevelType w:val="hybridMultilevel"/>
    <w:tmpl w:val="1C3EE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104B1"/>
    <w:multiLevelType w:val="multilevel"/>
    <w:tmpl w:val="6668227A"/>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7"/>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961E22"/>
    <w:multiLevelType w:val="multilevel"/>
    <w:tmpl w:val="6C2E9324"/>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780"/>
        </w:tabs>
        <w:ind w:left="780" w:hanging="660"/>
      </w:pPr>
      <w:rPr>
        <w:rFonts w:hint="default"/>
      </w:rPr>
    </w:lvl>
    <w:lvl w:ilvl="2">
      <w:start w:val="2"/>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2B117031"/>
    <w:multiLevelType w:val="hybridMultilevel"/>
    <w:tmpl w:val="9E20CD7C"/>
    <w:lvl w:ilvl="0" w:tplc="DE5ABD60">
      <w:start w:val="48"/>
      <w:numFmt w:val="bullet"/>
      <w:lvlText w:val="-"/>
      <w:lvlJc w:val="left"/>
      <w:pPr>
        <w:tabs>
          <w:tab w:val="num" w:pos="720"/>
        </w:tabs>
        <w:ind w:left="720" w:hanging="360"/>
      </w:pPr>
      <w:rPr>
        <w:rFonts w:ascii="Amnesty Trade Gothic" w:eastAsia="Times New Roman" w:hAnsi="Amnesty Trade Gothic" w:cs="Times New Roman" w:hint="default"/>
      </w:rPr>
    </w:lvl>
    <w:lvl w:ilvl="1" w:tplc="0C0C0003" w:tentative="1">
      <w:start w:val="1"/>
      <w:numFmt w:val="bullet"/>
      <w:lvlText w:val="o"/>
      <w:lvlJc w:val="left"/>
      <w:pPr>
        <w:tabs>
          <w:tab w:val="num" w:pos="1440"/>
        </w:tabs>
        <w:ind w:left="1440" w:hanging="360"/>
      </w:pPr>
      <w:rPr>
        <w:rFonts w:ascii="Courier New" w:hAnsi="Courier New" w:cs="SimSu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SimSun"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SimSun"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947FF"/>
    <w:multiLevelType w:val="hybridMultilevel"/>
    <w:tmpl w:val="9FFE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F3F20"/>
    <w:multiLevelType w:val="hybridMultilevel"/>
    <w:tmpl w:val="232CC6B6"/>
    <w:lvl w:ilvl="0" w:tplc="73B2FA8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25621"/>
    <w:multiLevelType w:val="hybridMultilevel"/>
    <w:tmpl w:val="E3D2B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E50C8"/>
    <w:multiLevelType w:val="multilevel"/>
    <w:tmpl w:val="8CD41B92"/>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924719"/>
    <w:multiLevelType w:val="hybridMultilevel"/>
    <w:tmpl w:val="569E7D26"/>
    <w:lvl w:ilvl="0" w:tplc="040C0001">
      <w:start w:val="1"/>
      <w:numFmt w:val="bullet"/>
      <w:lvlText w:val=""/>
      <w:lvlJc w:val="left"/>
      <w:pPr>
        <w:tabs>
          <w:tab w:val="num" w:pos="720"/>
        </w:tabs>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15:restartNumberingAfterBreak="0">
    <w:nsid w:val="44D138EE"/>
    <w:multiLevelType w:val="hybridMultilevel"/>
    <w:tmpl w:val="984ABB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F957DD"/>
    <w:multiLevelType w:val="hybridMultilevel"/>
    <w:tmpl w:val="1A6AC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559EE"/>
    <w:multiLevelType w:val="multilevel"/>
    <w:tmpl w:val="A8AA1538"/>
    <w:lvl w:ilvl="0">
      <w:start w:val="7"/>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600"/>
      </w:pPr>
      <w:rPr>
        <w:rFonts w:hint="default"/>
      </w:rPr>
    </w:lvl>
    <w:lvl w:ilvl="2">
      <w:start w:val="2"/>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25" w15:restartNumberingAfterBreak="0">
    <w:nsid w:val="5596332E"/>
    <w:multiLevelType w:val="hybridMultilevel"/>
    <w:tmpl w:val="6DF0F1E8"/>
    <w:lvl w:ilvl="0" w:tplc="FAF89E4A">
      <w:start w:val="18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F38F4"/>
    <w:multiLevelType w:val="hybridMultilevel"/>
    <w:tmpl w:val="AD202040"/>
    <w:lvl w:ilvl="0" w:tplc="DD22237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A926840"/>
    <w:multiLevelType w:val="hybridMultilevel"/>
    <w:tmpl w:val="271A7088"/>
    <w:lvl w:ilvl="0" w:tplc="34A036A8">
      <w:numFmt w:val="bullet"/>
      <w:lvlText w:val="-"/>
      <w:lvlJc w:val="left"/>
      <w:pPr>
        <w:ind w:left="720" w:hanging="360"/>
      </w:pPr>
      <w:rPr>
        <w:rFonts w:ascii="Amnesty Trade Gothic" w:eastAsia="Times New Roman"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B4C70"/>
    <w:multiLevelType w:val="hybridMultilevel"/>
    <w:tmpl w:val="9C304A56"/>
    <w:lvl w:ilvl="0" w:tplc="340CFB0C">
      <w:start w:val="1"/>
      <w:numFmt w:val="low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5DE029DD"/>
    <w:multiLevelType w:val="hybridMultilevel"/>
    <w:tmpl w:val="8AD0E52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C8D2347"/>
    <w:multiLevelType w:val="hybridMultilevel"/>
    <w:tmpl w:val="CDF24422"/>
    <w:lvl w:ilvl="0" w:tplc="B46AE02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15:restartNumberingAfterBreak="0">
    <w:nsid w:val="716D448A"/>
    <w:multiLevelType w:val="hybridMultilevel"/>
    <w:tmpl w:val="BEC2A72A"/>
    <w:lvl w:ilvl="0" w:tplc="00A887A2">
      <w:numFmt w:val="bullet"/>
      <w:lvlText w:val="-"/>
      <w:lvlJc w:val="left"/>
      <w:pPr>
        <w:tabs>
          <w:tab w:val="num" w:pos="1080"/>
        </w:tabs>
        <w:ind w:left="1080" w:hanging="360"/>
      </w:pPr>
      <w:rPr>
        <w:rFonts w:ascii="Times New Roman" w:eastAsia="SimSu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207E1A"/>
    <w:multiLevelType w:val="hybridMultilevel"/>
    <w:tmpl w:val="0A28F492"/>
    <w:lvl w:ilvl="0" w:tplc="3BD4A2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5" w15:restartNumberingAfterBreak="0">
    <w:nsid w:val="7E723B2D"/>
    <w:multiLevelType w:val="hybridMultilevel"/>
    <w:tmpl w:val="BF942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33"/>
  </w:num>
  <w:num w:numId="4">
    <w:abstractNumId w:val="31"/>
  </w:num>
  <w:num w:numId="5">
    <w:abstractNumId w:val="12"/>
  </w:num>
  <w:num w:numId="6">
    <w:abstractNumId w:val="9"/>
  </w:num>
  <w:num w:numId="7">
    <w:abstractNumId w:val="19"/>
  </w:num>
  <w:num w:numId="8">
    <w:abstractNumId w:val="24"/>
  </w:num>
  <w:num w:numId="9">
    <w:abstractNumId w:val="14"/>
  </w:num>
  <w:num w:numId="10">
    <w:abstractNumId w:val="13"/>
  </w:num>
  <w:num w:numId="11">
    <w:abstractNumId w:val="20"/>
  </w:num>
  <w:num w:numId="12">
    <w:abstractNumId w:val="29"/>
  </w:num>
  <w:num w:numId="13">
    <w:abstractNumId w:val="8"/>
  </w:num>
  <w:num w:numId="14">
    <w:abstractNumId w:val="10"/>
  </w:num>
  <w:num w:numId="15">
    <w:abstractNumId w:val="1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17"/>
  </w:num>
  <w:num w:numId="20">
    <w:abstractNumId w:val="23"/>
  </w:num>
  <w:num w:numId="21">
    <w:abstractNumId w:val="35"/>
  </w:num>
  <w:num w:numId="22">
    <w:abstractNumId w:val="11"/>
  </w:num>
  <w:num w:numId="23">
    <w:abstractNumId w:val="22"/>
  </w:num>
  <w:num w:numId="24">
    <w:abstractNumId w:val="3"/>
  </w:num>
  <w:num w:numId="25">
    <w:abstractNumId w:val="18"/>
  </w:num>
  <w:num w:numId="26">
    <w:abstractNumId w:val="28"/>
  </w:num>
  <w:num w:numId="27">
    <w:abstractNumId w:val="2"/>
  </w:num>
  <w:num w:numId="28">
    <w:abstractNumId w:val="7"/>
  </w:num>
  <w:num w:numId="29">
    <w:abstractNumId w:val="26"/>
  </w:num>
  <w:num w:numId="30">
    <w:abstractNumId w:val="30"/>
  </w:num>
  <w:num w:numId="31">
    <w:abstractNumId w:val="32"/>
  </w:num>
  <w:num w:numId="32">
    <w:abstractNumId w:val="25"/>
  </w:num>
  <w:num w:numId="33">
    <w:abstractNumId w:val="4"/>
  </w:num>
  <w:num w:numId="34">
    <w:abstractNumId w:val="27"/>
  </w:num>
  <w:num w:numId="3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nl-NL"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s-AR"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SV" w:vendorID="64" w:dllVersion="0" w:nlCheck="1" w:checkStyle="0"/>
  <w:activeWritingStyle w:appName="MSWord" w:lang="es-ES" w:vendorID="64" w:dllVersion="0" w:nlCheck="1" w:checkStyle="0"/>
  <w:proofState w:spelling="clean" w:grammar="clean"/>
  <w:defaultTabStop w:val="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rafile" w:val="C:\DOCUME~1\sgodec\LOCALS~1\Temp\draB.tmp"/>
    <w:docVar w:name="dgnword-lastRevisionsView" w:val="0"/>
  </w:docVars>
  <w:rsids>
    <w:rsidRoot w:val="00891552"/>
    <w:rsid w:val="000006C2"/>
    <w:rsid w:val="0000084E"/>
    <w:rsid w:val="00001716"/>
    <w:rsid w:val="00001B08"/>
    <w:rsid w:val="00002498"/>
    <w:rsid w:val="00002DF0"/>
    <w:rsid w:val="00002F19"/>
    <w:rsid w:val="00003588"/>
    <w:rsid w:val="00003865"/>
    <w:rsid w:val="00003996"/>
    <w:rsid w:val="00003BD1"/>
    <w:rsid w:val="00003FA4"/>
    <w:rsid w:val="00004B75"/>
    <w:rsid w:val="0000500A"/>
    <w:rsid w:val="0000513B"/>
    <w:rsid w:val="000052AA"/>
    <w:rsid w:val="0000542D"/>
    <w:rsid w:val="00005646"/>
    <w:rsid w:val="00005660"/>
    <w:rsid w:val="0000651C"/>
    <w:rsid w:val="0000661A"/>
    <w:rsid w:val="0000691E"/>
    <w:rsid w:val="00006FEE"/>
    <w:rsid w:val="000107F4"/>
    <w:rsid w:val="000112FE"/>
    <w:rsid w:val="00011AC0"/>
    <w:rsid w:val="00011FF0"/>
    <w:rsid w:val="0001252C"/>
    <w:rsid w:val="00013F07"/>
    <w:rsid w:val="00014752"/>
    <w:rsid w:val="000147C0"/>
    <w:rsid w:val="000159A1"/>
    <w:rsid w:val="00015BD2"/>
    <w:rsid w:val="00015F70"/>
    <w:rsid w:val="00016042"/>
    <w:rsid w:val="000160DD"/>
    <w:rsid w:val="00016117"/>
    <w:rsid w:val="00016899"/>
    <w:rsid w:val="00016B86"/>
    <w:rsid w:val="00016EC2"/>
    <w:rsid w:val="00016F85"/>
    <w:rsid w:val="000172AC"/>
    <w:rsid w:val="0001776F"/>
    <w:rsid w:val="000177FF"/>
    <w:rsid w:val="00017B13"/>
    <w:rsid w:val="00017D3C"/>
    <w:rsid w:val="00021B6E"/>
    <w:rsid w:val="00021FE9"/>
    <w:rsid w:val="00022388"/>
    <w:rsid w:val="000227A1"/>
    <w:rsid w:val="00022946"/>
    <w:rsid w:val="00024CF2"/>
    <w:rsid w:val="0002524B"/>
    <w:rsid w:val="00025C9D"/>
    <w:rsid w:val="00026B56"/>
    <w:rsid w:val="00027397"/>
    <w:rsid w:val="0003086B"/>
    <w:rsid w:val="00031927"/>
    <w:rsid w:val="00031C93"/>
    <w:rsid w:val="000328CF"/>
    <w:rsid w:val="00032DB5"/>
    <w:rsid w:val="00033CBC"/>
    <w:rsid w:val="000342D6"/>
    <w:rsid w:val="0003449C"/>
    <w:rsid w:val="00034620"/>
    <w:rsid w:val="0003478E"/>
    <w:rsid w:val="000358F5"/>
    <w:rsid w:val="0003607E"/>
    <w:rsid w:val="00040011"/>
    <w:rsid w:val="00040818"/>
    <w:rsid w:val="000413C0"/>
    <w:rsid w:val="00041873"/>
    <w:rsid w:val="00043EA6"/>
    <w:rsid w:val="00044001"/>
    <w:rsid w:val="0004418C"/>
    <w:rsid w:val="0004421A"/>
    <w:rsid w:val="000443CE"/>
    <w:rsid w:val="00044D86"/>
    <w:rsid w:val="00044DDF"/>
    <w:rsid w:val="000456E6"/>
    <w:rsid w:val="000459D1"/>
    <w:rsid w:val="00046241"/>
    <w:rsid w:val="00046A12"/>
    <w:rsid w:val="0004765F"/>
    <w:rsid w:val="00047ABD"/>
    <w:rsid w:val="00050174"/>
    <w:rsid w:val="00050908"/>
    <w:rsid w:val="000513C0"/>
    <w:rsid w:val="000515F5"/>
    <w:rsid w:val="000519FA"/>
    <w:rsid w:val="00051ED6"/>
    <w:rsid w:val="0005247E"/>
    <w:rsid w:val="00052800"/>
    <w:rsid w:val="00053F1B"/>
    <w:rsid w:val="0005403B"/>
    <w:rsid w:val="000546B3"/>
    <w:rsid w:val="00055D68"/>
    <w:rsid w:val="00055E8C"/>
    <w:rsid w:val="000568BE"/>
    <w:rsid w:val="00056CBA"/>
    <w:rsid w:val="00056F6C"/>
    <w:rsid w:val="00057485"/>
    <w:rsid w:val="0005755C"/>
    <w:rsid w:val="00057849"/>
    <w:rsid w:val="00057F9A"/>
    <w:rsid w:val="000609D9"/>
    <w:rsid w:val="00060B8C"/>
    <w:rsid w:val="00060D28"/>
    <w:rsid w:val="00060FED"/>
    <w:rsid w:val="00061101"/>
    <w:rsid w:val="000611C3"/>
    <w:rsid w:val="00062A30"/>
    <w:rsid w:val="00062BF0"/>
    <w:rsid w:val="00063561"/>
    <w:rsid w:val="00063981"/>
    <w:rsid w:val="00064C78"/>
    <w:rsid w:val="00064D15"/>
    <w:rsid w:val="00066154"/>
    <w:rsid w:val="00066291"/>
    <w:rsid w:val="00066BE3"/>
    <w:rsid w:val="00067004"/>
    <w:rsid w:val="000707BF"/>
    <w:rsid w:val="00070E24"/>
    <w:rsid w:val="00072391"/>
    <w:rsid w:val="00072958"/>
    <w:rsid w:val="0007358F"/>
    <w:rsid w:val="00073777"/>
    <w:rsid w:val="00073781"/>
    <w:rsid w:val="00073854"/>
    <w:rsid w:val="0007393E"/>
    <w:rsid w:val="00073A6B"/>
    <w:rsid w:val="000741D5"/>
    <w:rsid w:val="000746DC"/>
    <w:rsid w:val="00075A72"/>
    <w:rsid w:val="0007689A"/>
    <w:rsid w:val="0007738F"/>
    <w:rsid w:val="00077743"/>
    <w:rsid w:val="00077E6A"/>
    <w:rsid w:val="000804B7"/>
    <w:rsid w:val="000805ED"/>
    <w:rsid w:val="0008060A"/>
    <w:rsid w:val="000807A2"/>
    <w:rsid w:val="00081292"/>
    <w:rsid w:val="000816E4"/>
    <w:rsid w:val="000819C4"/>
    <w:rsid w:val="00082059"/>
    <w:rsid w:val="000828C3"/>
    <w:rsid w:val="000839C1"/>
    <w:rsid w:val="00084437"/>
    <w:rsid w:val="00084774"/>
    <w:rsid w:val="000849C6"/>
    <w:rsid w:val="00084F57"/>
    <w:rsid w:val="000853B2"/>
    <w:rsid w:val="00085FED"/>
    <w:rsid w:val="0008632A"/>
    <w:rsid w:val="00086D89"/>
    <w:rsid w:val="00086DDD"/>
    <w:rsid w:val="00086EAF"/>
    <w:rsid w:val="000872DD"/>
    <w:rsid w:val="000903D7"/>
    <w:rsid w:val="000909A5"/>
    <w:rsid w:val="00091C31"/>
    <w:rsid w:val="00091EB2"/>
    <w:rsid w:val="00092514"/>
    <w:rsid w:val="000925F9"/>
    <w:rsid w:val="00092A1F"/>
    <w:rsid w:val="00092DFC"/>
    <w:rsid w:val="0009380E"/>
    <w:rsid w:val="00093DA6"/>
    <w:rsid w:val="00093E2E"/>
    <w:rsid w:val="00094182"/>
    <w:rsid w:val="000947D3"/>
    <w:rsid w:val="000949AE"/>
    <w:rsid w:val="00094A5E"/>
    <w:rsid w:val="0009566E"/>
    <w:rsid w:val="00095AC6"/>
    <w:rsid w:val="00095D2E"/>
    <w:rsid w:val="00096131"/>
    <w:rsid w:val="00097201"/>
    <w:rsid w:val="00097AF9"/>
    <w:rsid w:val="000A0C33"/>
    <w:rsid w:val="000A1AB5"/>
    <w:rsid w:val="000A4406"/>
    <w:rsid w:val="000A4795"/>
    <w:rsid w:val="000A4FEB"/>
    <w:rsid w:val="000A5816"/>
    <w:rsid w:val="000A5A9A"/>
    <w:rsid w:val="000A5B9E"/>
    <w:rsid w:val="000A5BF0"/>
    <w:rsid w:val="000A616B"/>
    <w:rsid w:val="000A6BA4"/>
    <w:rsid w:val="000A6FE7"/>
    <w:rsid w:val="000A7305"/>
    <w:rsid w:val="000A7316"/>
    <w:rsid w:val="000A783D"/>
    <w:rsid w:val="000B0A18"/>
    <w:rsid w:val="000B1C7C"/>
    <w:rsid w:val="000B1E66"/>
    <w:rsid w:val="000B240E"/>
    <w:rsid w:val="000B2E3F"/>
    <w:rsid w:val="000B30E8"/>
    <w:rsid w:val="000B3A99"/>
    <w:rsid w:val="000B57CA"/>
    <w:rsid w:val="000B5AD1"/>
    <w:rsid w:val="000B5B75"/>
    <w:rsid w:val="000B5C8E"/>
    <w:rsid w:val="000B5FDD"/>
    <w:rsid w:val="000B6170"/>
    <w:rsid w:val="000B6248"/>
    <w:rsid w:val="000B6F5F"/>
    <w:rsid w:val="000C0265"/>
    <w:rsid w:val="000C031F"/>
    <w:rsid w:val="000C0E93"/>
    <w:rsid w:val="000C1453"/>
    <w:rsid w:val="000C1C1D"/>
    <w:rsid w:val="000C1E7D"/>
    <w:rsid w:val="000C2340"/>
    <w:rsid w:val="000C265C"/>
    <w:rsid w:val="000C275D"/>
    <w:rsid w:val="000C2A0C"/>
    <w:rsid w:val="000C2F51"/>
    <w:rsid w:val="000C2F69"/>
    <w:rsid w:val="000C2FD0"/>
    <w:rsid w:val="000C45FF"/>
    <w:rsid w:val="000C48FA"/>
    <w:rsid w:val="000C4EC4"/>
    <w:rsid w:val="000C599E"/>
    <w:rsid w:val="000C60D3"/>
    <w:rsid w:val="000C692A"/>
    <w:rsid w:val="000C6B77"/>
    <w:rsid w:val="000C77E6"/>
    <w:rsid w:val="000D1222"/>
    <w:rsid w:val="000D129B"/>
    <w:rsid w:val="000D1570"/>
    <w:rsid w:val="000D1FA3"/>
    <w:rsid w:val="000D2EAA"/>
    <w:rsid w:val="000D3A9D"/>
    <w:rsid w:val="000D4240"/>
    <w:rsid w:val="000D47F7"/>
    <w:rsid w:val="000D496B"/>
    <w:rsid w:val="000D4CB0"/>
    <w:rsid w:val="000D52AD"/>
    <w:rsid w:val="000D5866"/>
    <w:rsid w:val="000D5FFC"/>
    <w:rsid w:val="000D6288"/>
    <w:rsid w:val="000D6737"/>
    <w:rsid w:val="000D6C42"/>
    <w:rsid w:val="000D70A0"/>
    <w:rsid w:val="000D746F"/>
    <w:rsid w:val="000D7817"/>
    <w:rsid w:val="000E03F5"/>
    <w:rsid w:val="000E06F5"/>
    <w:rsid w:val="000E0E3F"/>
    <w:rsid w:val="000E12D2"/>
    <w:rsid w:val="000E1402"/>
    <w:rsid w:val="000E1B21"/>
    <w:rsid w:val="000E1EB8"/>
    <w:rsid w:val="000E2BEC"/>
    <w:rsid w:val="000E314C"/>
    <w:rsid w:val="000E3773"/>
    <w:rsid w:val="000E37FD"/>
    <w:rsid w:val="000E4F20"/>
    <w:rsid w:val="000E56A8"/>
    <w:rsid w:val="000E57C3"/>
    <w:rsid w:val="000E5E84"/>
    <w:rsid w:val="000E6758"/>
    <w:rsid w:val="000E6C2A"/>
    <w:rsid w:val="000E767E"/>
    <w:rsid w:val="000E7A77"/>
    <w:rsid w:val="000E7DA4"/>
    <w:rsid w:val="000F0007"/>
    <w:rsid w:val="000F09A5"/>
    <w:rsid w:val="000F0C79"/>
    <w:rsid w:val="000F1087"/>
    <w:rsid w:val="000F11DD"/>
    <w:rsid w:val="000F1FDA"/>
    <w:rsid w:val="000F206B"/>
    <w:rsid w:val="000F2480"/>
    <w:rsid w:val="000F255C"/>
    <w:rsid w:val="000F34A7"/>
    <w:rsid w:val="000F370E"/>
    <w:rsid w:val="000F4874"/>
    <w:rsid w:val="000F4DB1"/>
    <w:rsid w:val="000F6522"/>
    <w:rsid w:val="000F6820"/>
    <w:rsid w:val="000F69D4"/>
    <w:rsid w:val="000F6B43"/>
    <w:rsid w:val="000F7A96"/>
    <w:rsid w:val="00100114"/>
    <w:rsid w:val="001004CA"/>
    <w:rsid w:val="00100697"/>
    <w:rsid w:val="0010071E"/>
    <w:rsid w:val="001008B2"/>
    <w:rsid w:val="00100F0A"/>
    <w:rsid w:val="00101AA8"/>
    <w:rsid w:val="00101C77"/>
    <w:rsid w:val="001020FB"/>
    <w:rsid w:val="0010230A"/>
    <w:rsid w:val="001024B2"/>
    <w:rsid w:val="00104ED0"/>
    <w:rsid w:val="00105141"/>
    <w:rsid w:val="00105C54"/>
    <w:rsid w:val="00105EB6"/>
    <w:rsid w:val="0010655E"/>
    <w:rsid w:val="00106DAF"/>
    <w:rsid w:val="00107877"/>
    <w:rsid w:val="00107FE5"/>
    <w:rsid w:val="0011018B"/>
    <w:rsid w:val="00110673"/>
    <w:rsid w:val="00110C93"/>
    <w:rsid w:val="001121B5"/>
    <w:rsid w:val="0011259B"/>
    <w:rsid w:val="00112736"/>
    <w:rsid w:val="0011303E"/>
    <w:rsid w:val="00113F4E"/>
    <w:rsid w:val="00114D3F"/>
    <w:rsid w:val="00114EB3"/>
    <w:rsid w:val="0011520E"/>
    <w:rsid w:val="001178E6"/>
    <w:rsid w:val="0012010A"/>
    <w:rsid w:val="001219FD"/>
    <w:rsid w:val="0012203D"/>
    <w:rsid w:val="001220BB"/>
    <w:rsid w:val="0012230C"/>
    <w:rsid w:val="00123C71"/>
    <w:rsid w:val="00124241"/>
    <w:rsid w:val="00124A93"/>
    <w:rsid w:val="00125EC4"/>
    <w:rsid w:val="001276F5"/>
    <w:rsid w:val="00131B06"/>
    <w:rsid w:val="001330FF"/>
    <w:rsid w:val="00134E9D"/>
    <w:rsid w:val="00135643"/>
    <w:rsid w:val="0013598B"/>
    <w:rsid w:val="00135A13"/>
    <w:rsid w:val="001362DB"/>
    <w:rsid w:val="001378D0"/>
    <w:rsid w:val="00140500"/>
    <w:rsid w:val="001405C6"/>
    <w:rsid w:val="00140F24"/>
    <w:rsid w:val="0014112E"/>
    <w:rsid w:val="001412A1"/>
    <w:rsid w:val="00141D79"/>
    <w:rsid w:val="00142023"/>
    <w:rsid w:val="001426F7"/>
    <w:rsid w:val="00142720"/>
    <w:rsid w:val="0014272D"/>
    <w:rsid w:val="00143C37"/>
    <w:rsid w:val="00143F16"/>
    <w:rsid w:val="0014429A"/>
    <w:rsid w:val="001444FD"/>
    <w:rsid w:val="00144CF2"/>
    <w:rsid w:val="00144E28"/>
    <w:rsid w:val="0014592E"/>
    <w:rsid w:val="0014593C"/>
    <w:rsid w:val="00145A0B"/>
    <w:rsid w:val="00145F72"/>
    <w:rsid w:val="00146694"/>
    <w:rsid w:val="00146C4A"/>
    <w:rsid w:val="001477A4"/>
    <w:rsid w:val="001500FD"/>
    <w:rsid w:val="001514D9"/>
    <w:rsid w:val="00151590"/>
    <w:rsid w:val="00151C10"/>
    <w:rsid w:val="00151E4C"/>
    <w:rsid w:val="001522EB"/>
    <w:rsid w:val="00152ECE"/>
    <w:rsid w:val="00153B96"/>
    <w:rsid w:val="00153C20"/>
    <w:rsid w:val="00153F5F"/>
    <w:rsid w:val="00154735"/>
    <w:rsid w:val="00154795"/>
    <w:rsid w:val="00154B14"/>
    <w:rsid w:val="0015501E"/>
    <w:rsid w:val="001569D4"/>
    <w:rsid w:val="00156AF4"/>
    <w:rsid w:val="00157276"/>
    <w:rsid w:val="001577D0"/>
    <w:rsid w:val="00157A55"/>
    <w:rsid w:val="00157B09"/>
    <w:rsid w:val="00157CE7"/>
    <w:rsid w:val="00157F14"/>
    <w:rsid w:val="001609FA"/>
    <w:rsid w:val="001613D6"/>
    <w:rsid w:val="0016168B"/>
    <w:rsid w:val="00161B8D"/>
    <w:rsid w:val="00161C66"/>
    <w:rsid w:val="0016371F"/>
    <w:rsid w:val="001646ED"/>
    <w:rsid w:val="001649D4"/>
    <w:rsid w:val="001652CE"/>
    <w:rsid w:val="0016534C"/>
    <w:rsid w:val="001655F9"/>
    <w:rsid w:val="00165652"/>
    <w:rsid w:val="00165770"/>
    <w:rsid w:val="001657DF"/>
    <w:rsid w:val="00165C0D"/>
    <w:rsid w:val="0016636A"/>
    <w:rsid w:val="00166D9E"/>
    <w:rsid w:val="00167714"/>
    <w:rsid w:val="00167C90"/>
    <w:rsid w:val="00167D7D"/>
    <w:rsid w:val="00167EB2"/>
    <w:rsid w:val="001703D1"/>
    <w:rsid w:val="0017051A"/>
    <w:rsid w:val="001705B2"/>
    <w:rsid w:val="001706A1"/>
    <w:rsid w:val="00170D2A"/>
    <w:rsid w:val="00170D48"/>
    <w:rsid w:val="00170DCD"/>
    <w:rsid w:val="00171435"/>
    <w:rsid w:val="00171EC5"/>
    <w:rsid w:val="00172241"/>
    <w:rsid w:val="00172D4F"/>
    <w:rsid w:val="0017453F"/>
    <w:rsid w:val="00174869"/>
    <w:rsid w:val="00174C7F"/>
    <w:rsid w:val="001751B3"/>
    <w:rsid w:val="00175415"/>
    <w:rsid w:val="00175437"/>
    <w:rsid w:val="00176EA5"/>
    <w:rsid w:val="00177631"/>
    <w:rsid w:val="001802F6"/>
    <w:rsid w:val="0018032B"/>
    <w:rsid w:val="00180FE4"/>
    <w:rsid w:val="001812DF"/>
    <w:rsid w:val="00181ABF"/>
    <w:rsid w:val="001824B2"/>
    <w:rsid w:val="00182575"/>
    <w:rsid w:val="00182595"/>
    <w:rsid w:val="00182BA2"/>
    <w:rsid w:val="00182CEF"/>
    <w:rsid w:val="00183619"/>
    <w:rsid w:val="001839F6"/>
    <w:rsid w:val="0018432A"/>
    <w:rsid w:val="0018470B"/>
    <w:rsid w:val="00185609"/>
    <w:rsid w:val="00186172"/>
    <w:rsid w:val="00187312"/>
    <w:rsid w:val="00187A02"/>
    <w:rsid w:val="00190095"/>
    <w:rsid w:val="00190CC3"/>
    <w:rsid w:val="001919EE"/>
    <w:rsid w:val="001925F6"/>
    <w:rsid w:val="00192E0F"/>
    <w:rsid w:val="00192F4C"/>
    <w:rsid w:val="00193CF1"/>
    <w:rsid w:val="00193D15"/>
    <w:rsid w:val="00196F36"/>
    <w:rsid w:val="0019786E"/>
    <w:rsid w:val="001A01F5"/>
    <w:rsid w:val="001A023B"/>
    <w:rsid w:val="001A0CE0"/>
    <w:rsid w:val="001A0E8A"/>
    <w:rsid w:val="001A11E4"/>
    <w:rsid w:val="001A1321"/>
    <w:rsid w:val="001A1599"/>
    <w:rsid w:val="001A2517"/>
    <w:rsid w:val="001A2ABA"/>
    <w:rsid w:val="001A2B96"/>
    <w:rsid w:val="001A3A55"/>
    <w:rsid w:val="001A3C3B"/>
    <w:rsid w:val="001A427C"/>
    <w:rsid w:val="001A4551"/>
    <w:rsid w:val="001A592A"/>
    <w:rsid w:val="001A7422"/>
    <w:rsid w:val="001A74B8"/>
    <w:rsid w:val="001A762E"/>
    <w:rsid w:val="001B02B5"/>
    <w:rsid w:val="001B0D17"/>
    <w:rsid w:val="001B0D9D"/>
    <w:rsid w:val="001B1B54"/>
    <w:rsid w:val="001B20F4"/>
    <w:rsid w:val="001B3369"/>
    <w:rsid w:val="001B3575"/>
    <w:rsid w:val="001B3D1A"/>
    <w:rsid w:val="001B5323"/>
    <w:rsid w:val="001B55B3"/>
    <w:rsid w:val="001B6144"/>
    <w:rsid w:val="001B65C2"/>
    <w:rsid w:val="001B7079"/>
    <w:rsid w:val="001B7CAA"/>
    <w:rsid w:val="001C0586"/>
    <w:rsid w:val="001C0A24"/>
    <w:rsid w:val="001C1089"/>
    <w:rsid w:val="001C1162"/>
    <w:rsid w:val="001C12B0"/>
    <w:rsid w:val="001C1E82"/>
    <w:rsid w:val="001C2155"/>
    <w:rsid w:val="001C2549"/>
    <w:rsid w:val="001C3351"/>
    <w:rsid w:val="001C3476"/>
    <w:rsid w:val="001C39D9"/>
    <w:rsid w:val="001C3ABA"/>
    <w:rsid w:val="001C3E73"/>
    <w:rsid w:val="001C4498"/>
    <w:rsid w:val="001C4B18"/>
    <w:rsid w:val="001C6933"/>
    <w:rsid w:val="001C69EC"/>
    <w:rsid w:val="001C6C88"/>
    <w:rsid w:val="001C6F76"/>
    <w:rsid w:val="001D0DAC"/>
    <w:rsid w:val="001D0DF8"/>
    <w:rsid w:val="001D0F4D"/>
    <w:rsid w:val="001D1BFB"/>
    <w:rsid w:val="001D267A"/>
    <w:rsid w:val="001D2AF6"/>
    <w:rsid w:val="001D354E"/>
    <w:rsid w:val="001D375C"/>
    <w:rsid w:val="001D39C6"/>
    <w:rsid w:val="001D3E96"/>
    <w:rsid w:val="001D4016"/>
    <w:rsid w:val="001D43D6"/>
    <w:rsid w:val="001D5770"/>
    <w:rsid w:val="001D5A86"/>
    <w:rsid w:val="001D69AF"/>
    <w:rsid w:val="001D6A91"/>
    <w:rsid w:val="001D6DBB"/>
    <w:rsid w:val="001D7310"/>
    <w:rsid w:val="001D7E2E"/>
    <w:rsid w:val="001E13F6"/>
    <w:rsid w:val="001E1462"/>
    <w:rsid w:val="001E19FC"/>
    <w:rsid w:val="001E2002"/>
    <w:rsid w:val="001E28DC"/>
    <w:rsid w:val="001E2ABD"/>
    <w:rsid w:val="001E3D97"/>
    <w:rsid w:val="001E4775"/>
    <w:rsid w:val="001E53C8"/>
    <w:rsid w:val="001E63C1"/>
    <w:rsid w:val="001E670A"/>
    <w:rsid w:val="001E759C"/>
    <w:rsid w:val="001F0440"/>
    <w:rsid w:val="001F0A82"/>
    <w:rsid w:val="001F2038"/>
    <w:rsid w:val="001F21C8"/>
    <w:rsid w:val="001F408F"/>
    <w:rsid w:val="001F49CA"/>
    <w:rsid w:val="001F5AF3"/>
    <w:rsid w:val="001F5F75"/>
    <w:rsid w:val="001F61F6"/>
    <w:rsid w:val="001F6EEF"/>
    <w:rsid w:val="001F7082"/>
    <w:rsid w:val="002004D2"/>
    <w:rsid w:val="00200569"/>
    <w:rsid w:val="00200695"/>
    <w:rsid w:val="00200759"/>
    <w:rsid w:val="00202319"/>
    <w:rsid w:val="00202724"/>
    <w:rsid w:val="00202812"/>
    <w:rsid w:val="00202CC1"/>
    <w:rsid w:val="002033B8"/>
    <w:rsid w:val="002042BC"/>
    <w:rsid w:val="002045EC"/>
    <w:rsid w:val="00204BB6"/>
    <w:rsid w:val="00205723"/>
    <w:rsid w:val="00207694"/>
    <w:rsid w:val="00210A86"/>
    <w:rsid w:val="00210D4B"/>
    <w:rsid w:val="00211225"/>
    <w:rsid w:val="002115CB"/>
    <w:rsid w:val="0021162B"/>
    <w:rsid w:val="0021191F"/>
    <w:rsid w:val="002133AB"/>
    <w:rsid w:val="002133F6"/>
    <w:rsid w:val="00213B02"/>
    <w:rsid w:val="00213CAD"/>
    <w:rsid w:val="00214506"/>
    <w:rsid w:val="00214B4D"/>
    <w:rsid w:val="002153F3"/>
    <w:rsid w:val="00215633"/>
    <w:rsid w:val="00215B25"/>
    <w:rsid w:val="002166F9"/>
    <w:rsid w:val="00216778"/>
    <w:rsid w:val="00217037"/>
    <w:rsid w:val="00217260"/>
    <w:rsid w:val="00221278"/>
    <w:rsid w:val="00221AA3"/>
    <w:rsid w:val="00222774"/>
    <w:rsid w:val="00222B0D"/>
    <w:rsid w:val="00223631"/>
    <w:rsid w:val="002248F6"/>
    <w:rsid w:val="002250AC"/>
    <w:rsid w:val="002258E7"/>
    <w:rsid w:val="00225B45"/>
    <w:rsid w:val="00225D22"/>
    <w:rsid w:val="00225D7B"/>
    <w:rsid w:val="00225F49"/>
    <w:rsid w:val="0022717D"/>
    <w:rsid w:val="0023009A"/>
    <w:rsid w:val="0023046A"/>
    <w:rsid w:val="00230834"/>
    <w:rsid w:val="00230C13"/>
    <w:rsid w:val="00230E50"/>
    <w:rsid w:val="00231A67"/>
    <w:rsid w:val="0023239C"/>
    <w:rsid w:val="00232662"/>
    <w:rsid w:val="00232D16"/>
    <w:rsid w:val="00233154"/>
    <w:rsid w:val="00234F3C"/>
    <w:rsid w:val="00235345"/>
    <w:rsid w:val="0023544D"/>
    <w:rsid w:val="002358C9"/>
    <w:rsid w:val="00235E58"/>
    <w:rsid w:val="00237236"/>
    <w:rsid w:val="00237B52"/>
    <w:rsid w:val="0024166D"/>
    <w:rsid w:val="002419A1"/>
    <w:rsid w:val="00241C1A"/>
    <w:rsid w:val="00241D9D"/>
    <w:rsid w:val="002428B2"/>
    <w:rsid w:val="00242D46"/>
    <w:rsid w:val="00242F73"/>
    <w:rsid w:val="002436FF"/>
    <w:rsid w:val="002466DD"/>
    <w:rsid w:val="0024778C"/>
    <w:rsid w:val="00247E8B"/>
    <w:rsid w:val="00247EE8"/>
    <w:rsid w:val="0025182B"/>
    <w:rsid w:val="00252C48"/>
    <w:rsid w:val="00252D53"/>
    <w:rsid w:val="00253D28"/>
    <w:rsid w:val="00254A4D"/>
    <w:rsid w:val="00255B85"/>
    <w:rsid w:val="00255E13"/>
    <w:rsid w:val="00255E86"/>
    <w:rsid w:val="002560AC"/>
    <w:rsid w:val="002567F6"/>
    <w:rsid w:val="002604DE"/>
    <w:rsid w:val="00260668"/>
    <w:rsid w:val="00260C85"/>
    <w:rsid w:val="00260F40"/>
    <w:rsid w:val="00261370"/>
    <w:rsid w:val="00261597"/>
    <w:rsid w:val="00261A13"/>
    <w:rsid w:val="002628B4"/>
    <w:rsid w:val="002642C4"/>
    <w:rsid w:val="00264DA6"/>
    <w:rsid w:val="0026689E"/>
    <w:rsid w:val="002674AA"/>
    <w:rsid w:val="00267C10"/>
    <w:rsid w:val="00267DEB"/>
    <w:rsid w:val="00270462"/>
    <w:rsid w:val="00270918"/>
    <w:rsid w:val="00270F20"/>
    <w:rsid w:val="00271169"/>
    <w:rsid w:val="00271372"/>
    <w:rsid w:val="00271632"/>
    <w:rsid w:val="00272607"/>
    <w:rsid w:val="00272D00"/>
    <w:rsid w:val="002752FC"/>
    <w:rsid w:val="00275A87"/>
    <w:rsid w:val="002769E5"/>
    <w:rsid w:val="00276EEB"/>
    <w:rsid w:val="00280238"/>
    <w:rsid w:val="002804B4"/>
    <w:rsid w:val="00280DDA"/>
    <w:rsid w:val="00281340"/>
    <w:rsid w:val="0028231E"/>
    <w:rsid w:val="0028234C"/>
    <w:rsid w:val="00282A87"/>
    <w:rsid w:val="00283160"/>
    <w:rsid w:val="00284694"/>
    <w:rsid w:val="00284BDA"/>
    <w:rsid w:val="00284DFB"/>
    <w:rsid w:val="0028511B"/>
    <w:rsid w:val="00285178"/>
    <w:rsid w:val="002851D2"/>
    <w:rsid w:val="002857A4"/>
    <w:rsid w:val="002857E0"/>
    <w:rsid w:val="00285C54"/>
    <w:rsid w:val="00286476"/>
    <w:rsid w:val="00286620"/>
    <w:rsid w:val="00286CD7"/>
    <w:rsid w:val="00287186"/>
    <w:rsid w:val="002876F4"/>
    <w:rsid w:val="00287BB5"/>
    <w:rsid w:val="00287D7A"/>
    <w:rsid w:val="00287F17"/>
    <w:rsid w:val="00287F80"/>
    <w:rsid w:val="00290395"/>
    <w:rsid w:val="002905F5"/>
    <w:rsid w:val="00290F65"/>
    <w:rsid w:val="00291190"/>
    <w:rsid w:val="00291761"/>
    <w:rsid w:val="00291D5A"/>
    <w:rsid w:val="00291FE8"/>
    <w:rsid w:val="0029207D"/>
    <w:rsid w:val="00292972"/>
    <w:rsid w:val="00293868"/>
    <w:rsid w:val="002939D7"/>
    <w:rsid w:val="00293BC3"/>
    <w:rsid w:val="00294400"/>
    <w:rsid w:val="00294F06"/>
    <w:rsid w:val="00294F1A"/>
    <w:rsid w:val="0029519C"/>
    <w:rsid w:val="00295F63"/>
    <w:rsid w:val="00296994"/>
    <w:rsid w:val="002969FE"/>
    <w:rsid w:val="00296B1B"/>
    <w:rsid w:val="00297309"/>
    <w:rsid w:val="0029748C"/>
    <w:rsid w:val="002976A8"/>
    <w:rsid w:val="00297FDA"/>
    <w:rsid w:val="002A0B0A"/>
    <w:rsid w:val="002A127E"/>
    <w:rsid w:val="002A1718"/>
    <w:rsid w:val="002A1CFB"/>
    <w:rsid w:val="002A24E7"/>
    <w:rsid w:val="002A2F80"/>
    <w:rsid w:val="002A3B39"/>
    <w:rsid w:val="002A3E33"/>
    <w:rsid w:val="002A40EC"/>
    <w:rsid w:val="002A50C8"/>
    <w:rsid w:val="002A52C1"/>
    <w:rsid w:val="002A5563"/>
    <w:rsid w:val="002A559B"/>
    <w:rsid w:val="002A5C56"/>
    <w:rsid w:val="002A5CBA"/>
    <w:rsid w:val="002A6242"/>
    <w:rsid w:val="002A74FF"/>
    <w:rsid w:val="002A7C9A"/>
    <w:rsid w:val="002B04AF"/>
    <w:rsid w:val="002B0873"/>
    <w:rsid w:val="002B0ECA"/>
    <w:rsid w:val="002B107F"/>
    <w:rsid w:val="002B2075"/>
    <w:rsid w:val="002B2F76"/>
    <w:rsid w:val="002B3D48"/>
    <w:rsid w:val="002B46BC"/>
    <w:rsid w:val="002B4A76"/>
    <w:rsid w:val="002B4B3E"/>
    <w:rsid w:val="002B4CD5"/>
    <w:rsid w:val="002B6074"/>
    <w:rsid w:val="002B67AD"/>
    <w:rsid w:val="002B701A"/>
    <w:rsid w:val="002B7475"/>
    <w:rsid w:val="002B76B5"/>
    <w:rsid w:val="002B7855"/>
    <w:rsid w:val="002C018D"/>
    <w:rsid w:val="002C0997"/>
    <w:rsid w:val="002C1BCC"/>
    <w:rsid w:val="002C1E26"/>
    <w:rsid w:val="002C1EF6"/>
    <w:rsid w:val="002C2203"/>
    <w:rsid w:val="002C26A7"/>
    <w:rsid w:val="002C48BA"/>
    <w:rsid w:val="002C4F29"/>
    <w:rsid w:val="002C50EE"/>
    <w:rsid w:val="002C5461"/>
    <w:rsid w:val="002C5680"/>
    <w:rsid w:val="002C5A9D"/>
    <w:rsid w:val="002C5E96"/>
    <w:rsid w:val="002C643D"/>
    <w:rsid w:val="002C694D"/>
    <w:rsid w:val="002C70CD"/>
    <w:rsid w:val="002C7602"/>
    <w:rsid w:val="002C7B41"/>
    <w:rsid w:val="002D02A5"/>
    <w:rsid w:val="002D0712"/>
    <w:rsid w:val="002D15BB"/>
    <w:rsid w:val="002D15CC"/>
    <w:rsid w:val="002D1D07"/>
    <w:rsid w:val="002D2139"/>
    <w:rsid w:val="002D2569"/>
    <w:rsid w:val="002D29B4"/>
    <w:rsid w:val="002D3ED7"/>
    <w:rsid w:val="002D5C9E"/>
    <w:rsid w:val="002D5FB1"/>
    <w:rsid w:val="002D6041"/>
    <w:rsid w:val="002D6069"/>
    <w:rsid w:val="002D6E5A"/>
    <w:rsid w:val="002D6EC2"/>
    <w:rsid w:val="002D7080"/>
    <w:rsid w:val="002D72D4"/>
    <w:rsid w:val="002D7324"/>
    <w:rsid w:val="002D735B"/>
    <w:rsid w:val="002D74D8"/>
    <w:rsid w:val="002D756D"/>
    <w:rsid w:val="002D7FBD"/>
    <w:rsid w:val="002E175E"/>
    <w:rsid w:val="002E2175"/>
    <w:rsid w:val="002E29F8"/>
    <w:rsid w:val="002E2AD8"/>
    <w:rsid w:val="002E2B80"/>
    <w:rsid w:val="002E2BD0"/>
    <w:rsid w:val="002E2D9E"/>
    <w:rsid w:val="002E2F7D"/>
    <w:rsid w:val="002E42A1"/>
    <w:rsid w:val="002E5897"/>
    <w:rsid w:val="002E658F"/>
    <w:rsid w:val="002E68E2"/>
    <w:rsid w:val="002E6969"/>
    <w:rsid w:val="002E69F1"/>
    <w:rsid w:val="002E72E9"/>
    <w:rsid w:val="002F0EAD"/>
    <w:rsid w:val="002F13E0"/>
    <w:rsid w:val="002F16EA"/>
    <w:rsid w:val="002F1886"/>
    <w:rsid w:val="002F1CE6"/>
    <w:rsid w:val="002F238B"/>
    <w:rsid w:val="002F25E6"/>
    <w:rsid w:val="002F25E9"/>
    <w:rsid w:val="002F2D95"/>
    <w:rsid w:val="002F301E"/>
    <w:rsid w:val="002F3752"/>
    <w:rsid w:val="002F3A15"/>
    <w:rsid w:val="002F55E3"/>
    <w:rsid w:val="002F5B0C"/>
    <w:rsid w:val="002F600D"/>
    <w:rsid w:val="002F697B"/>
    <w:rsid w:val="002F6B27"/>
    <w:rsid w:val="002F6C20"/>
    <w:rsid w:val="002F7307"/>
    <w:rsid w:val="002F7869"/>
    <w:rsid w:val="002F7F5A"/>
    <w:rsid w:val="00300028"/>
    <w:rsid w:val="00300591"/>
    <w:rsid w:val="00300A7A"/>
    <w:rsid w:val="00301502"/>
    <w:rsid w:val="00302105"/>
    <w:rsid w:val="0030265E"/>
    <w:rsid w:val="00302BB8"/>
    <w:rsid w:val="00302EA4"/>
    <w:rsid w:val="003033FD"/>
    <w:rsid w:val="003034C6"/>
    <w:rsid w:val="003039D3"/>
    <w:rsid w:val="00303D3C"/>
    <w:rsid w:val="0030407E"/>
    <w:rsid w:val="003046D9"/>
    <w:rsid w:val="00305D47"/>
    <w:rsid w:val="003061AA"/>
    <w:rsid w:val="0030782D"/>
    <w:rsid w:val="00307978"/>
    <w:rsid w:val="00307B18"/>
    <w:rsid w:val="00307E1D"/>
    <w:rsid w:val="003102F6"/>
    <w:rsid w:val="0031083E"/>
    <w:rsid w:val="00310C43"/>
    <w:rsid w:val="00311005"/>
    <w:rsid w:val="0031173F"/>
    <w:rsid w:val="003125B1"/>
    <w:rsid w:val="00312D0F"/>
    <w:rsid w:val="00313D08"/>
    <w:rsid w:val="00313E11"/>
    <w:rsid w:val="0031412E"/>
    <w:rsid w:val="00314584"/>
    <w:rsid w:val="00315CAB"/>
    <w:rsid w:val="0031692A"/>
    <w:rsid w:val="003177D1"/>
    <w:rsid w:val="00317FB1"/>
    <w:rsid w:val="00320005"/>
    <w:rsid w:val="00320BFB"/>
    <w:rsid w:val="0032158B"/>
    <w:rsid w:val="003216F0"/>
    <w:rsid w:val="00321900"/>
    <w:rsid w:val="003249EA"/>
    <w:rsid w:val="0032558A"/>
    <w:rsid w:val="00325674"/>
    <w:rsid w:val="00325AB0"/>
    <w:rsid w:val="00325B67"/>
    <w:rsid w:val="00325D54"/>
    <w:rsid w:val="003261D9"/>
    <w:rsid w:val="00326C79"/>
    <w:rsid w:val="00326E4A"/>
    <w:rsid w:val="003270D1"/>
    <w:rsid w:val="003270DB"/>
    <w:rsid w:val="00327325"/>
    <w:rsid w:val="00331823"/>
    <w:rsid w:val="00332DC6"/>
    <w:rsid w:val="00332DFE"/>
    <w:rsid w:val="00333B90"/>
    <w:rsid w:val="003347DE"/>
    <w:rsid w:val="003351B8"/>
    <w:rsid w:val="00335675"/>
    <w:rsid w:val="00337570"/>
    <w:rsid w:val="00340CA2"/>
    <w:rsid w:val="00342C15"/>
    <w:rsid w:val="003436FC"/>
    <w:rsid w:val="00343C7F"/>
    <w:rsid w:val="00344149"/>
    <w:rsid w:val="003447DB"/>
    <w:rsid w:val="00345040"/>
    <w:rsid w:val="0034568D"/>
    <w:rsid w:val="00345A46"/>
    <w:rsid w:val="00346055"/>
    <w:rsid w:val="003465A6"/>
    <w:rsid w:val="00347097"/>
    <w:rsid w:val="00347B78"/>
    <w:rsid w:val="00347C98"/>
    <w:rsid w:val="00347D73"/>
    <w:rsid w:val="00347F7D"/>
    <w:rsid w:val="003508A3"/>
    <w:rsid w:val="0035162B"/>
    <w:rsid w:val="00351912"/>
    <w:rsid w:val="00351A70"/>
    <w:rsid w:val="00352022"/>
    <w:rsid w:val="00352039"/>
    <w:rsid w:val="003528EE"/>
    <w:rsid w:val="00352BCC"/>
    <w:rsid w:val="00353AE8"/>
    <w:rsid w:val="0035440E"/>
    <w:rsid w:val="0035481D"/>
    <w:rsid w:val="00354B84"/>
    <w:rsid w:val="00354F4D"/>
    <w:rsid w:val="00355127"/>
    <w:rsid w:val="00355C5C"/>
    <w:rsid w:val="00355D47"/>
    <w:rsid w:val="00355FCE"/>
    <w:rsid w:val="00356084"/>
    <w:rsid w:val="00356280"/>
    <w:rsid w:val="003573EC"/>
    <w:rsid w:val="003606F0"/>
    <w:rsid w:val="00360A66"/>
    <w:rsid w:val="00360AA8"/>
    <w:rsid w:val="00360C44"/>
    <w:rsid w:val="00361402"/>
    <w:rsid w:val="00361EF4"/>
    <w:rsid w:val="00362902"/>
    <w:rsid w:val="003631BD"/>
    <w:rsid w:val="00363696"/>
    <w:rsid w:val="00363AB5"/>
    <w:rsid w:val="00364122"/>
    <w:rsid w:val="003641F8"/>
    <w:rsid w:val="00364630"/>
    <w:rsid w:val="00364F1E"/>
    <w:rsid w:val="00365197"/>
    <w:rsid w:val="00365413"/>
    <w:rsid w:val="00365E3E"/>
    <w:rsid w:val="00366317"/>
    <w:rsid w:val="00366590"/>
    <w:rsid w:val="003666E9"/>
    <w:rsid w:val="00366AB3"/>
    <w:rsid w:val="00366E57"/>
    <w:rsid w:val="003679A4"/>
    <w:rsid w:val="003706FA"/>
    <w:rsid w:val="00371015"/>
    <w:rsid w:val="00372514"/>
    <w:rsid w:val="00372F67"/>
    <w:rsid w:val="0037341A"/>
    <w:rsid w:val="003747A9"/>
    <w:rsid w:val="00375830"/>
    <w:rsid w:val="00375EA9"/>
    <w:rsid w:val="00375FDC"/>
    <w:rsid w:val="00376226"/>
    <w:rsid w:val="0037639F"/>
    <w:rsid w:val="003766F6"/>
    <w:rsid w:val="0037791C"/>
    <w:rsid w:val="00377977"/>
    <w:rsid w:val="0038016A"/>
    <w:rsid w:val="00381953"/>
    <w:rsid w:val="00381973"/>
    <w:rsid w:val="00381D7F"/>
    <w:rsid w:val="00381FAA"/>
    <w:rsid w:val="00382F99"/>
    <w:rsid w:val="00383346"/>
    <w:rsid w:val="003835A1"/>
    <w:rsid w:val="00383D14"/>
    <w:rsid w:val="003840F0"/>
    <w:rsid w:val="003847B6"/>
    <w:rsid w:val="00384956"/>
    <w:rsid w:val="003851BD"/>
    <w:rsid w:val="00385993"/>
    <w:rsid w:val="00385A96"/>
    <w:rsid w:val="0039001E"/>
    <w:rsid w:val="00390773"/>
    <w:rsid w:val="003924F7"/>
    <w:rsid w:val="00392A67"/>
    <w:rsid w:val="00392F0E"/>
    <w:rsid w:val="0039346B"/>
    <w:rsid w:val="00393C7C"/>
    <w:rsid w:val="00393CF3"/>
    <w:rsid w:val="003943BC"/>
    <w:rsid w:val="00394771"/>
    <w:rsid w:val="003948E7"/>
    <w:rsid w:val="0039539A"/>
    <w:rsid w:val="003959F5"/>
    <w:rsid w:val="003966D7"/>
    <w:rsid w:val="00396820"/>
    <w:rsid w:val="00397BB1"/>
    <w:rsid w:val="003A07F3"/>
    <w:rsid w:val="003A1346"/>
    <w:rsid w:val="003A13DF"/>
    <w:rsid w:val="003A1EBE"/>
    <w:rsid w:val="003A2072"/>
    <w:rsid w:val="003A2342"/>
    <w:rsid w:val="003A2CF8"/>
    <w:rsid w:val="003A2F3E"/>
    <w:rsid w:val="003A3792"/>
    <w:rsid w:val="003A5391"/>
    <w:rsid w:val="003A5720"/>
    <w:rsid w:val="003A62F1"/>
    <w:rsid w:val="003A64B8"/>
    <w:rsid w:val="003A6BE5"/>
    <w:rsid w:val="003A6E02"/>
    <w:rsid w:val="003A7B72"/>
    <w:rsid w:val="003B0120"/>
    <w:rsid w:val="003B053C"/>
    <w:rsid w:val="003B0938"/>
    <w:rsid w:val="003B09D2"/>
    <w:rsid w:val="003B0D54"/>
    <w:rsid w:val="003B10FD"/>
    <w:rsid w:val="003B1BF1"/>
    <w:rsid w:val="003B1F1A"/>
    <w:rsid w:val="003B23F8"/>
    <w:rsid w:val="003B24E9"/>
    <w:rsid w:val="003B2C92"/>
    <w:rsid w:val="003B30FB"/>
    <w:rsid w:val="003B4163"/>
    <w:rsid w:val="003B5EF7"/>
    <w:rsid w:val="003B70C5"/>
    <w:rsid w:val="003B746E"/>
    <w:rsid w:val="003B7561"/>
    <w:rsid w:val="003B7776"/>
    <w:rsid w:val="003B7BD1"/>
    <w:rsid w:val="003C0179"/>
    <w:rsid w:val="003C1056"/>
    <w:rsid w:val="003C19ED"/>
    <w:rsid w:val="003C2D2F"/>
    <w:rsid w:val="003C32AA"/>
    <w:rsid w:val="003C3765"/>
    <w:rsid w:val="003C498B"/>
    <w:rsid w:val="003C4AF5"/>
    <w:rsid w:val="003C5567"/>
    <w:rsid w:val="003C5ABA"/>
    <w:rsid w:val="003C67DA"/>
    <w:rsid w:val="003C6CD1"/>
    <w:rsid w:val="003C74E9"/>
    <w:rsid w:val="003C7E59"/>
    <w:rsid w:val="003D1254"/>
    <w:rsid w:val="003D1318"/>
    <w:rsid w:val="003D146A"/>
    <w:rsid w:val="003D15B4"/>
    <w:rsid w:val="003D1D00"/>
    <w:rsid w:val="003D21C4"/>
    <w:rsid w:val="003D2424"/>
    <w:rsid w:val="003D2769"/>
    <w:rsid w:val="003D2EB7"/>
    <w:rsid w:val="003D37CC"/>
    <w:rsid w:val="003D3F37"/>
    <w:rsid w:val="003D440D"/>
    <w:rsid w:val="003D4680"/>
    <w:rsid w:val="003D5746"/>
    <w:rsid w:val="003D598D"/>
    <w:rsid w:val="003D607D"/>
    <w:rsid w:val="003D6272"/>
    <w:rsid w:val="003D665E"/>
    <w:rsid w:val="003D66A6"/>
    <w:rsid w:val="003D6B06"/>
    <w:rsid w:val="003D7546"/>
    <w:rsid w:val="003D76E4"/>
    <w:rsid w:val="003E02B2"/>
    <w:rsid w:val="003E0CD7"/>
    <w:rsid w:val="003E30FB"/>
    <w:rsid w:val="003E331A"/>
    <w:rsid w:val="003E3780"/>
    <w:rsid w:val="003E37B6"/>
    <w:rsid w:val="003E385F"/>
    <w:rsid w:val="003E3CB7"/>
    <w:rsid w:val="003E4097"/>
    <w:rsid w:val="003E597F"/>
    <w:rsid w:val="003E5E94"/>
    <w:rsid w:val="003E6744"/>
    <w:rsid w:val="003E735E"/>
    <w:rsid w:val="003E74BA"/>
    <w:rsid w:val="003F0089"/>
    <w:rsid w:val="003F0241"/>
    <w:rsid w:val="003F0E1D"/>
    <w:rsid w:val="003F13EA"/>
    <w:rsid w:val="003F258C"/>
    <w:rsid w:val="003F30A8"/>
    <w:rsid w:val="003F31C5"/>
    <w:rsid w:val="003F3636"/>
    <w:rsid w:val="003F3F2E"/>
    <w:rsid w:val="003F40BC"/>
    <w:rsid w:val="003F6273"/>
    <w:rsid w:val="003F6D1E"/>
    <w:rsid w:val="003F7AB3"/>
    <w:rsid w:val="0040045F"/>
    <w:rsid w:val="00400884"/>
    <w:rsid w:val="00400963"/>
    <w:rsid w:val="00400E46"/>
    <w:rsid w:val="00401647"/>
    <w:rsid w:val="0040235D"/>
    <w:rsid w:val="00402B57"/>
    <w:rsid w:val="00402F6F"/>
    <w:rsid w:val="00403217"/>
    <w:rsid w:val="00404118"/>
    <w:rsid w:val="004060C7"/>
    <w:rsid w:val="0040644D"/>
    <w:rsid w:val="00406643"/>
    <w:rsid w:val="004073CF"/>
    <w:rsid w:val="004076FD"/>
    <w:rsid w:val="00410848"/>
    <w:rsid w:val="00410D57"/>
    <w:rsid w:val="00412140"/>
    <w:rsid w:val="00412409"/>
    <w:rsid w:val="004129C0"/>
    <w:rsid w:val="00412A03"/>
    <w:rsid w:val="00412C0E"/>
    <w:rsid w:val="00413C52"/>
    <w:rsid w:val="004140B2"/>
    <w:rsid w:val="0041415A"/>
    <w:rsid w:val="00414D94"/>
    <w:rsid w:val="00416033"/>
    <w:rsid w:val="00416469"/>
    <w:rsid w:val="004164D6"/>
    <w:rsid w:val="00416817"/>
    <w:rsid w:val="00416D39"/>
    <w:rsid w:val="004179E1"/>
    <w:rsid w:val="00417A99"/>
    <w:rsid w:val="00417CF4"/>
    <w:rsid w:val="00417D30"/>
    <w:rsid w:val="00420118"/>
    <w:rsid w:val="0042057F"/>
    <w:rsid w:val="0042084A"/>
    <w:rsid w:val="0042162E"/>
    <w:rsid w:val="00421A9B"/>
    <w:rsid w:val="00421ACA"/>
    <w:rsid w:val="004227B3"/>
    <w:rsid w:val="004227B8"/>
    <w:rsid w:val="00422ED6"/>
    <w:rsid w:val="00423834"/>
    <w:rsid w:val="0042395A"/>
    <w:rsid w:val="00424911"/>
    <w:rsid w:val="00424AEC"/>
    <w:rsid w:val="00424F4B"/>
    <w:rsid w:val="004250F9"/>
    <w:rsid w:val="0042529C"/>
    <w:rsid w:val="00425515"/>
    <w:rsid w:val="00425CA2"/>
    <w:rsid w:val="00426E5A"/>
    <w:rsid w:val="00426FA6"/>
    <w:rsid w:val="00427D70"/>
    <w:rsid w:val="00430039"/>
    <w:rsid w:val="00430881"/>
    <w:rsid w:val="00431174"/>
    <w:rsid w:val="004316FF"/>
    <w:rsid w:val="004328EA"/>
    <w:rsid w:val="004335C0"/>
    <w:rsid w:val="0043405B"/>
    <w:rsid w:val="00434B16"/>
    <w:rsid w:val="00437A3D"/>
    <w:rsid w:val="00440DD2"/>
    <w:rsid w:val="004412DF"/>
    <w:rsid w:val="00441645"/>
    <w:rsid w:val="004425D0"/>
    <w:rsid w:val="00442736"/>
    <w:rsid w:val="00442AA4"/>
    <w:rsid w:val="00443399"/>
    <w:rsid w:val="00443A4B"/>
    <w:rsid w:val="004441FB"/>
    <w:rsid w:val="0044438D"/>
    <w:rsid w:val="00444BF4"/>
    <w:rsid w:val="00445F08"/>
    <w:rsid w:val="00447107"/>
    <w:rsid w:val="00447539"/>
    <w:rsid w:val="0044793D"/>
    <w:rsid w:val="00447B00"/>
    <w:rsid w:val="00450C1C"/>
    <w:rsid w:val="00450C44"/>
    <w:rsid w:val="0045267A"/>
    <w:rsid w:val="00452B81"/>
    <w:rsid w:val="004536DC"/>
    <w:rsid w:val="00453CFC"/>
    <w:rsid w:val="004552DE"/>
    <w:rsid w:val="00455577"/>
    <w:rsid w:val="00455804"/>
    <w:rsid w:val="004565D9"/>
    <w:rsid w:val="004570B5"/>
    <w:rsid w:val="00457105"/>
    <w:rsid w:val="004575CE"/>
    <w:rsid w:val="00457C17"/>
    <w:rsid w:val="00457E7E"/>
    <w:rsid w:val="00460499"/>
    <w:rsid w:val="00460581"/>
    <w:rsid w:val="004616AD"/>
    <w:rsid w:val="00462321"/>
    <w:rsid w:val="004625FE"/>
    <w:rsid w:val="00462BCC"/>
    <w:rsid w:val="00463AF5"/>
    <w:rsid w:val="00463D43"/>
    <w:rsid w:val="00464128"/>
    <w:rsid w:val="004641F3"/>
    <w:rsid w:val="0046421B"/>
    <w:rsid w:val="004648C9"/>
    <w:rsid w:val="00464A1B"/>
    <w:rsid w:val="0046548E"/>
    <w:rsid w:val="0046792C"/>
    <w:rsid w:val="0046798A"/>
    <w:rsid w:val="0047076A"/>
    <w:rsid w:val="00470A72"/>
    <w:rsid w:val="004710AB"/>
    <w:rsid w:val="0047167C"/>
    <w:rsid w:val="004717F2"/>
    <w:rsid w:val="00471CC3"/>
    <w:rsid w:val="00471CC5"/>
    <w:rsid w:val="00472036"/>
    <w:rsid w:val="004720A6"/>
    <w:rsid w:val="0047262F"/>
    <w:rsid w:val="004727A8"/>
    <w:rsid w:val="00472FD0"/>
    <w:rsid w:val="004737E1"/>
    <w:rsid w:val="004750D6"/>
    <w:rsid w:val="00475A37"/>
    <w:rsid w:val="0047752B"/>
    <w:rsid w:val="0047784B"/>
    <w:rsid w:val="00480752"/>
    <w:rsid w:val="00481173"/>
    <w:rsid w:val="00481189"/>
    <w:rsid w:val="00481899"/>
    <w:rsid w:val="0048189D"/>
    <w:rsid w:val="00481FB3"/>
    <w:rsid w:val="004843BC"/>
    <w:rsid w:val="00484F00"/>
    <w:rsid w:val="00485022"/>
    <w:rsid w:val="00485BA9"/>
    <w:rsid w:val="00486B07"/>
    <w:rsid w:val="004871E1"/>
    <w:rsid w:val="00491952"/>
    <w:rsid w:val="004919A5"/>
    <w:rsid w:val="00492FC7"/>
    <w:rsid w:val="0049496E"/>
    <w:rsid w:val="00495400"/>
    <w:rsid w:val="00495961"/>
    <w:rsid w:val="004963C7"/>
    <w:rsid w:val="00496602"/>
    <w:rsid w:val="00496EC6"/>
    <w:rsid w:val="00496F0E"/>
    <w:rsid w:val="00497766"/>
    <w:rsid w:val="004A09A4"/>
    <w:rsid w:val="004A1336"/>
    <w:rsid w:val="004A19B8"/>
    <w:rsid w:val="004A1E12"/>
    <w:rsid w:val="004A23C6"/>
    <w:rsid w:val="004A2862"/>
    <w:rsid w:val="004A29C6"/>
    <w:rsid w:val="004A2E18"/>
    <w:rsid w:val="004A2E46"/>
    <w:rsid w:val="004A3024"/>
    <w:rsid w:val="004A4029"/>
    <w:rsid w:val="004A40CD"/>
    <w:rsid w:val="004A4264"/>
    <w:rsid w:val="004A4495"/>
    <w:rsid w:val="004A4623"/>
    <w:rsid w:val="004A4EE4"/>
    <w:rsid w:val="004A4EE9"/>
    <w:rsid w:val="004A4F26"/>
    <w:rsid w:val="004A5231"/>
    <w:rsid w:val="004A602D"/>
    <w:rsid w:val="004A607A"/>
    <w:rsid w:val="004A6D10"/>
    <w:rsid w:val="004A78E9"/>
    <w:rsid w:val="004B02E7"/>
    <w:rsid w:val="004B0525"/>
    <w:rsid w:val="004B05A1"/>
    <w:rsid w:val="004B0760"/>
    <w:rsid w:val="004B086F"/>
    <w:rsid w:val="004B115C"/>
    <w:rsid w:val="004B186B"/>
    <w:rsid w:val="004B2686"/>
    <w:rsid w:val="004B28EC"/>
    <w:rsid w:val="004B2C57"/>
    <w:rsid w:val="004B31F2"/>
    <w:rsid w:val="004B366B"/>
    <w:rsid w:val="004B36CF"/>
    <w:rsid w:val="004B3F8E"/>
    <w:rsid w:val="004B40F2"/>
    <w:rsid w:val="004B4BB1"/>
    <w:rsid w:val="004B4FBD"/>
    <w:rsid w:val="004B5121"/>
    <w:rsid w:val="004B5BB3"/>
    <w:rsid w:val="004B7EF5"/>
    <w:rsid w:val="004C0661"/>
    <w:rsid w:val="004C0E1B"/>
    <w:rsid w:val="004C0EF4"/>
    <w:rsid w:val="004C0FB9"/>
    <w:rsid w:val="004C24B5"/>
    <w:rsid w:val="004C26F2"/>
    <w:rsid w:val="004C2748"/>
    <w:rsid w:val="004C2B39"/>
    <w:rsid w:val="004C310D"/>
    <w:rsid w:val="004C3258"/>
    <w:rsid w:val="004C38A9"/>
    <w:rsid w:val="004C4F82"/>
    <w:rsid w:val="004C51AD"/>
    <w:rsid w:val="004C535C"/>
    <w:rsid w:val="004C547A"/>
    <w:rsid w:val="004C6298"/>
    <w:rsid w:val="004C68D0"/>
    <w:rsid w:val="004C7A27"/>
    <w:rsid w:val="004D044F"/>
    <w:rsid w:val="004D1119"/>
    <w:rsid w:val="004D17F3"/>
    <w:rsid w:val="004D2550"/>
    <w:rsid w:val="004D2B72"/>
    <w:rsid w:val="004D395A"/>
    <w:rsid w:val="004D40A1"/>
    <w:rsid w:val="004D4838"/>
    <w:rsid w:val="004D61D8"/>
    <w:rsid w:val="004D6798"/>
    <w:rsid w:val="004E0687"/>
    <w:rsid w:val="004E169F"/>
    <w:rsid w:val="004E17FF"/>
    <w:rsid w:val="004E2AF3"/>
    <w:rsid w:val="004E3D55"/>
    <w:rsid w:val="004E484F"/>
    <w:rsid w:val="004E4FD0"/>
    <w:rsid w:val="004E530D"/>
    <w:rsid w:val="004E584A"/>
    <w:rsid w:val="004E66C1"/>
    <w:rsid w:val="004E73CD"/>
    <w:rsid w:val="004F003B"/>
    <w:rsid w:val="004F01CB"/>
    <w:rsid w:val="004F06F5"/>
    <w:rsid w:val="004F0EA5"/>
    <w:rsid w:val="004F193D"/>
    <w:rsid w:val="004F1E03"/>
    <w:rsid w:val="004F28A5"/>
    <w:rsid w:val="004F2946"/>
    <w:rsid w:val="004F30DB"/>
    <w:rsid w:val="004F3F00"/>
    <w:rsid w:val="004F493A"/>
    <w:rsid w:val="004F5734"/>
    <w:rsid w:val="004F5826"/>
    <w:rsid w:val="004F5AFC"/>
    <w:rsid w:val="004F61F0"/>
    <w:rsid w:val="004F63BD"/>
    <w:rsid w:val="004F691D"/>
    <w:rsid w:val="004F6C38"/>
    <w:rsid w:val="004F6DF0"/>
    <w:rsid w:val="004F7D1C"/>
    <w:rsid w:val="004F7E42"/>
    <w:rsid w:val="005008C9"/>
    <w:rsid w:val="0050153B"/>
    <w:rsid w:val="00501655"/>
    <w:rsid w:val="00502010"/>
    <w:rsid w:val="00502603"/>
    <w:rsid w:val="00503906"/>
    <w:rsid w:val="00504091"/>
    <w:rsid w:val="0050452C"/>
    <w:rsid w:val="00504720"/>
    <w:rsid w:val="00504C1F"/>
    <w:rsid w:val="005056C4"/>
    <w:rsid w:val="00505E16"/>
    <w:rsid w:val="00505F22"/>
    <w:rsid w:val="0051072C"/>
    <w:rsid w:val="00510A67"/>
    <w:rsid w:val="00510A92"/>
    <w:rsid w:val="00511628"/>
    <w:rsid w:val="00511803"/>
    <w:rsid w:val="005119A0"/>
    <w:rsid w:val="00513074"/>
    <w:rsid w:val="005137FC"/>
    <w:rsid w:val="00513A00"/>
    <w:rsid w:val="00513B4D"/>
    <w:rsid w:val="00513F37"/>
    <w:rsid w:val="0051444C"/>
    <w:rsid w:val="00514762"/>
    <w:rsid w:val="005158E3"/>
    <w:rsid w:val="0051601D"/>
    <w:rsid w:val="005164F9"/>
    <w:rsid w:val="00516A0E"/>
    <w:rsid w:val="00517A44"/>
    <w:rsid w:val="00517A46"/>
    <w:rsid w:val="00521796"/>
    <w:rsid w:val="00522264"/>
    <w:rsid w:val="00522305"/>
    <w:rsid w:val="00522379"/>
    <w:rsid w:val="00522560"/>
    <w:rsid w:val="00522D4D"/>
    <w:rsid w:val="00523AEB"/>
    <w:rsid w:val="00524B01"/>
    <w:rsid w:val="0052511E"/>
    <w:rsid w:val="005251FA"/>
    <w:rsid w:val="0052539E"/>
    <w:rsid w:val="005257F9"/>
    <w:rsid w:val="005259EF"/>
    <w:rsid w:val="00525E6A"/>
    <w:rsid w:val="00525EFD"/>
    <w:rsid w:val="005260CF"/>
    <w:rsid w:val="00526A17"/>
    <w:rsid w:val="00526BB0"/>
    <w:rsid w:val="00527275"/>
    <w:rsid w:val="005320ED"/>
    <w:rsid w:val="00532914"/>
    <w:rsid w:val="00532B43"/>
    <w:rsid w:val="00532EDE"/>
    <w:rsid w:val="0053362E"/>
    <w:rsid w:val="00533EE6"/>
    <w:rsid w:val="005350AD"/>
    <w:rsid w:val="00535B1B"/>
    <w:rsid w:val="005373B1"/>
    <w:rsid w:val="00537C9D"/>
    <w:rsid w:val="00537D75"/>
    <w:rsid w:val="005407DE"/>
    <w:rsid w:val="00540BB1"/>
    <w:rsid w:val="00540C17"/>
    <w:rsid w:val="005428B8"/>
    <w:rsid w:val="00542924"/>
    <w:rsid w:val="005435BC"/>
    <w:rsid w:val="005436CE"/>
    <w:rsid w:val="00543981"/>
    <w:rsid w:val="00545D48"/>
    <w:rsid w:val="0054654C"/>
    <w:rsid w:val="00546CBB"/>
    <w:rsid w:val="00547883"/>
    <w:rsid w:val="00547C4A"/>
    <w:rsid w:val="005511B4"/>
    <w:rsid w:val="00551F70"/>
    <w:rsid w:val="00552FA6"/>
    <w:rsid w:val="005536DC"/>
    <w:rsid w:val="00553913"/>
    <w:rsid w:val="00554130"/>
    <w:rsid w:val="00554444"/>
    <w:rsid w:val="00554EE8"/>
    <w:rsid w:val="00556430"/>
    <w:rsid w:val="0055673E"/>
    <w:rsid w:val="00557DCB"/>
    <w:rsid w:val="00557EB7"/>
    <w:rsid w:val="005610D5"/>
    <w:rsid w:val="0056153D"/>
    <w:rsid w:val="00561590"/>
    <w:rsid w:val="00561714"/>
    <w:rsid w:val="00561B78"/>
    <w:rsid w:val="00562397"/>
    <w:rsid w:val="00562604"/>
    <w:rsid w:val="00562781"/>
    <w:rsid w:val="005637FF"/>
    <w:rsid w:val="005648EB"/>
    <w:rsid w:val="00564E7D"/>
    <w:rsid w:val="00565776"/>
    <w:rsid w:val="0056578B"/>
    <w:rsid w:val="0056681C"/>
    <w:rsid w:val="00566B0E"/>
    <w:rsid w:val="00566D3B"/>
    <w:rsid w:val="00566EB1"/>
    <w:rsid w:val="00567F48"/>
    <w:rsid w:val="00572E1F"/>
    <w:rsid w:val="00572E69"/>
    <w:rsid w:val="00572EA9"/>
    <w:rsid w:val="005732C0"/>
    <w:rsid w:val="00573739"/>
    <w:rsid w:val="005744E3"/>
    <w:rsid w:val="00574C37"/>
    <w:rsid w:val="00574CC8"/>
    <w:rsid w:val="00574E6D"/>
    <w:rsid w:val="00574FAD"/>
    <w:rsid w:val="00575394"/>
    <w:rsid w:val="0057558D"/>
    <w:rsid w:val="00576131"/>
    <w:rsid w:val="00577060"/>
    <w:rsid w:val="0057721C"/>
    <w:rsid w:val="00577407"/>
    <w:rsid w:val="0057796A"/>
    <w:rsid w:val="00580EE5"/>
    <w:rsid w:val="00581911"/>
    <w:rsid w:val="00581B98"/>
    <w:rsid w:val="00581DAD"/>
    <w:rsid w:val="00581EC9"/>
    <w:rsid w:val="005824F8"/>
    <w:rsid w:val="005827E5"/>
    <w:rsid w:val="0058291D"/>
    <w:rsid w:val="00582992"/>
    <w:rsid w:val="00582D01"/>
    <w:rsid w:val="00582F14"/>
    <w:rsid w:val="005832C6"/>
    <w:rsid w:val="00584277"/>
    <w:rsid w:val="0058454D"/>
    <w:rsid w:val="00584812"/>
    <w:rsid w:val="005849F0"/>
    <w:rsid w:val="005849FA"/>
    <w:rsid w:val="005860B7"/>
    <w:rsid w:val="005869D3"/>
    <w:rsid w:val="00587B0F"/>
    <w:rsid w:val="00587B51"/>
    <w:rsid w:val="00587B9A"/>
    <w:rsid w:val="0059044C"/>
    <w:rsid w:val="005906B7"/>
    <w:rsid w:val="005918AE"/>
    <w:rsid w:val="00592040"/>
    <w:rsid w:val="005924C1"/>
    <w:rsid w:val="005939A2"/>
    <w:rsid w:val="00593AB6"/>
    <w:rsid w:val="0059413D"/>
    <w:rsid w:val="005949C4"/>
    <w:rsid w:val="00595ADA"/>
    <w:rsid w:val="00596A0D"/>
    <w:rsid w:val="00596F59"/>
    <w:rsid w:val="005973D4"/>
    <w:rsid w:val="00597646"/>
    <w:rsid w:val="00597A6C"/>
    <w:rsid w:val="00597F65"/>
    <w:rsid w:val="005A00BF"/>
    <w:rsid w:val="005A021E"/>
    <w:rsid w:val="005A0868"/>
    <w:rsid w:val="005A11D8"/>
    <w:rsid w:val="005A15D4"/>
    <w:rsid w:val="005A2871"/>
    <w:rsid w:val="005A29B9"/>
    <w:rsid w:val="005A3A03"/>
    <w:rsid w:val="005A3E63"/>
    <w:rsid w:val="005A40E8"/>
    <w:rsid w:val="005A4A4D"/>
    <w:rsid w:val="005A4E61"/>
    <w:rsid w:val="005A4E9D"/>
    <w:rsid w:val="005A5124"/>
    <w:rsid w:val="005A6576"/>
    <w:rsid w:val="005A6CC3"/>
    <w:rsid w:val="005A72D5"/>
    <w:rsid w:val="005A7F3D"/>
    <w:rsid w:val="005B0677"/>
    <w:rsid w:val="005B0E82"/>
    <w:rsid w:val="005B0EEF"/>
    <w:rsid w:val="005B117C"/>
    <w:rsid w:val="005B1288"/>
    <w:rsid w:val="005B3735"/>
    <w:rsid w:val="005B3CAB"/>
    <w:rsid w:val="005B3D59"/>
    <w:rsid w:val="005B3D8F"/>
    <w:rsid w:val="005B4A41"/>
    <w:rsid w:val="005B4F3C"/>
    <w:rsid w:val="005B533C"/>
    <w:rsid w:val="005B5A87"/>
    <w:rsid w:val="005B60CE"/>
    <w:rsid w:val="005B632E"/>
    <w:rsid w:val="005B67B1"/>
    <w:rsid w:val="005B7324"/>
    <w:rsid w:val="005C021E"/>
    <w:rsid w:val="005C0257"/>
    <w:rsid w:val="005C07A0"/>
    <w:rsid w:val="005C08BF"/>
    <w:rsid w:val="005C106F"/>
    <w:rsid w:val="005C1608"/>
    <w:rsid w:val="005C1AE2"/>
    <w:rsid w:val="005C20B5"/>
    <w:rsid w:val="005C2252"/>
    <w:rsid w:val="005C2B71"/>
    <w:rsid w:val="005C3115"/>
    <w:rsid w:val="005C3A2D"/>
    <w:rsid w:val="005C4244"/>
    <w:rsid w:val="005C464B"/>
    <w:rsid w:val="005C46EE"/>
    <w:rsid w:val="005C5374"/>
    <w:rsid w:val="005C5A4D"/>
    <w:rsid w:val="005C5FF0"/>
    <w:rsid w:val="005C7FC2"/>
    <w:rsid w:val="005D00D8"/>
    <w:rsid w:val="005D026B"/>
    <w:rsid w:val="005D0F20"/>
    <w:rsid w:val="005D1B49"/>
    <w:rsid w:val="005D1DF0"/>
    <w:rsid w:val="005D3974"/>
    <w:rsid w:val="005D3F82"/>
    <w:rsid w:val="005D4819"/>
    <w:rsid w:val="005D5B15"/>
    <w:rsid w:val="005D66B8"/>
    <w:rsid w:val="005D671D"/>
    <w:rsid w:val="005D692E"/>
    <w:rsid w:val="005D7631"/>
    <w:rsid w:val="005D776F"/>
    <w:rsid w:val="005D7943"/>
    <w:rsid w:val="005E0B7F"/>
    <w:rsid w:val="005E0FE0"/>
    <w:rsid w:val="005E199D"/>
    <w:rsid w:val="005E1DB1"/>
    <w:rsid w:val="005E1F78"/>
    <w:rsid w:val="005E22C2"/>
    <w:rsid w:val="005E328B"/>
    <w:rsid w:val="005E3B4C"/>
    <w:rsid w:val="005E4144"/>
    <w:rsid w:val="005E4460"/>
    <w:rsid w:val="005E460A"/>
    <w:rsid w:val="005E4DA9"/>
    <w:rsid w:val="005E4DDF"/>
    <w:rsid w:val="005E5031"/>
    <w:rsid w:val="005E51F3"/>
    <w:rsid w:val="005E5DA1"/>
    <w:rsid w:val="005E6297"/>
    <w:rsid w:val="005E65EB"/>
    <w:rsid w:val="005E762B"/>
    <w:rsid w:val="005F013A"/>
    <w:rsid w:val="005F027E"/>
    <w:rsid w:val="005F0943"/>
    <w:rsid w:val="005F18F1"/>
    <w:rsid w:val="005F21E4"/>
    <w:rsid w:val="005F285B"/>
    <w:rsid w:val="005F3606"/>
    <w:rsid w:val="005F3E8F"/>
    <w:rsid w:val="005F44F6"/>
    <w:rsid w:val="005F4905"/>
    <w:rsid w:val="005F4EC3"/>
    <w:rsid w:val="005F5B17"/>
    <w:rsid w:val="005F5C8C"/>
    <w:rsid w:val="005F661D"/>
    <w:rsid w:val="005F6E21"/>
    <w:rsid w:val="005F7544"/>
    <w:rsid w:val="005F77AE"/>
    <w:rsid w:val="005F7A8D"/>
    <w:rsid w:val="005F7BFE"/>
    <w:rsid w:val="00600D1E"/>
    <w:rsid w:val="0060183E"/>
    <w:rsid w:val="0060227F"/>
    <w:rsid w:val="006029EA"/>
    <w:rsid w:val="00602F51"/>
    <w:rsid w:val="006033F9"/>
    <w:rsid w:val="006034F6"/>
    <w:rsid w:val="00603D67"/>
    <w:rsid w:val="006042FC"/>
    <w:rsid w:val="006062F8"/>
    <w:rsid w:val="006107EC"/>
    <w:rsid w:val="00611A14"/>
    <w:rsid w:val="00611F16"/>
    <w:rsid w:val="006122AC"/>
    <w:rsid w:val="0061257E"/>
    <w:rsid w:val="006127C9"/>
    <w:rsid w:val="00612C7D"/>
    <w:rsid w:val="00613612"/>
    <w:rsid w:val="006148FF"/>
    <w:rsid w:val="0061490E"/>
    <w:rsid w:val="006153B3"/>
    <w:rsid w:val="0061560B"/>
    <w:rsid w:val="0061583F"/>
    <w:rsid w:val="00615C72"/>
    <w:rsid w:val="00615C80"/>
    <w:rsid w:val="00615E01"/>
    <w:rsid w:val="00616C51"/>
    <w:rsid w:val="00617313"/>
    <w:rsid w:val="006175D4"/>
    <w:rsid w:val="006179BA"/>
    <w:rsid w:val="00620DD3"/>
    <w:rsid w:val="006214A6"/>
    <w:rsid w:val="00621810"/>
    <w:rsid w:val="0062189E"/>
    <w:rsid w:val="00622E2A"/>
    <w:rsid w:val="00623E37"/>
    <w:rsid w:val="00624359"/>
    <w:rsid w:val="006246D4"/>
    <w:rsid w:val="00624C69"/>
    <w:rsid w:val="00624C84"/>
    <w:rsid w:val="006256D2"/>
    <w:rsid w:val="00625C69"/>
    <w:rsid w:val="00626160"/>
    <w:rsid w:val="00626D0B"/>
    <w:rsid w:val="00626E78"/>
    <w:rsid w:val="00626FC0"/>
    <w:rsid w:val="006271B2"/>
    <w:rsid w:val="00627391"/>
    <w:rsid w:val="00630BBD"/>
    <w:rsid w:val="0063122D"/>
    <w:rsid w:val="00632FC8"/>
    <w:rsid w:val="006331B0"/>
    <w:rsid w:val="00633F5D"/>
    <w:rsid w:val="00634453"/>
    <w:rsid w:val="0063496A"/>
    <w:rsid w:val="00634AED"/>
    <w:rsid w:val="00635F55"/>
    <w:rsid w:val="00636912"/>
    <w:rsid w:val="00637901"/>
    <w:rsid w:val="00637AEB"/>
    <w:rsid w:val="00637D3F"/>
    <w:rsid w:val="00640050"/>
    <w:rsid w:val="0064011B"/>
    <w:rsid w:val="00640D32"/>
    <w:rsid w:val="00641073"/>
    <w:rsid w:val="00641621"/>
    <w:rsid w:val="006417B0"/>
    <w:rsid w:val="00641C15"/>
    <w:rsid w:val="006424CF"/>
    <w:rsid w:val="006425AA"/>
    <w:rsid w:val="006439F4"/>
    <w:rsid w:val="00644279"/>
    <w:rsid w:val="0064456F"/>
    <w:rsid w:val="00644DA9"/>
    <w:rsid w:val="006455DA"/>
    <w:rsid w:val="00645BEB"/>
    <w:rsid w:val="00647197"/>
    <w:rsid w:val="00651D1F"/>
    <w:rsid w:val="0065255E"/>
    <w:rsid w:val="00653059"/>
    <w:rsid w:val="006533AC"/>
    <w:rsid w:val="006537D2"/>
    <w:rsid w:val="00653C36"/>
    <w:rsid w:val="006544E4"/>
    <w:rsid w:val="006547D2"/>
    <w:rsid w:val="00655756"/>
    <w:rsid w:val="006563D8"/>
    <w:rsid w:val="006564A8"/>
    <w:rsid w:val="00656F5E"/>
    <w:rsid w:val="00656F61"/>
    <w:rsid w:val="0065723F"/>
    <w:rsid w:val="006572E9"/>
    <w:rsid w:val="00657C0B"/>
    <w:rsid w:val="00657CD4"/>
    <w:rsid w:val="006628A5"/>
    <w:rsid w:val="00662F62"/>
    <w:rsid w:val="00663765"/>
    <w:rsid w:val="006641C7"/>
    <w:rsid w:val="0066469B"/>
    <w:rsid w:val="00664E4A"/>
    <w:rsid w:val="0066694C"/>
    <w:rsid w:val="00666D2F"/>
    <w:rsid w:val="006673D5"/>
    <w:rsid w:val="00667B34"/>
    <w:rsid w:val="00667F1F"/>
    <w:rsid w:val="006702F3"/>
    <w:rsid w:val="00670965"/>
    <w:rsid w:val="00670A21"/>
    <w:rsid w:val="006710D2"/>
    <w:rsid w:val="006712FC"/>
    <w:rsid w:val="00671B4D"/>
    <w:rsid w:val="00671FC3"/>
    <w:rsid w:val="006729C1"/>
    <w:rsid w:val="00673459"/>
    <w:rsid w:val="00673B7A"/>
    <w:rsid w:val="00673EDA"/>
    <w:rsid w:val="00674EAB"/>
    <w:rsid w:val="006751E2"/>
    <w:rsid w:val="00675494"/>
    <w:rsid w:val="0067715A"/>
    <w:rsid w:val="006772AA"/>
    <w:rsid w:val="006772B3"/>
    <w:rsid w:val="00677642"/>
    <w:rsid w:val="00677CFC"/>
    <w:rsid w:val="0068069A"/>
    <w:rsid w:val="00681897"/>
    <w:rsid w:val="0068209B"/>
    <w:rsid w:val="00682416"/>
    <w:rsid w:val="0068399A"/>
    <w:rsid w:val="00684542"/>
    <w:rsid w:val="00684E27"/>
    <w:rsid w:val="00685035"/>
    <w:rsid w:val="0068559A"/>
    <w:rsid w:val="00686601"/>
    <w:rsid w:val="00686F01"/>
    <w:rsid w:val="00687253"/>
    <w:rsid w:val="006877D5"/>
    <w:rsid w:val="00687DB0"/>
    <w:rsid w:val="00690FC3"/>
    <w:rsid w:val="0069186E"/>
    <w:rsid w:val="00691B49"/>
    <w:rsid w:val="00693437"/>
    <w:rsid w:val="006934AF"/>
    <w:rsid w:val="00693963"/>
    <w:rsid w:val="006939C3"/>
    <w:rsid w:val="00694557"/>
    <w:rsid w:val="00694F35"/>
    <w:rsid w:val="00695645"/>
    <w:rsid w:val="00695B40"/>
    <w:rsid w:val="00695C95"/>
    <w:rsid w:val="00695D97"/>
    <w:rsid w:val="006961F1"/>
    <w:rsid w:val="00696EA4"/>
    <w:rsid w:val="00697500"/>
    <w:rsid w:val="006979F5"/>
    <w:rsid w:val="006A038E"/>
    <w:rsid w:val="006A0F5E"/>
    <w:rsid w:val="006A142A"/>
    <w:rsid w:val="006A222A"/>
    <w:rsid w:val="006A2CC8"/>
    <w:rsid w:val="006A2CE2"/>
    <w:rsid w:val="006A382F"/>
    <w:rsid w:val="006A423C"/>
    <w:rsid w:val="006A4FC8"/>
    <w:rsid w:val="006A55D6"/>
    <w:rsid w:val="006A66AE"/>
    <w:rsid w:val="006A6D9D"/>
    <w:rsid w:val="006A6F7E"/>
    <w:rsid w:val="006A79F2"/>
    <w:rsid w:val="006B0027"/>
    <w:rsid w:val="006B0A8D"/>
    <w:rsid w:val="006B0CEA"/>
    <w:rsid w:val="006B1EBF"/>
    <w:rsid w:val="006B21B2"/>
    <w:rsid w:val="006B2424"/>
    <w:rsid w:val="006B2862"/>
    <w:rsid w:val="006B4783"/>
    <w:rsid w:val="006B56F6"/>
    <w:rsid w:val="006B5941"/>
    <w:rsid w:val="006B7036"/>
    <w:rsid w:val="006B789A"/>
    <w:rsid w:val="006B78D7"/>
    <w:rsid w:val="006B7B70"/>
    <w:rsid w:val="006C1248"/>
    <w:rsid w:val="006C16CE"/>
    <w:rsid w:val="006C1745"/>
    <w:rsid w:val="006C18FB"/>
    <w:rsid w:val="006C1BCE"/>
    <w:rsid w:val="006C241E"/>
    <w:rsid w:val="006C242C"/>
    <w:rsid w:val="006C35F5"/>
    <w:rsid w:val="006C3855"/>
    <w:rsid w:val="006C4101"/>
    <w:rsid w:val="006C45D2"/>
    <w:rsid w:val="006C46F2"/>
    <w:rsid w:val="006C5869"/>
    <w:rsid w:val="006C6009"/>
    <w:rsid w:val="006C62B0"/>
    <w:rsid w:val="006C6427"/>
    <w:rsid w:val="006C68B6"/>
    <w:rsid w:val="006C6C6D"/>
    <w:rsid w:val="006C7980"/>
    <w:rsid w:val="006D0050"/>
    <w:rsid w:val="006D00E9"/>
    <w:rsid w:val="006D09CF"/>
    <w:rsid w:val="006D105B"/>
    <w:rsid w:val="006D1706"/>
    <w:rsid w:val="006D1B91"/>
    <w:rsid w:val="006D1CDF"/>
    <w:rsid w:val="006D1D30"/>
    <w:rsid w:val="006D28AD"/>
    <w:rsid w:val="006D2974"/>
    <w:rsid w:val="006D33DC"/>
    <w:rsid w:val="006D41EB"/>
    <w:rsid w:val="006D45ED"/>
    <w:rsid w:val="006D63FC"/>
    <w:rsid w:val="006D6544"/>
    <w:rsid w:val="006D71DA"/>
    <w:rsid w:val="006D78E4"/>
    <w:rsid w:val="006D7DDC"/>
    <w:rsid w:val="006E042E"/>
    <w:rsid w:val="006E0AFA"/>
    <w:rsid w:val="006E0F3A"/>
    <w:rsid w:val="006E2A17"/>
    <w:rsid w:val="006E2A76"/>
    <w:rsid w:val="006E369D"/>
    <w:rsid w:val="006E3D5A"/>
    <w:rsid w:val="006E5332"/>
    <w:rsid w:val="006E5CFD"/>
    <w:rsid w:val="006E5D45"/>
    <w:rsid w:val="006E6749"/>
    <w:rsid w:val="006E6E51"/>
    <w:rsid w:val="006E6F18"/>
    <w:rsid w:val="006E720B"/>
    <w:rsid w:val="006E7AE4"/>
    <w:rsid w:val="006F0743"/>
    <w:rsid w:val="006F178A"/>
    <w:rsid w:val="006F267F"/>
    <w:rsid w:val="006F38A9"/>
    <w:rsid w:val="006F4138"/>
    <w:rsid w:val="006F44D9"/>
    <w:rsid w:val="006F4B27"/>
    <w:rsid w:val="006F6932"/>
    <w:rsid w:val="006F78F3"/>
    <w:rsid w:val="00700662"/>
    <w:rsid w:val="0070140A"/>
    <w:rsid w:val="00701B7A"/>
    <w:rsid w:val="00701BD1"/>
    <w:rsid w:val="00702023"/>
    <w:rsid w:val="00703264"/>
    <w:rsid w:val="00703309"/>
    <w:rsid w:val="0070363B"/>
    <w:rsid w:val="007036F0"/>
    <w:rsid w:val="007038D0"/>
    <w:rsid w:val="00704AF7"/>
    <w:rsid w:val="00704B71"/>
    <w:rsid w:val="00705059"/>
    <w:rsid w:val="007054FC"/>
    <w:rsid w:val="00705B26"/>
    <w:rsid w:val="00706981"/>
    <w:rsid w:val="0070733B"/>
    <w:rsid w:val="007075CE"/>
    <w:rsid w:val="007075E0"/>
    <w:rsid w:val="00707FB2"/>
    <w:rsid w:val="00711BF5"/>
    <w:rsid w:val="0071392C"/>
    <w:rsid w:val="00713DCF"/>
    <w:rsid w:val="007154B5"/>
    <w:rsid w:val="00715985"/>
    <w:rsid w:val="00716622"/>
    <w:rsid w:val="00716821"/>
    <w:rsid w:val="00716954"/>
    <w:rsid w:val="007170D4"/>
    <w:rsid w:val="00717239"/>
    <w:rsid w:val="007179BB"/>
    <w:rsid w:val="00717A85"/>
    <w:rsid w:val="00721516"/>
    <w:rsid w:val="00721570"/>
    <w:rsid w:val="00721E78"/>
    <w:rsid w:val="00722754"/>
    <w:rsid w:val="0072293F"/>
    <w:rsid w:val="0072297F"/>
    <w:rsid w:val="0072299F"/>
    <w:rsid w:val="00722F16"/>
    <w:rsid w:val="00723001"/>
    <w:rsid w:val="00723AE0"/>
    <w:rsid w:val="00726498"/>
    <w:rsid w:val="00726F6C"/>
    <w:rsid w:val="00727D79"/>
    <w:rsid w:val="00730031"/>
    <w:rsid w:val="0073042D"/>
    <w:rsid w:val="00731B2B"/>
    <w:rsid w:val="00731D97"/>
    <w:rsid w:val="007330FE"/>
    <w:rsid w:val="00734073"/>
    <w:rsid w:val="007349CB"/>
    <w:rsid w:val="00734DD4"/>
    <w:rsid w:val="007352C3"/>
    <w:rsid w:val="00736277"/>
    <w:rsid w:val="00736C85"/>
    <w:rsid w:val="00736CB7"/>
    <w:rsid w:val="00737133"/>
    <w:rsid w:val="0073786A"/>
    <w:rsid w:val="007402FA"/>
    <w:rsid w:val="00740857"/>
    <w:rsid w:val="00740C17"/>
    <w:rsid w:val="00741589"/>
    <w:rsid w:val="00741719"/>
    <w:rsid w:val="00741DC8"/>
    <w:rsid w:val="007427B2"/>
    <w:rsid w:val="00742C12"/>
    <w:rsid w:val="00742F9E"/>
    <w:rsid w:val="00742FDD"/>
    <w:rsid w:val="007439A3"/>
    <w:rsid w:val="007443E1"/>
    <w:rsid w:val="00744CA8"/>
    <w:rsid w:val="00746576"/>
    <w:rsid w:val="00746593"/>
    <w:rsid w:val="00746B52"/>
    <w:rsid w:val="00746FD6"/>
    <w:rsid w:val="0075081E"/>
    <w:rsid w:val="007518BA"/>
    <w:rsid w:val="00751CA7"/>
    <w:rsid w:val="00751E03"/>
    <w:rsid w:val="00752C23"/>
    <w:rsid w:val="00752E37"/>
    <w:rsid w:val="00753F4B"/>
    <w:rsid w:val="00754016"/>
    <w:rsid w:val="00754A2A"/>
    <w:rsid w:val="00755626"/>
    <w:rsid w:val="007566DD"/>
    <w:rsid w:val="00757306"/>
    <w:rsid w:val="0075753C"/>
    <w:rsid w:val="00757767"/>
    <w:rsid w:val="00757ACB"/>
    <w:rsid w:val="00760994"/>
    <w:rsid w:val="00761741"/>
    <w:rsid w:val="00761D58"/>
    <w:rsid w:val="00761D66"/>
    <w:rsid w:val="00761E5D"/>
    <w:rsid w:val="00761E5F"/>
    <w:rsid w:val="00761F6A"/>
    <w:rsid w:val="00761FA4"/>
    <w:rsid w:val="0076207D"/>
    <w:rsid w:val="007621A2"/>
    <w:rsid w:val="00763B8F"/>
    <w:rsid w:val="00764209"/>
    <w:rsid w:val="00764261"/>
    <w:rsid w:val="00764869"/>
    <w:rsid w:val="00764C40"/>
    <w:rsid w:val="007659BE"/>
    <w:rsid w:val="00765F6D"/>
    <w:rsid w:val="00766D44"/>
    <w:rsid w:val="007671BE"/>
    <w:rsid w:val="007671F9"/>
    <w:rsid w:val="00767555"/>
    <w:rsid w:val="00767A0C"/>
    <w:rsid w:val="0077043E"/>
    <w:rsid w:val="0077060D"/>
    <w:rsid w:val="007709ED"/>
    <w:rsid w:val="0077125B"/>
    <w:rsid w:val="00772783"/>
    <w:rsid w:val="0077336B"/>
    <w:rsid w:val="007733EB"/>
    <w:rsid w:val="007735D1"/>
    <w:rsid w:val="00773731"/>
    <w:rsid w:val="007740E0"/>
    <w:rsid w:val="007753A5"/>
    <w:rsid w:val="00775619"/>
    <w:rsid w:val="00775846"/>
    <w:rsid w:val="007759A9"/>
    <w:rsid w:val="00775D00"/>
    <w:rsid w:val="00776A4E"/>
    <w:rsid w:val="00776DD1"/>
    <w:rsid w:val="00780945"/>
    <w:rsid w:val="00780B6C"/>
    <w:rsid w:val="00780F5D"/>
    <w:rsid w:val="0078141D"/>
    <w:rsid w:val="00781CFC"/>
    <w:rsid w:val="00781E10"/>
    <w:rsid w:val="007826EF"/>
    <w:rsid w:val="00782BC2"/>
    <w:rsid w:val="00782EB2"/>
    <w:rsid w:val="00783D1A"/>
    <w:rsid w:val="00783F42"/>
    <w:rsid w:val="0078482B"/>
    <w:rsid w:val="00785FC8"/>
    <w:rsid w:val="007868C0"/>
    <w:rsid w:val="00786994"/>
    <w:rsid w:val="00786F3A"/>
    <w:rsid w:val="00786FF1"/>
    <w:rsid w:val="00787A5D"/>
    <w:rsid w:val="00787FA3"/>
    <w:rsid w:val="00790AD9"/>
    <w:rsid w:val="00791061"/>
    <w:rsid w:val="0079131B"/>
    <w:rsid w:val="00791AE7"/>
    <w:rsid w:val="00791F07"/>
    <w:rsid w:val="007921F6"/>
    <w:rsid w:val="00792C3A"/>
    <w:rsid w:val="00793101"/>
    <w:rsid w:val="007932AF"/>
    <w:rsid w:val="00793E71"/>
    <w:rsid w:val="007945FF"/>
    <w:rsid w:val="0079465A"/>
    <w:rsid w:val="00794A85"/>
    <w:rsid w:val="00794FE7"/>
    <w:rsid w:val="0079583F"/>
    <w:rsid w:val="00796139"/>
    <w:rsid w:val="00796B61"/>
    <w:rsid w:val="00796DF5"/>
    <w:rsid w:val="00797589"/>
    <w:rsid w:val="007976FD"/>
    <w:rsid w:val="007A12DE"/>
    <w:rsid w:val="007A15DF"/>
    <w:rsid w:val="007A1F16"/>
    <w:rsid w:val="007A25A1"/>
    <w:rsid w:val="007A2FC8"/>
    <w:rsid w:val="007A3678"/>
    <w:rsid w:val="007A3F58"/>
    <w:rsid w:val="007A4B53"/>
    <w:rsid w:val="007A4C8E"/>
    <w:rsid w:val="007A4CC7"/>
    <w:rsid w:val="007A560F"/>
    <w:rsid w:val="007A65C7"/>
    <w:rsid w:val="007A696A"/>
    <w:rsid w:val="007A69FA"/>
    <w:rsid w:val="007A6C58"/>
    <w:rsid w:val="007A7A1D"/>
    <w:rsid w:val="007A7F14"/>
    <w:rsid w:val="007B1236"/>
    <w:rsid w:val="007B17FA"/>
    <w:rsid w:val="007B268A"/>
    <w:rsid w:val="007B2997"/>
    <w:rsid w:val="007B3DE9"/>
    <w:rsid w:val="007B3EC6"/>
    <w:rsid w:val="007B53D3"/>
    <w:rsid w:val="007B5679"/>
    <w:rsid w:val="007B59F9"/>
    <w:rsid w:val="007B5A29"/>
    <w:rsid w:val="007B622A"/>
    <w:rsid w:val="007B689D"/>
    <w:rsid w:val="007B6CC0"/>
    <w:rsid w:val="007B74DD"/>
    <w:rsid w:val="007B7B53"/>
    <w:rsid w:val="007B7E0E"/>
    <w:rsid w:val="007C0241"/>
    <w:rsid w:val="007C0353"/>
    <w:rsid w:val="007C0450"/>
    <w:rsid w:val="007C0D4B"/>
    <w:rsid w:val="007C0FD6"/>
    <w:rsid w:val="007C11FF"/>
    <w:rsid w:val="007C178A"/>
    <w:rsid w:val="007C2250"/>
    <w:rsid w:val="007C2A3B"/>
    <w:rsid w:val="007C3038"/>
    <w:rsid w:val="007C34AB"/>
    <w:rsid w:val="007C39F2"/>
    <w:rsid w:val="007C4412"/>
    <w:rsid w:val="007C6C0E"/>
    <w:rsid w:val="007C720C"/>
    <w:rsid w:val="007C72FB"/>
    <w:rsid w:val="007C75A1"/>
    <w:rsid w:val="007C7629"/>
    <w:rsid w:val="007D085E"/>
    <w:rsid w:val="007D0C4D"/>
    <w:rsid w:val="007D10AC"/>
    <w:rsid w:val="007D12F4"/>
    <w:rsid w:val="007D2CEB"/>
    <w:rsid w:val="007D3C76"/>
    <w:rsid w:val="007D42EA"/>
    <w:rsid w:val="007D4FAA"/>
    <w:rsid w:val="007D58C1"/>
    <w:rsid w:val="007D5ACE"/>
    <w:rsid w:val="007D64FC"/>
    <w:rsid w:val="007D66DD"/>
    <w:rsid w:val="007D6872"/>
    <w:rsid w:val="007D7756"/>
    <w:rsid w:val="007D7946"/>
    <w:rsid w:val="007E1021"/>
    <w:rsid w:val="007E10B5"/>
    <w:rsid w:val="007E16EF"/>
    <w:rsid w:val="007E2FBA"/>
    <w:rsid w:val="007E4354"/>
    <w:rsid w:val="007E5074"/>
    <w:rsid w:val="007E51AF"/>
    <w:rsid w:val="007E6A54"/>
    <w:rsid w:val="007E6E7C"/>
    <w:rsid w:val="007E73B1"/>
    <w:rsid w:val="007E7951"/>
    <w:rsid w:val="007F0030"/>
    <w:rsid w:val="007F0067"/>
    <w:rsid w:val="007F2F95"/>
    <w:rsid w:val="007F3432"/>
    <w:rsid w:val="007F3DDF"/>
    <w:rsid w:val="007F44DB"/>
    <w:rsid w:val="007F555F"/>
    <w:rsid w:val="007F601E"/>
    <w:rsid w:val="007F630B"/>
    <w:rsid w:val="007F6B6F"/>
    <w:rsid w:val="007F7611"/>
    <w:rsid w:val="007F772D"/>
    <w:rsid w:val="007F7C27"/>
    <w:rsid w:val="0080052E"/>
    <w:rsid w:val="00800562"/>
    <w:rsid w:val="008005D1"/>
    <w:rsid w:val="008007E5"/>
    <w:rsid w:val="00800ACB"/>
    <w:rsid w:val="00801586"/>
    <w:rsid w:val="00801F77"/>
    <w:rsid w:val="008020F0"/>
    <w:rsid w:val="0080260A"/>
    <w:rsid w:val="00804BF4"/>
    <w:rsid w:val="00805B08"/>
    <w:rsid w:val="008064D3"/>
    <w:rsid w:val="00806849"/>
    <w:rsid w:val="00806CA8"/>
    <w:rsid w:val="00806F35"/>
    <w:rsid w:val="00806F9C"/>
    <w:rsid w:val="008079A3"/>
    <w:rsid w:val="008107C2"/>
    <w:rsid w:val="008112CA"/>
    <w:rsid w:val="008120BF"/>
    <w:rsid w:val="008125F0"/>
    <w:rsid w:val="00812D0C"/>
    <w:rsid w:val="0081349D"/>
    <w:rsid w:val="00813569"/>
    <w:rsid w:val="00813F07"/>
    <w:rsid w:val="00814185"/>
    <w:rsid w:val="0081425A"/>
    <w:rsid w:val="0081425E"/>
    <w:rsid w:val="00814A5E"/>
    <w:rsid w:val="0081528F"/>
    <w:rsid w:val="00816912"/>
    <w:rsid w:val="00816C13"/>
    <w:rsid w:val="008174C1"/>
    <w:rsid w:val="00817D68"/>
    <w:rsid w:val="00820E44"/>
    <w:rsid w:val="008211E8"/>
    <w:rsid w:val="00821852"/>
    <w:rsid w:val="00822A07"/>
    <w:rsid w:val="00823AC9"/>
    <w:rsid w:val="00823B47"/>
    <w:rsid w:val="00824D44"/>
    <w:rsid w:val="00825464"/>
    <w:rsid w:val="00825AB3"/>
    <w:rsid w:val="00825F5B"/>
    <w:rsid w:val="008260ED"/>
    <w:rsid w:val="00826312"/>
    <w:rsid w:val="00826590"/>
    <w:rsid w:val="00826A38"/>
    <w:rsid w:val="00826AEB"/>
    <w:rsid w:val="00826B52"/>
    <w:rsid w:val="00826D5B"/>
    <w:rsid w:val="008276C1"/>
    <w:rsid w:val="008302E4"/>
    <w:rsid w:val="0083144E"/>
    <w:rsid w:val="00831867"/>
    <w:rsid w:val="00831ED6"/>
    <w:rsid w:val="00832327"/>
    <w:rsid w:val="008323E8"/>
    <w:rsid w:val="00832529"/>
    <w:rsid w:val="00834B09"/>
    <w:rsid w:val="00834DDD"/>
    <w:rsid w:val="008351D6"/>
    <w:rsid w:val="00835452"/>
    <w:rsid w:val="00835483"/>
    <w:rsid w:val="008361F2"/>
    <w:rsid w:val="00836AD5"/>
    <w:rsid w:val="008370DB"/>
    <w:rsid w:val="00837506"/>
    <w:rsid w:val="00840046"/>
    <w:rsid w:val="008401A0"/>
    <w:rsid w:val="00840EA3"/>
    <w:rsid w:val="00840EE2"/>
    <w:rsid w:val="0084106F"/>
    <w:rsid w:val="008410EF"/>
    <w:rsid w:val="008417A6"/>
    <w:rsid w:val="00841A09"/>
    <w:rsid w:val="008420F5"/>
    <w:rsid w:val="008421C3"/>
    <w:rsid w:val="0084240C"/>
    <w:rsid w:val="0084245F"/>
    <w:rsid w:val="008436C8"/>
    <w:rsid w:val="00843C8A"/>
    <w:rsid w:val="00843CB0"/>
    <w:rsid w:val="00843D64"/>
    <w:rsid w:val="0084426E"/>
    <w:rsid w:val="00844BC9"/>
    <w:rsid w:val="00844E66"/>
    <w:rsid w:val="0084533B"/>
    <w:rsid w:val="00847898"/>
    <w:rsid w:val="00847F06"/>
    <w:rsid w:val="00850818"/>
    <w:rsid w:val="00851341"/>
    <w:rsid w:val="00851AC4"/>
    <w:rsid w:val="00852437"/>
    <w:rsid w:val="00852507"/>
    <w:rsid w:val="00852568"/>
    <w:rsid w:val="00852F4A"/>
    <w:rsid w:val="0085340D"/>
    <w:rsid w:val="00854EA2"/>
    <w:rsid w:val="00854F3D"/>
    <w:rsid w:val="00855076"/>
    <w:rsid w:val="0085551D"/>
    <w:rsid w:val="00856F07"/>
    <w:rsid w:val="00857ED7"/>
    <w:rsid w:val="008600FA"/>
    <w:rsid w:val="008604B1"/>
    <w:rsid w:val="00860F62"/>
    <w:rsid w:val="00861B10"/>
    <w:rsid w:val="008625F9"/>
    <w:rsid w:val="00862CF3"/>
    <w:rsid w:val="00862D23"/>
    <w:rsid w:val="0086333C"/>
    <w:rsid w:val="008645DB"/>
    <w:rsid w:val="0086461E"/>
    <w:rsid w:val="00865315"/>
    <w:rsid w:val="0086535A"/>
    <w:rsid w:val="00865412"/>
    <w:rsid w:val="0086568B"/>
    <w:rsid w:val="00865C02"/>
    <w:rsid w:val="008665E7"/>
    <w:rsid w:val="0087016F"/>
    <w:rsid w:val="00871D84"/>
    <w:rsid w:val="00872415"/>
    <w:rsid w:val="008724FF"/>
    <w:rsid w:val="00872574"/>
    <w:rsid w:val="00872580"/>
    <w:rsid w:val="008731DE"/>
    <w:rsid w:val="00873342"/>
    <w:rsid w:val="00873377"/>
    <w:rsid w:val="008734D1"/>
    <w:rsid w:val="00873D3D"/>
    <w:rsid w:val="008743F6"/>
    <w:rsid w:val="0087468B"/>
    <w:rsid w:val="00874D18"/>
    <w:rsid w:val="00874EC2"/>
    <w:rsid w:val="008750D4"/>
    <w:rsid w:val="00875A49"/>
    <w:rsid w:val="00875AFD"/>
    <w:rsid w:val="00876F98"/>
    <w:rsid w:val="00880A6D"/>
    <w:rsid w:val="00880BA4"/>
    <w:rsid w:val="0088122C"/>
    <w:rsid w:val="00881772"/>
    <w:rsid w:val="00881B84"/>
    <w:rsid w:val="00881DFE"/>
    <w:rsid w:val="00882527"/>
    <w:rsid w:val="008833D7"/>
    <w:rsid w:val="00883A27"/>
    <w:rsid w:val="00883BF9"/>
    <w:rsid w:val="00883CDF"/>
    <w:rsid w:val="00884D64"/>
    <w:rsid w:val="00885224"/>
    <w:rsid w:val="0088531D"/>
    <w:rsid w:val="00885453"/>
    <w:rsid w:val="0088628A"/>
    <w:rsid w:val="00886BB7"/>
    <w:rsid w:val="00886F9D"/>
    <w:rsid w:val="00887699"/>
    <w:rsid w:val="008903C9"/>
    <w:rsid w:val="00891552"/>
    <w:rsid w:val="00891593"/>
    <w:rsid w:val="0089173A"/>
    <w:rsid w:val="00892D01"/>
    <w:rsid w:val="00892E64"/>
    <w:rsid w:val="00893086"/>
    <w:rsid w:val="008949E4"/>
    <w:rsid w:val="00894BA2"/>
    <w:rsid w:val="00895210"/>
    <w:rsid w:val="0089568A"/>
    <w:rsid w:val="008956DC"/>
    <w:rsid w:val="0089613B"/>
    <w:rsid w:val="00896A8B"/>
    <w:rsid w:val="00897B83"/>
    <w:rsid w:val="008A0703"/>
    <w:rsid w:val="008A0B26"/>
    <w:rsid w:val="008A0E65"/>
    <w:rsid w:val="008A0F11"/>
    <w:rsid w:val="008A1480"/>
    <w:rsid w:val="008A161E"/>
    <w:rsid w:val="008A24A3"/>
    <w:rsid w:val="008A3B81"/>
    <w:rsid w:val="008A3FAF"/>
    <w:rsid w:val="008A49F4"/>
    <w:rsid w:val="008A4C8C"/>
    <w:rsid w:val="008A6416"/>
    <w:rsid w:val="008A64C6"/>
    <w:rsid w:val="008A6767"/>
    <w:rsid w:val="008A6E05"/>
    <w:rsid w:val="008A7225"/>
    <w:rsid w:val="008B0186"/>
    <w:rsid w:val="008B0B2D"/>
    <w:rsid w:val="008B0D3E"/>
    <w:rsid w:val="008B153E"/>
    <w:rsid w:val="008B255A"/>
    <w:rsid w:val="008B301F"/>
    <w:rsid w:val="008B39AD"/>
    <w:rsid w:val="008B3A2B"/>
    <w:rsid w:val="008B3D66"/>
    <w:rsid w:val="008B3E4F"/>
    <w:rsid w:val="008B46AE"/>
    <w:rsid w:val="008B472E"/>
    <w:rsid w:val="008B53D2"/>
    <w:rsid w:val="008B5B69"/>
    <w:rsid w:val="008B6DBD"/>
    <w:rsid w:val="008B6E26"/>
    <w:rsid w:val="008B6FB5"/>
    <w:rsid w:val="008B7FCB"/>
    <w:rsid w:val="008B7FE6"/>
    <w:rsid w:val="008C09CA"/>
    <w:rsid w:val="008C1DCF"/>
    <w:rsid w:val="008C2AA9"/>
    <w:rsid w:val="008C2D96"/>
    <w:rsid w:val="008C3024"/>
    <w:rsid w:val="008C3035"/>
    <w:rsid w:val="008C3C43"/>
    <w:rsid w:val="008C4509"/>
    <w:rsid w:val="008C4FA9"/>
    <w:rsid w:val="008C53B9"/>
    <w:rsid w:val="008C57B9"/>
    <w:rsid w:val="008C5BF6"/>
    <w:rsid w:val="008C6294"/>
    <w:rsid w:val="008C64BD"/>
    <w:rsid w:val="008C706D"/>
    <w:rsid w:val="008C70FD"/>
    <w:rsid w:val="008C73D6"/>
    <w:rsid w:val="008C7876"/>
    <w:rsid w:val="008C7C5A"/>
    <w:rsid w:val="008D0061"/>
    <w:rsid w:val="008D026A"/>
    <w:rsid w:val="008D054F"/>
    <w:rsid w:val="008D10AA"/>
    <w:rsid w:val="008D1DBB"/>
    <w:rsid w:val="008D3BB2"/>
    <w:rsid w:val="008D4195"/>
    <w:rsid w:val="008D44BD"/>
    <w:rsid w:val="008D468A"/>
    <w:rsid w:val="008D4E12"/>
    <w:rsid w:val="008D4E7E"/>
    <w:rsid w:val="008D52D3"/>
    <w:rsid w:val="008D5AE6"/>
    <w:rsid w:val="008D7388"/>
    <w:rsid w:val="008D7AF2"/>
    <w:rsid w:val="008D7C24"/>
    <w:rsid w:val="008D7C56"/>
    <w:rsid w:val="008E0F32"/>
    <w:rsid w:val="008E114D"/>
    <w:rsid w:val="008E38AE"/>
    <w:rsid w:val="008E3E89"/>
    <w:rsid w:val="008E4475"/>
    <w:rsid w:val="008E534D"/>
    <w:rsid w:val="008E54B0"/>
    <w:rsid w:val="008E5B1C"/>
    <w:rsid w:val="008E666C"/>
    <w:rsid w:val="008E694F"/>
    <w:rsid w:val="008E6D21"/>
    <w:rsid w:val="008E6F39"/>
    <w:rsid w:val="008F16FD"/>
    <w:rsid w:val="008F1B78"/>
    <w:rsid w:val="008F1D38"/>
    <w:rsid w:val="008F2C21"/>
    <w:rsid w:val="008F3614"/>
    <w:rsid w:val="008F377E"/>
    <w:rsid w:val="008F3A63"/>
    <w:rsid w:val="008F44AC"/>
    <w:rsid w:val="008F4902"/>
    <w:rsid w:val="008F4A4F"/>
    <w:rsid w:val="008F4DF9"/>
    <w:rsid w:val="008F4E16"/>
    <w:rsid w:val="008F546F"/>
    <w:rsid w:val="008F5586"/>
    <w:rsid w:val="008F5931"/>
    <w:rsid w:val="008F5C09"/>
    <w:rsid w:val="008F5C1F"/>
    <w:rsid w:val="008F5D20"/>
    <w:rsid w:val="008F5E3E"/>
    <w:rsid w:val="008F7D06"/>
    <w:rsid w:val="008F7F95"/>
    <w:rsid w:val="009000D8"/>
    <w:rsid w:val="009001DF"/>
    <w:rsid w:val="00900A9C"/>
    <w:rsid w:val="00900B5C"/>
    <w:rsid w:val="00901CB0"/>
    <w:rsid w:val="00902A70"/>
    <w:rsid w:val="009036FD"/>
    <w:rsid w:val="00903DF4"/>
    <w:rsid w:val="009046CB"/>
    <w:rsid w:val="00904AF5"/>
    <w:rsid w:val="009052C1"/>
    <w:rsid w:val="0090583B"/>
    <w:rsid w:val="00905E26"/>
    <w:rsid w:val="00906544"/>
    <w:rsid w:val="009067AA"/>
    <w:rsid w:val="0090730B"/>
    <w:rsid w:val="0091009A"/>
    <w:rsid w:val="009106E0"/>
    <w:rsid w:val="00910962"/>
    <w:rsid w:val="00910C9A"/>
    <w:rsid w:val="00911042"/>
    <w:rsid w:val="00911A15"/>
    <w:rsid w:val="00912620"/>
    <w:rsid w:val="00912909"/>
    <w:rsid w:val="00913416"/>
    <w:rsid w:val="009134FE"/>
    <w:rsid w:val="00913A7B"/>
    <w:rsid w:val="00913D19"/>
    <w:rsid w:val="009141F5"/>
    <w:rsid w:val="009167D8"/>
    <w:rsid w:val="00917670"/>
    <w:rsid w:val="009178EA"/>
    <w:rsid w:val="00920AC1"/>
    <w:rsid w:val="0092139B"/>
    <w:rsid w:val="00921FD9"/>
    <w:rsid w:val="009227D7"/>
    <w:rsid w:val="00922D24"/>
    <w:rsid w:val="00923040"/>
    <w:rsid w:val="009231D8"/>
    <w:rsid w:val="00924381"/>
    <w:rsid w:val="0092489C"/>
    <w:rsid w:val="009251DE"/>
    <w:rsid w:val="0092559A"/>
    <w:rsid w:val="009257F1"/>
    <w:rsid w:val="00925A75"/>
    <w:rsid w:val="00925ADB"/>
    <w:rsid w:val="00926024"/>
    <w:rsid w:val="00926133"/>
    <w:rsid w:val="00927010"/>
    <w:rsid w:val="00930144"/>
    <w:rsid w:val="0093076C"/>
    <w:rsid w:val="00930E6C"/>
    <w:rsid w:val="00930E70"/>
    <w:rsid w:val="00930FC0"/>
    <w:rsid w:val="0093101B"/>
    <w:rsid w:val="00931B03"/>
    <w:rsid w:val="00932DC7"/>
    <w:rsid w:val="00932FD1"/>
    <w:rsid w:val="00933062"/>
    <w:rsid w:val="00933676"/>
    <w:rsid w:val="0093416F"/>
    <w:rsid w:val="00935306"/>
    <w:rsid w:val="00936020"/>
    <w:rsid w:val="00936047"/>
    <w:rsid w:val="009363FB"/>
    <w:rsid w:val="0093669E"/>
    <w:rsid w:val="00936AAB"/>
    <w:rsid w:val="00936E71"/>
    <w:rsid w:val="009378FF"/>
    <w:rsid w:val="009406BC"/>
    <w:rsid w:val="0094155E"/>
    <w:rsid w:val="009430EF"/>
    <w:rsid w:val="00943B3B"/>
    <w:rsid w:val="00943C87"/>
    <w:rsid w:val="0094413E"/>
    <w:rsid w:val="00944A12"/>
    <w:rsid w:val="00944CC4"/>
    <w:rsid w:val="0094563F"/>
    <w:rsid w:val="00945647"/>
    <w:rsid w:val="00945A04"/>
    <w:rsid w:val="00945A40"/>
    <w:rsid w:val="009461A2"/>
    <w:rsid w:val="0094644A"/>
    <w:rsid w:val="00946532"/>
    <w:rsid w:val="009466AC"/>
    <w:rsid w:val="00946E7F"/>
    <w:rsid w:val="00947722"/>
    <w:rsid w:val="00947987"/>
    <w:rsid w:val="009479F1"/>
    <w:rsid w:val="0095071A"/>
    <w:rsid w:val="0095086F"/>
    <w:rsid w:val="00950CCB"/>
    <w:rsid w:val="00950D91"/>
    <w:rsid w:val="00951244"/>
    <w:rsid w:val="00951271"/>
    <w:rsid w:val="009512E0"/>
    <w:rsid w:val="009513AB"/>
    <w:rsid w:val="009514A9"/>
    <w:rsid w:val="0095160B"/>
    <w:rsid w:val="009519AA"/>
    <w:rsid w:val="00951F3C"/>
    <w:rsid w:val="00952122"/>
    <w:rsid w:val="00952328"/>
    <w:rsid w:val="00952B34"/>
    <w:rsid w:val="009534F7"/>
    <w:rsid w:val="00953626"/>
    <w:rsid w:val="00953710"/>
    <w:rsid w:val="00954520"/>
    <w:rsid w:val="00954926"/>
    <w:rsid w:val="00954EED"/>
    <w:rsid w:val="009558C2"/>
    <w:rsid w:val="00955D63"/>
    <w:rsid w:val="00957211"/>
    <w:rsid w:val="009574C8"/>
    <w:rsid w:val="0096050E"/>
    <w:rsid w:val="00961161"/>
    <w:rsid w:val="0096136A"/>
    <w:rsid w:val="0096144E"/>
    <w:rsid w:val="0096168D"/>
    <w:rsid w:val="00961A6D"/>
    <w:rsid w:val="009623E7"/>
    <w:rsid w:val="00962595"/>
    <w:rsid w:val="00962BA3"/>
    <w:rsid w:val="00962D31"/>
    <w:rsid w:val="00963244"/>
    <w:rsid w:val="0096497A"/>
    <w:rsid w:val="0096503F"/>
    <w:rsid w:val="00965BF4"/>
    <w:rsid w:val="0096611E"/>
    <w:rsid w:val="0096621E"/>
    <w:rsid w:val="00970B5F"/>
    <w:rsid w:val="00971497"/>
    <w:rsid w:val="00971925"/>
    <w:rsid w:val="0097196A"/>
    <w:rsid w:val="00972256"/>
    <w:rsid w:val="0097257D"/>
    <w:rsid w:val="00972937"/>
    <w:rsid w:val="00973227"/>
    <w:rsid w:val="00973D54"/>
    <w:rsid w:val="00974B9B"/>
    <w:rsid w:val="00975CD2"/>
    <w:rsid w:val="009775CC"/>
    <w:rsid w:val="009775CD"/>
    <w:rsid w:val="00977650"/>
    <w:rsid w:val="009777B2"/>
    <w:rsid w:val="00980A34"/>
    <w:rsid w:val="00981827"/>
    <w:rsid w:val="0098184F"/>
    <w:rsid w:val="009821B3"/>
    <w:rsid w:val="00983623"/>
    <w:rsid w:val="0098404F"/>
    <w:rsid w:val="009840B8"/>
    <w:rsid w:val="00984589"/>
    <w:rsid w:val="009848CC"/>
    <w:rsid w:val="00984E13"/>
    <w:rsid w:val="009851AD"/>
    <w:rsid w:val="009851CF"/>
    <w:rsid w:val="0098545D"/>
    <w:rsid w:val="00985A19"/>
    <w:rsid w:val="00985A2C"/>
    <w:rsid w:val="00987F11"/>
    <w:rsid w:val="0099003E"/>
    <w:rsid w:val="00990404"/>
    <w:rsid w:val="00990C4B"/>
    <w:rsid w:val="00991F0E"/>
    <w:rsid w:val="0099209B"/>
    <w:rsid w:val="0099270F"/>
    <w:rsid w:val="00992B58"/>
    <w:rsid w:val="00992D42"/>
    <w:rsid w:val="00992D7E"/>
    <w:rsid w:val="009930C5"/>
    <w:rsid w:val="00993334"/>
    <w:rsid w:val="00993579"/>
    <w:rsid w:val="00993DCD"/>
    <w:rsid w:val="0099416B"/>
    <w:rsid w:val="00994C5A"/>
    <w:rsid w:val="00995562"/>
    <w:rsid w:val="00995D85"/>
    <w:rsid w:val="009964B6"/>
    <w:rsid w:val="009967B3"/>
    <w:rsid w:val="00996913"/>
    <w:rsid w:val="00996DF6"/>
    <w:rsid w:val="00996F0B"/>
    <w:rsid w:val="0099757D"/>
    <w:rsid w:val="00997BFB"/>
    <w:rsid w:val="009A05C7"/>
    <w:rsid w:val="009A0ED7"/>
    <w:rsid w:val="009A19C5"/>
    <w:rsid w:val="009A39FA"/>
    <w:rsid w:val="009A3BD3"/>
    <w:rsid w:val="009A473A"/>
    <w:rsid w:val="009A4CD6"/>
    <w:rsid w:val="009A4D19"/>
    <w:rsid w:val="009A5C7C"/>
    <w:rsid w:val="009A6081"/>
    <w:rsid w:val="009A6BEC"/>
    <w:rsid w:val="009A7889"/>
    <w:rsid w:val="009B070D"/>
    <w:rsid w:val="009B1A3C"/>
    <w:rsid w:val="009B2BE8"/>
    <w:rsid w:val="009B3059"/>
    <w:rsid w:val="009B3477"/>
    <w:rsid w:val="009B43B3"/>
    <w:rsid w:val="009B4D9E"/>
    <w:rsid w:val="009B6201"/>
    <w:rsid w:val="009B63F1"/>
    <w:rsid w:val="009B6403"/>
    <w:rsid w:val="009B77E2"/>
    <w:rsid w:val="009B7EAD"/>
    <w:rsid w:val="009B7EC1"/>
    <w:rsid w:val="009C1084"/>
    <w:rsid w:val="009C1663"/>
    <w:rsid w:val="009C219C"/>
    <w:rsid w:val="009C243A"/>
    <w:rsid w:val="009C27E5"/>
    <w:rsid w:val="009C2F29"/>
    <w:rsid w:val="009C31E1"/>
    <w:rsid w:val="009C33FC"/>
    <w:rsid w:val="009C44D3"/>
    <w:rsid w:val="009C4CB0"/>
    <w:rsid w:val="009C4FD9"/>
    <w:rsid w:val="009C5F09"/>
    <w:rsid w:val="009C65B8"/>
    <w:rsid w:val="009C67C7"/>
    <w:rsid w:val="009C77FC"/>
    <w:rsid w:val="009C7905"/>
    <w:rsid w:val="009C7C55"/>
    <w:rsid w:val="009D0202"/>
    <w:rsid w:val="009D0558"/>
    <w:rsid w:val="009D06E6"/>
    <w:rsid w:val="009D0B85"/>
    <w:rsid w:val="009D1013"/>
    <w:rsid w:val="009D146A"/>
    <w:rsid w:val="009D1587"/>
    <w:rsid w:val="009D1C3A"/>
    <w:rsid w:val="009D1EC5"/>
    <w:rsid w:val="009D21CD"/>
    <w:rsid w:val="009D274B"/>
    <w:rsid w:val="009D309C"/>
    <w:rsid w:val="009D30AE"/>
    <w:rsid w:val="009D3342"/>
    <w:rsid w:val="009D3C3E"/>
    <w:rsid w:val="009D44C6"/>
    <w:rsid w:val="009D44FE"/>
    <w:rsid w:val="009D4FCF"/>
    <w:rsid w:val="009D7022"/>
    <w:rsid w:val="009E034C"/>
    <w:rsid w:val="009E0D44"/>
    <w:rsid w:val="009E1149"/>
    <w:rsid w:val="009E1932"/>
    <w:rsid w:val="009E1AF5"/>
    <w:rsid w:val="009E2218"/>
    <w:rsid w:val="009E2854"/>
    <w:rsid w:val="009E328D"/>
    <w:rsid w:val="009E3308"/>
    <w:rsid w:val="009E4243"/>
    <w:rsid w:val="009E4639"/>
    <w:rsid w:val="009E4E5E"/>
    <w:rsid w:val="009E55A4"/>
    <w:rsid w:val="009E733D"/>
    <w:rsid w:val="009E77F0"/>
    <w:rsid w:val="009F0334"/>
    <w:rsid w:val="009F074E"/>
    <w:rsid w:val="009F087C"/>
    <w:rsid w:val="009F0A74"/>
    <w:rsid w:val="009F0EA9"/>
    <w:rsid w:val="009F0EE9"/>
    <w:rsid w:val="009F1014"/>
    <w:rsid w:val="009F1379"/>
    <w:rsid w:val="009F15A1"/>
    <w:rsid w:val="009F19A5"/>
    <w:rsid w:val="009F1FD7"/>
    <w:rsid w:val="009F2A6A"/>
    <w:rsid w:val="009F492D"/>
    <w:rsid w:val="009F49A8"/>
    <w:rsid w:val="009F4BAB"/>
    <w:rsid w:val="009F5534"/>
    <w:rsid w:val="009F5D16"/>
    <w:rsid w:val="009F66FF"/>
    <w:rsid w:val="009F6712"/>
    <w:rsid w:val="00A0029B"/>
    <w:rsid w:val="00A00A04"/>
    <w:rsid w:val="00A00ACA"/>
    <w:rsid w:val="00A01019"/>
    <w:rsid w:val="00A015C2"/>
    <w:rsid w:val="00A01D54"/>
    <w:rsid w:val="00A031A0"/>
    <w:rsid w:val="00A03B12"/>
    <w:rsid w:val="00A0442F"/>
    <w:rsid w:val="00A0471E"/>
    <w:rsid w:val="00A04A71"/>
    <w:rsid w:val="00A06B0A"/>
    <w:rsid w:val="00A06B14"/>
    <w:rsid w:val="00A076E9"/>
    <w:rsid w:val="00A0775A"/>
    <w:rsid w:val="00A1060A"/>
    <w:rsid w:val="00A106F8"/>
    <w:rsid w:val="00A10C6E"/>
    <w:rsid w:val="00A1101C"/>
    <w:rsid w:val="00A11477"/>
    <w:rsid w:val="00A11736"/>
    <w:rsid w:val="00A11E0A"/>
    <w:rsid w:val="00A123AB"/>
    <w:rsid w:val="00A12796"/>
    <w:rsid w:val="00A138AD"/>
    <w:rsid w:val="00A13943"/>
    <w:rsid w:val="00A13A4E"/>
    <w:rsid w:val="00A143C1"/>
    <w:rsid w:val="00A153A9"/>
    <w:rsid w:val="00A166B5"/>
    <w:rsid w:val="00A16F0E"/>
    <w:rsid w:val="00A1708F"/>
    <w:rsid w:val="00A17DE1"/>
    <w:rsid w:val="00A20370"/>
    <w:rsid w:val="00A21200"/>
    <w:rsid w:val="00A21407"/>
    <w:rsid w:val="00A21E44"/>
    <w:rsid w:val="00A22E19"/>
    <w:rsid w:val="00A2301E"/>
    <w:rsid w:val="00A23961"/>
    <w:rsid w:val="00A25714"/>
    <w:rsid w:val="00A25CA4"/>
    <w:rsid w:val="00A26BB4"/>
    <w:rsid w:val="00A26C2D"/>
    <w:rsid w:val="00A26CAF"/>
    <w:rsid w:val="00A27269"/>
    <w:rsid w:val="00A2731B"/>
    <w:rsid w:val="00A27436"/>
    <w:rsid w:val="00A27509"/>
    <w:rsid w:val="00A277FC"/>
    <w:rsid w:val="00A278C5"/>
    <w:rsid w:val="00A27BCD"/>
    <w:rsid w:val="00A27F88"/>
    <w:rsid w:val="00A30842"/>
    <w:rsid w:val="00A30853"/>
    <w:rsid w:val="00A3259C"/>
    <w:rsid w:val="00A339DA"/>
    <w:rsid w:val="00A33D89"/>
    <w:rsid w:val="00A34589"/>
    <w:rsid w:val="00A35E35"/>
    <w:rsid w:val="00A3640F"/>
    <w:rsid w:val="00A36D7F"/>
    <w:rsid w:val="00A3763B"/>
    <w:rsid w:val="00A37DE2"/>
    <w:rsid w:val="00A37E53"/>
    <w:rsid w:val="00A40290"/>
    <w:rsid w:val="00A4029B"/>
    <w:rsid w:val="00A4047D"/>
    <w:rsid w:val="00A40D18"/>
    <w:rsid w:val="00A40EE7"/>
    <w:rsid w:val="00A43009"/>
    <w:rsid w:val="00A43450"/>
    <w:rsid w:val="00A446F5"/>
    <w:rsid w:val="00A45813"/>
    <w:rsid w:val="00A459E0"/>
    <w:rsid w:val="00A45E36"/>
    <w:rsid w:val="00A46203"/>
    <w:rsid w:val="00A467A3"/>
    <w:rsid w:val="00A46EBA"/>
    <w:rsid w:val="00A50060"/>
    <w:rsid w:val="00A502E1"/>
    <w:rsid w:val="00A506B9"/>
    <w:rsid w:val="00A50C5F"/>
    <w:rsid w:val="00A50DE4"/>
    <w:rsid w:val="00A512B2"/>
    <w:rsid w:val="00A51578"/>
    <w:rsid w:val="00A51F97"/>
    <w:rsid w:val="00A5214D"/>
    <w:rsid w:val="00A53C00"/>
    <w:rsid w:val="00A53CFC"/>
    <w:rsid w:val="00A53F1C"/>
    <w:rsid w:val="00A543BF"/>
    <w:rsid w:val="00A54DDC"/>
    <w:rsid w:val="00A55CF6"/>
    <w:rsid w:val="00A572AE"/>
    <w:rsid w:val="00A578A8"/>
    <w:rsid w:val="00A57ECD"/>
    <w:rsid w:val="00A60440"/>
    <w:rsid w:val="00A604AE"/>
    <w:rsid w:val="00A605D8"/>
    <w:rsid w:val="00A61DE2"/>
    <w:rsid w:val="00A62A67"/>
    <w:rsid w:val="00A62CE2"/>
    <w:rsid w:val="00A62DC9"/>
    <w:rsid w:val="00A63278"/>
    <w:rsid w:val="00A63463"/>
    <w:rsid w:val="00A635D7"/>
    <w:rsid w:val="00A64103"/>
    <w:rsid w:val="00A64121"/>
    <w:rsid w:val="00A64598"/>
    <w:rsid w:val="00A64B36"/>
    <w:rsid w:val="00A64BD7"/>
    <w:rsid w:val="00A64D11"/>
    <w:rsid w:val="00A651B1"/>
    <w:rsid w:val="00A65408"/>
    <w:rsid w:val="00A65475"/>
    <w:rsid w:val="00A6585D"/>
    <w:rsid w:val="00A65EAE"/>
    <w:rsid w:val="00A66053"/>
    <w:rsid w:val="00A6612F"/>
    <w:rsid w:val="00A66BA7"/>
    <w:rsid w:val="00A66E1A"/>
    <w:rsid w:val="00A67154"/>
    <w:rsid w:val="00A67F65"/>
    <w:rsid w:val="00A70067"/>
    <w:rsid w:val="00A70433"/>
    <w:rsid w:val="00A70AF6"/>
    <w:rsid w:val="00A71344"/>
    <w:rsid w:val="00A714D9"/>
    <w:rsid w:val="00A71EF9"/>
    <w:rsid w:val="00A724FF"/>
    <w:rsid w:val="00A7257F"/>
    <w:rsid w:val="00A72B14"/>
    <w:rsid w:val="00A72E6C"/>
    <w:rsid w:val="00A72EAC"/>
    <w:rsid w:val="00A73060"/>
    <w:rsid w:val="00A7351B"/>
    <w:rsid w:val="00A73E4D"/>
    <w:rsid w:val="00A74BA0"/>
    <w:rsid w:val="00A74CA0"/>
    <w:rsid w:val="00A74FC1"/>
    <w:rsid w:val="00A75017"/>
    <w:rsid w:val="00A750F2"/>
    <w:rsid w:val="00A76CC1"/>
    <w:rsid w:val="00A76FB8"/>
    <w:rsid w:val="00A77959"/>
    <w:rsid w:val="00A77DDA"/>
    <w:rsid w:val="00A81192"/>
    <w:rsid w:val="00A812ED"/>
    <w:rsid w:val="00A812F1"/>
    <w:rsid w:val="00A81AB4"/>
    <w:rsid w:val="00A81C81"/>
    <w:rsid w:val="00A81DAC"/>
    <w:rsid w:val="00A81E10"/>
    <w:rsid w:val="00A822D9"/>
    <w:rsid w:val="00A83353"/>
    <w:rsid w:val="00A83507"/>
    <w:rsid w:val="00A83CC6"/>
    <w:rsid w:val="00A83E4A"/>
    <w:rsid w:val="00A84DD1"/>
    <w:rsid w:val="00A852F2"/>
    <w:rsid w:val="00A8563B"/>
    <w:rsid w:val="00A85BC8"/>
    <w:rsid w:val="00A86550"/>
    <w:rsid w:val="00A86846"/>
    <w:rsid w:val="00A868A9"/>
    <w:rsid w:val="00A8716F"/>
    <w:rsid w:val="00A878E7"/>
    <w:rsid w:val="00A904A6"/>
    <w:rsid w:val="00A9083C"/>
    <w:rsid w:val="00A924A9"/>
    <w:rsid w:val="00A94406"/>
    <w:rsid w:val="00A949F8"/>
    <w:rsid w:val="00A94D1B"/>
    <w:rsid w:val="00A94F2B"/>
    <w:rsid w:val="00A95078"/>
    <w:rsid w:val="00A95830"/>
    <w:rsid w:val="00A965F1"/>
    <w:rsid w:val="00A968FF"/>
    <w:rsid w:val="00A96ACC"/>
    <w:rsid w:val="00A96D1A"/>
    <w:rsid w:val="00A96E32"/>
    <w:rsid w:val="00A97279"/>
    <w:rsid w:val="00A97568"/>
    <w:rsid w:val="00A978F3"/>
    <w:rsid w:val="00A97C41"/>
    <w:rsid w:val="00AA00DA"/>
    <w:rsid w:val="00AA01D4"/>
    <w:rsid w:val="00AA1067"/>
    <w:rsid w:val="00AA189C"/>
    <w:rsid w:val="00AA22FB"/>
    <w:rsid w:val="00AA2B05"/>
    <w:rsid w:val="00AA32DD"/>
    <w:rsid w:val="00AA369A"/>
    <w:rsid w:val="00AA3BEA"/>
    <w:rsid w:val="00AA3ECB"/>
    <w:rsid w:val="00AA3EF2"/>
    <w:rsid w:val="00AA4869"/>
    <w:rsid w:val="00AA4C87"/>
    <w:rsid w:val="00AA6037"/>
    <w:rsid w:val="00AA6144"/>
    <w:rsid w:val="00AA668A"/>
    <w:rsid w:val="00AA6871"/>
    <w:rsid w:val="00AA6998"/>
    <w:rsid w:val="00AA6EE3"/>
    <w:rsid w:val="00AA70AC"/>
    <w:rsid w:val="00AB0581"/>
    <w:rsid w:val="00AB0A7F"/>
    <w:rsid w:val="00AB0AAD"/>
    <w:rsid w:val="00AB0B2E"/>
    <w:rsid w:val="00AB268E"/>
    <w:rsid w:val="00AB2CA4"/>
    <w:rsid w:val="00AB2CD3"/>
    <w:rsid w:val="00AB2DB6"/>
    <w:rsid w:val="00AB32BC"/>
    <w:rsid w:val="00AB39FE"/>
    <w:rsid w:val="00AB3A54"/>
    <w:rsid w:val="00AB3C3F"/>
    <w:rsid w:val="00AB426C"/>
    <w:rsid w:val="00AB4EF9"/>
    <w:rsid w:val="00AB5278"/>
    <w:rsid w:val="00AB530D"/>
    <w:rsid w:val="00AB5453"/>
    <w:rsid w:val="00AB5C9F"/>
    <w:rsid w:val="00AB6150"/>
    <w:rsid w:val="00AB78FB"/>
    <w:rsid w:val="00AC032D"/>
    <w:rsid w:val="00AC1183"/>
    <w:rsid w:val="00AC1262"/>
    <w:rsid w:val="00AC26AC"/>
    <w:rsid w:val="00AC2DC9"/>
    <w:rsid w:val="00AC2DD6"/>
    <w:rsid w:val="00AC2FCA"/>
    <w:rsid w:val="00AC3178"/>
    <w:rsid w:val="00AC3F35"/>
    <w:rsid w:val="00AC438A"/>
    <w:rsid w:val="00AC43A2"/>
    <w:rsid w:val="00AC4855"/>
    <w:rsid w:val="00AC4BAD"/>
    <w:rsid w:val="00AC4DD6"/>
    <w:rsid w:val="00AC4F12"/>
    <w:rsid w:val="00AC585F"/>
    <w:rsid w:val="00AC58F7"/>
    <w:rsid w:val="00AC62E9"/>
    <w:rsid w:val="00AC63B9"/>
    <w:rsid w:val="00AC7041"/>
    <w:rsid w:val="00AC7A40"/>
    <w:rsid w:val="00AC7F97"/>
    <w:rsid w:val="00AD06C3"/>
    <w:rsid w:val="00AD0FB8"/>
    <w:rsid w:val="00AD1051"/>
    <w:rsid w:val="00AD1220"/>
    <w:rsid w:val="00AD1C0C"/>
    <w:rsid w:val="00AD1CD8"/>
    <w:rsid w:val="00AD1D16"/>
    <w:rsid w:val="00AD2881"/>
    <w:rsid w:val="00AD2C9E"/>
    <w:rsid w:val="00AD309C"/>
    <w:rsid w:val="00AD31BF"/>
    <w:rsid w:val="00AD343E"/>
    <w:rsid w:val="00AD3500"/>
    <w:rsid w:val="00AD3714"/>
    <w:rsid w:val="00AD37C5"/>
    <w:rsid w:val="00AD43E7"/>
    <w:rsid w:val="00AD443F"/>
    <w:rsid w:val="00AD4606"/>
    <w:rsid w:val="00AD4D67"/>
    <w:rsid w:val="00AD63DF"/>
    <w:rsid w:val="00AD67AE"/>
    <w:rsid w:val="00AD733B"/>
    <w:rsid w:val="00AE03A3"/>
    <w:rsid w:val="00AE16A0"/>
    <w:rsid w:val="00AE2371"/>
    <w:rsid w:val="00AE24D1"/>
    <w:rsid w:val="00AE309B"/>
    <w:rsid w:val="00AE30F6"/>
    <w:rsid w:val="00AE33AE"/>
    <w:rsid w:val="00AE3D88"/>
    <w:rsid w:val="00AE4A04"/>
    <w:rsid w:val="00AE5266"/>
    <w:rsid w:val="00AE69FD"/>
    <w:rsid w:val="00AE7866"/>
    <w:rsid w:val="00AE7FB9"/>
    <w:rsid w:val="00AF01BD"/>
    <w:rsid w:val="00AF049D"/>
    <w:rsid w:val="00AF0637"/>
    <w:rsid w:val="00AF0FD5"/>
    <w:rsid w:val="00AF134E"/>
    <w:rsid w:val="00AF2110"/>
    <w:rsid w:val="00AF212E"/>
    <w:rsid w:val="00AF25CC"/>
    <w:rsid w:val="00AF3DE3"/>
    <w:rsid w:val="00AF4093"/>
    <w:rsid w:val="00AF4240"/>
    <w:rsid w:val="00AF47AE"/>
    <w:rsid w:val="00AF5336"/>
    <w:rsid w:val="00AF546E"/>
    <w:rsid w:val="00AF5C8E"/>
    <w:rsid w:val="00AF7320"/>
    <w:rsid w:val="00B00281"/>
    <w:rsid w:val="00B00923"/>
    <w:rsid w:val="00B01410"/>
    <w:rsid w:val="00B014B4"/>
    <w:rsid w:val="00B015A4"/>
    <w:rsid w:val="00B019CB"/>
    <w:rsid w:val="00B023B1"/>
    <w:rsid w:val="00B02702"/>
    <w:rsid w:val="00B034D6"/>
    <w:rsid w:val="00B03A88"/>
    <w:rsid w:val="00B03BD2"/>
    <w:rsid w:val="00B03F25"/>
    <w:rsid w:val="00B04776"/>
    <w:rsid w:val="00B04DE4"/>
    <w:rsid w:val="00B05959"/>
    <w:rsid w:val="00B06C26"/>
    <w:rsid w:val="00B072A2"/>
    <w:rsid w:val="00B07EBC"/>
    <w:rsid w:val="00B10D67"/>
    <w:rsid w:val="00B12B7B"/>
    <w:rsid w:val="00B138E5"/>
    <w:rsid w:val="00B13D0A"/>
    <w:rsid w:val="00B14716"/>
    <w:rsid w:val="00B14A3D"/>
    <w:rsid w:val="00B14B2B"/>
    <w:rsid w:val="00B152A3"/>
    <w:rsid w:val="00B15439"/>
    <w:rsid w:val="00B16A8C"/>
    <w:rsid w:val="00B16E2C"/>
    <w:rsid w:val="00B16EEB"/>
    <w:rsid w:val="00B17285"/>
    <w:rsid w:val="00B2042A"/>
    <w:rsid w:val="00B205EF"/>
    <w:rsid w:val="00B22B05"/>
    <w:rsid w:val="00B22DD8"/>
    <w:rsid w:val="00B22DE5"/>
    <w:rsid w:val="00B2302B"/>
    <w:rsid w:val="00B23232"/>
    <w:rsid w:val="00B23564"/>
    <w:rsid w:val="00B23664"/>
    <w:rsid w:val="00B24BDB"/>
    <w:rsid w:val="00B24F21"/>
    <w:rsid w:val="00B255B8"/>
    <w:rsid w:val="00B2572F"/>
    <w:rsid w:val="00B25961"/>
    <w:rsid w:val="00B259DA"/>
    <w:rsid w:val="00B26867"/>
    <w:rsid w:val="00B26F47"/>
    <w:rsid w:val="00B27B4A"/>
    <w:rsid w:val="00B3025F"/>
    <w:rsid w:val="00B304CF"/>
    <w:rsid w:val="00B3138F"/>
    <w:rsid w:val="00B323C4"/>
    <w:rsid w:val="00B33DFB"/>
    <w:rsid w:val="00B34059"/>
    <w:rsid w:val="00B3535A"/>
    <w:rsid w:val="00B35582"/>
    <w:rsid w:val="00B358B4"/>
    <w:rsid w:val="00B35AC1"/>
    <w:rsid w:val="00B35B7F"/>
    <w:rsid w:val="00B3788F"/>
    <w:rsid w:val="00B41CBF"/>
    <w:rsid w:val="00B422FE"/>
    <w:rsid w:val="00B426A5"/>
    <w:rsid w:val="00B42758"/>
    <w:rsid w:val="00B4322D"/>
    <w:rsid w:val="00B43DC2"/>
    <w:rsid w:val="00B43DE9"/>
    <w:rsid w:val="00B44188"/>
    <w:rsid w:val="00B44D73"/>
    <w:rsid w:val="00B45931"/>
    <w:rsid w:val="00B46E9A"/>
    <w:rsid w:val="00B47ABC"/>
    <w:rsid w:val="00B512C4"/>
    <w:rsid w:val="00B51FD8"/>
    <w:rsid w:val="00B52AEF"/>
    <w:rsid w:val="00B530CE"/>
    <w:rsid w:val="00B53979"/>
    <w:rsid w:val="00B540A2"/>
    <w:rsid w:val="00B54402"/>
    <w:rsid w:val="00B54C5E"/>
    <w:rsid w:val="00B54DFC"/>
    <w:rsid w:val="00B54E90"/>
    <w:rsid w:val="00B56BDC"/>
    <w:rsid w:val="00B56C18"/>
    <w:rsid w:val="00B56E51"/>
    <w:rsid w:val="00B576AF"/>
    <w:rsid w:val="00B57E07"/>
    <w:rsid w:val="00B60749"/>
    <w:rsid w:val="00B61574"/>
    <w:rsid w:val="00B62677"/>
    <w:rsid w:val="00B63B3E"/>
    <w:rsid w:val="00B65846"/>
    <w:rsid w:val="00B65EE9"/>
    <w:rsid w:val="00B67599"/>
    <w:rsid w:val="00B677A5"/>
    <w:rsid w:val="00B677C4"/>
    <w:rsid w:val="00B67932"/>
    <w:rsid w:val="00B67B17"/>
    <w:rsid w:val="00B70BC2"/>
    <w:rsid w:val="00B715F8"/>
    <w:rsid w:val="00B72351"/>
    <w:rsid w:val="00B725B3"/>
    <w:rsid w:val="00B72E25"/>
    <w:rsid w:val="00B7358F"/>
    <w:rsid w:val="00B7582E"/>
    <w:rsid w:val="00B75963"/>
    <w:rsid w:val="00B75FBA"/>
    <w:rsid w:val="00B768E4"/>
    <w:rsid w:val="00B76D3A"/>
    <w:rsid w:val="00B7756E"/>
    <w:rsid w:val="00B77961"/>
    <w:rsid w:val="00B77D60"/>
    <w:rsid w:val="00B77F87"/>
    <w:rsid w:val="00B8056F"/>
    <w:rsid w:val="00B805DE"/>
    <w:rsid w:val="00B82093"/>
    <w:rsid w:val="00B821B5"/>
    <w:rsid w:val="00B82565"/>
    <w:rsid w:val="00B82FC2"/>
    <w:rsid w:val="00B8306F"/>
    <w:rsid w:val="00B832F6"/>
    <w:rsid w:val="00B836E8"/>
    <w:rsid w:val="00B838A6"/>
    <w:rsid w:val="00B83B16"/>
    <w:rsid w:val="00B844F5"/>
    <w:rsid w:val="00B85A72"/>
    <w:rsid w:val="00B85B42"/>
    <w:rsid w:val="00B86A5F"/>
    <w:rsid w:val="00B87FFD"/>
    <w:rsid w:val="00B90298"/>
    <w:rsid w:val="00B916F5"/>
    <w:rsid w:val="00B91724"/>
    <w:rsid w:val="00B91841"/>
    <w:rsid w:val="00B91B80"/>
    <w:rsid w:val="00B9210C"/>
    <w:rsid w:val="00B92788"/>
    <w:rsid w:val="00B92C44"/>
    <w:rsid w:val="00B93342"/>
    <w:rsid w:val="00B93354"/>
    <w:rsid w:val="00B93CBC"/>
    <w:rsid w:val="00B94418"/>
    <w:rsid w:val="00B94BE5"/>
    <w:rsid w:val="00B95135"/>
    <w:rsid w:val="00B9574E"/>
    <w:rsid w:val="00B96875"/>
    <w:rsid w:val="00B96F73"/>
    <w:rsid w:val="00B97AD7"/>
    <w:rsid w:val="00BA053D"/>
    <w:rsid w:val="00BA07FD"/>
    <w:rsid w:val="00BA082B"/>
    <w:rsid w:val="00BA09E2"/>
    <w:rsid w:val="00BA0D09"/>
    <w:rsid w:val="00BA14F0"/>
    <w:rsid w:val="00BA1863"/>
    <w:rsid w:val="00BA1B17"/>
    <w:rsid w:val="00BA1C24"/>
    <w:rsid w:val="00BA1E6D"/>
    <w:rsid w:val="00BA2245"/>
    <w:rsid w:val="00BA247A"/>
    <w:rsid w:val="00BA3F66"/>
    <w:rsid w:val="00BA58BA"/>
    <w:rsid w:val="00BA5A35"/>
    <w:rsid w:val="00BA7519"/>
    <w:rsid w:val="00BA7965"/>
    <w:rsid w:val="00BB0E09"/>
    <w:rsid w:val="00BB18BC"/>
    <w:rsid w:val="00BB2BB2"/>
    <w:rsid w:val="00BB2E2F"/>
    <w:rsid w:val="00BB4887"/>
    <w:rsid w:val="00BB49E6"/>
    <w:rsid w:val="00BB586B"/>
    <w:rsid w:val="00BB5A7A"/>
    <w:rsid w:val="00BB613A"/>
    <w:rsid w:val="00BB66B0"/>
    <w:rsid w:val="00BB6EB0"/>
    <w:rsid w:val="00BB7898"/>
    <w:rsid w:val="00BC08DA"/>
    <w:rsid w:val="00BC0FAF"/>
    <w:rsid w:val="00BC239F"/>
    <w:rsid w:val="00BC2995"/>
    <w:rsid w:val="00BC45B3"/>
    <w:rsid w:val="00BC4BAC"/>
    <w:rsid w:val="00BC57A3"/>
    <w:rsid w:val="00BC68AF"/>
    <w:rsid w:val="00BC6EE9"/>
    <w:rsid w:val="00BD0785"/>
    <w:rsid w:val="00BD26F0"/>
    <w:rsid w:val="00BD3089"/>
    <w:rsid w:val="00BD3BEC"/>
    <w:rsid w:val="00BD3F7E"/>
    <w:rsid w:val="00BD42E5"/>
    <w:rsid w:val="00BD5907"/>
    <w:rsid w:val="00BD5B66"/>
    <w:rsid w:val="00BD6056"/>
    <w:rsid w:val="00BE01B0"/>
    <w:rsid w:val="00BE0F25"/>
    <w:rsid w:val="00BE1518"/>
    <w:rsid w:val="00BE18EF"/>
    <w:rsid w:val="00BE212D"/>
    <w:rsid w:val="00BE2A68"/>
    <w:rsid w:val="00BE313E"/>
    <w:rsid w:val="00BE3DFF"/>
    <w:rsid w:val="00BE486D"/>
    <w:rsid w:val="00BE552E"/>
    <w:rsid w:val="00BE5C51"/>
    <w:rsid w:val="00BE5D13"/>
    <w:rsid w:val="00BE62B6"/>
    <w:rsid w:val="00BE689D"/>
    <w:rsid w:val="00BE6D3A"/>
    <w:rsid w:val="00BE7332"/>
    <w:rsid w:val="00BE7B4A"/>
    <w:rsid w:val="00BE7FD6"/>
    <w:rsid w:val="00BF10CB"/>
    <w:rsid w:val="00BF1DE1"/>
    <w:rsid w:val="00BF2B21"/>
    <w:rsid w:val="00BF3149"/>
    <w:rsid w:val="00BF4583"/>
    <w:rsid w:val="00BF4B45"/>
    <w:rsid w:val="00BF566D"/>
    <w:rsid w:val="00BF5A1E"/>
    <w:rsid w:val="00BF6579"/>
    <w:rsid w:val="00BF6EB9"/>
    <w:rsid w:val="00BF7A65"/>
    <w:rsid w:val="00C00865"/>
    <w:rsid w:val="00C00FC2"/>
    <w:rsid w:val="00C01E28"/>
    <w:rsid w:val="00C025B9"/>
    <w:rsid w:val="00C03136"/>
    <w:rsid w:val="00C03400"/>
    <w:rsid w:val="00C03753"/>
    <w:rsid w:val="00C03A73"/>
    <w:rsid w:val="00C03BAB"/>
    <w:rsid w:val="00C04C74"/>
    <w:rsid w:val="00C0513C"/>
    <w:rsid w:val="00C0589C"/>
    <w:rsid w:val="00C05AB4"/>
    <w:rsid w:val="00C068ED"/>
    <w:rsid w:val="00C0718C"/>
    <w:rsid w:val="00C07263"/>
    <w:rsid w:val="00C076A2"/>
    <w:rsid w:val="00C102FA"/>
    <w:rsid w:val="00C106F4"/>
    <w:rsid w:val="00C10B10"/>
    <w:rsid w:val="00C10CA6"/>
    <w:rsid w:val="00C111B3"/>
    <w:rsid w:val="00C11B62"/>
    <w:rsid w:val="00C11F51"/>
    <w:rsid w:val="00C124BF"/>
    <w:rsid w:val="00C12B62"/>
    <w:rsid w:val="00C12ECB"/>
    <w:rsid w:val="00C134F0"/>
    <w:rsid w:val="00C13DBF"/>
    <w:rsid w:val="00C1489F"/>
    <w:rsid w:val="00C1491A"/>
    <w:rsid w:val="00C149DA"/>
    <w:rsid w:val="00C14DF9"/>
    <w:rsid w:val="00C15548"/>
    <w:rsid w:val="00C15730"/>
    <w:rsid w:val="00C15BFF"/>
    <w:rsid w:val="00C16AA7"/>
    <w:rsid w:val="00C17623"/>
    <w:rsid w:val="00C20086"/>
    <w:rsid w:val="00C205FA"/>
    <w:rsid w:val="00C209D6"/>
    <w:rsid w:val="00C22B88"/>
    <w:rsid w:val="00C22D3D"/>
    <w:rsid w:val="00C2365A"/>
    <w:rsid w:val="00C244F9"/>
    <w:rsid w:val="00C24C07"/>
    <w:rsid w:val="00C25341"/>
    <w:rsid w:val="00C255AB"/>
    <w:rsid w:val="00C26144"/>
    <w:rsid w:val="00C26526"/>
    <w:rsid w:val="00C30AAA"/>
    <w:rsid w:val="00C318FD"/>
    <w:rsid w:val="00C31911"/>
    <w:rsid w:val="00C31EF7"/>
    <w:rsid w:val="00C32AC0"/>
    <w:rsid w:val="00C32DC9"/>
    <w:rsid w:val="00C33C6F"/>
    <w:rsid w:val="00C342AD"/>
    <w:rsid w:val="00C3453D"/>
    <w:rsid w:val="00C34A51"/>
    <w:rsid w:val="00C34BF6"/>
    <w:rsid w:val="00C35373"/>
    <w:rsid w:val="00C35EBE"/>
    <w:rsid w:val="00C35F68"/>
    <w:rsid w:val="00C3613E"/>
    <w:rsid w:val="00C36E10"/>
    <w:rsid w:val="00C377C1"/>
    <w:rsid w:val="00C37E43"/>
    <w:rsid w:val="00C4019A"/>
    <w:rsid w:val="00C40B47"/>
    <w:rsid w:val="00C40BF4"/>
    <w:rsid w:val="00C40E21"/>
    <w:rsid w:val="00C415AF"/>
    <w:rsid w:val="00C415B0"/>
    <w:rsid w:val="00C41D47"/>
    <w:rsid w:val="00C4202A"/>
    <w:rsid w:val="00C42CBA"/>
    <w:rsid w:val="00C42CE2"/>
    <w:rsid w:val="00C443DA"/>
    <w:rsid w:val="00C443DC"/>
    <w:rsid w:val="00C44967"/>
    <w:rsid w:val="00C451D2"/>
    <w:rsid w:val="00C46311"/>
    <w:rsid w:val="00C46324"/>
    <w:rsid w:val="00C4679B"/>
    <w:rsid w:val="00C47DCF"/>
    <w:rsid w:val="00C5204D"/>
    <w:rsid w:val="00C52360"/>
    <w:rsid w:val="00C527E4"/>
    <w:rsid w:val="00C52C74"/>
    <w:rsid w:val="00C530E6"/>
    <w:rsid w:val="00C5378D"/>
    <w:rsid w:val="00C547C5"/>
    <w:rsid w:val="00C54B74"/>
    <w:rsid w:val="00C55879"/>
    <w:rsid w:val="00C5605A"/>
    <w:rsid w:val="00C57087"/>
    <w:rsid w:val="00C573EF"/>
    <w:rsid w:val="00C57C02"/>
    <w:rsid w:val="00C60758"/>
    <w:rsid w:val="00C6085E"/>
    <w:rsid w:val="00C60B26"/>
    <w:rsid w:val="00C60E35"/>
    <w:rsid w:val="00C610C4"/>
    <w:rsid w:val="00C6118B"/>
    <w:rsid w:val="00C61377"/>
    <w:rsid w:val="00C61447"/>
    <w:rsid w:val="00C61487"/>
    <w:rsid w:val="00C61C10"/>
    <w:rsid w:val="00C61CE8"/>
    <w:rsid w:val="00C61EBD"/>
    <w:rsid w:val="00C63385"/>
    <w:rsid w:val="00C636CD"/>
    <w:rsid w:val="00C63EB4"/>
    <w:rsid w:val="00C63FAF"/>
    <w:rsid w:val="00C63FC8"/>
    <w:rsid w:val="00C6487F"/>
    <w:rsid w:val="00C64CAA"/>
    <w:rsid w:val="00C6687D"/>
    <w:rsid w:val="00C6763B"/>
    <w:rsid w:val="00C7045D"/>
    <w:rsid w:val="00C714AD"/>
    <w:rsid w:val="00C71C30"/>
    <w:rsid w:val="00C7227A"/>
    <w:rsid w:val="00C7280D"/>
    <w:rsid w:val="00C72DB4"/>
    <w:rsid w:val="00C7376E"/>
    <w:rsid w:val="00C737DD"/>
    <w:rsid w:val="00C73960"/>
    <w:rsid w:val="00C746BA"/>
    <w:rsid w:val="00C74F5E"/>
    <w:rsid w:val="00C7525A"/>
    <w:rsid w:val="00C75611"/>
    <w:rsid w:val="00C756AE"/>
    <w:rsid w:val="00C75D81"/>
    <w:rsid w:val="00C7634F"/>
    <w:rsid w:val="00C76987"/>
    <w:rsid w:val="00C76F1F"/>
    <w:rsid w:val="00C7741E"/>
    <w:rsid w:val="00C80200"/>
    <w:rsid w:val="00C807FC"/>
    <w:rsid w:val="00C80A4B"/>
    <w:rsid w:val="00C81240"/>
    <w:rsid w:val="00C82351"/>
    <w:rsid w:val="00C82A0C"/>
    <w:rsid w:val="00C82D85"/>
    <w:rsid w:val="00C8326F"/>
    <w:rsid w:val="00C843D3"/>
    <w:rsid w:val="00C8499D"/>
    <w:rsid w:val="00C85048"/>
    <w:rsid w:val="00C85493"/>
    <w:rsid w:val="00C8575E"/>
    <w:rsid w:val="00C859E6"/>
    <w:rsid w:val="00C86483"/>
    <w:rsid w:val="00C86E86"/>
    <w:rsid w:val="00C87974"/>
    <w:rsid w:val="00C87DC8"/>
    <w:rsid w:val="00C87F73"/>
    <w:rsid w:val="00C90252"/>
    <w:rsid w:val="00C906F3"/>
    <w:rsid w:val="00C91007"/>
    <w:rsid w:val="00C9111B"/>
    <w:rsid w:val="00C93541"/>
    <w:rsid w:val="00C9397E"/>
    <w:rsid w:val="00C93F3F"/>
    <w:rsid w:val="00C940D3"/>
    <w:rsid w:val="00C95044"/>
    <w:rsid w:val="00C95D28"/>
    <w:rsid w:val="00C97A36"/>
    <w:rsid w:val="00CA1410"/>
    <w:rsid w:val="00CA1413"/>
    <w:rsid w:val="00CA153C"/>
    <w:rsid w:val="00CA162E"/>
    <w:rsid w:val="00CA1D94"/>
    <w:rsid w:val="00CA1E43"/>
    <w:rsid w:val="00CA1F6D"/>
    <w:rsid w:val="00CA26C6"/>
    <w:rsid w:val="00CA39F8"/>
    <w:rsid w:val="00CA3F02"/>
    <w:rsid w:val="00CA4292"/>
    <w:rsid w:val="00CA542C"/>
    <w:rsid w:val="00CA5B65"/>
    <w:rsid w:val="00CA5FB7"/>
    <w:rsid w:val="00CA676B"/>
    <w:rsid w:val="00CA7116"/>
    <w:rsid w:val="00CA7D92"/>
    <w:rsid w:val="00CA7E1D"/>
    <w:rsid w:val="00CB0752"/>
    <w:rsid w:val="00CB0B14"/>
    <w:rsid w:val="00CB0F40"/>
    <w:rsid w:val="00CB1D23"/>
    <w:rsid w:val="00CB2619"/>
    <w:rsid w:val="00CB2FE7"/>
    <w:rsid w:val="00CB3201"/>
    <w:rsid w:val="00CB352F"/>
    <w:rsid w:val="00CB3A65"/>
    <w:rsid w:val="00CB3E33"/>
    <w:rsid w:val="00CB4389"/>
    <w:rsid w:val="00CB43E1"/>
    <w:rsid w:val="00CB5C67"/>
    <w:rsid w:val="00CB5CF0"/>
    <w:rsid w:val="00CB5FB4"/>
    <w:rsid w:val="00CB6672"/>
    <w:rsid w:val="00CB67C9"/>
    <w:rsid w:val="00CB7796"/>
    <w:rsid w:val="00CB7929"/>
    <w:rsid w:val="00CB7B68"/>
    <w:rsid w:val="00CB7B9F"/>
    <w:rsid w:val="00CB7C45"/>
    <w:rsid w:val="00CB7D01"/>
    <w:rsid w:val="00CC06C8"/>
    <w:rsid w:val="00CC06D4"/>
    <w:rsid w:val="00CC0BA0"/>
    <w:rsid w:val="00CC0C7E"/>
    <w:rsid w:val="00CC0F2E"/>
    <w:rsid w:val="00CC2B5C"/>
    <w:rsid w:val="00CC3B27"/>
    <w:rsid w:val="00CC4171"/>
    <w:rsid w:val="00CC5891"/>
    <w:rsid w:val="00CC5C7B"/>
    <w:rsid w:val="00CC5FF8"/>
    <w:rsid w:val="00CC6D8A"/>
    <w:rsid w:val="00CC770D"/>
    <w:rsid w:val="00CC7CBB"/>
    <w:rsid w:val="00CC7E9D"/>
    <w:rsid w:val="00CD04AC"/>
    <w:rsid w:val="00CD0FF4"/>
    <w:rsid w:val="00CD19A8"/>
    <w:rsid w:val="00CD1E46"/>
    <w:rsid w:val="00CD2AAC"/>
    <w:rsid w:val="00CD3AD7"/>
    <w:rsid w:val="00CD3D6D"/>
    <w:rsid w:val="00CD4A58"/>
    <w:rsid w:val="00CD4EC1"/>
    <w:rsid w:val="00CD54C5"/>
    <w:rsid w:val="00CD571B"/>
    <w:rsid w:val="00CD58AC"/>
    <w:rsid w:val="00CD61B4"/>
    <w:rsid w:val="00CD7321"/>
    <w:rsid w:val="00CD7926"/>
    <w:rsid w:val="00CD7AC3"/>
    <w:rsid w:val="00CE1055"/>
    <w:rsid w:val="00CE10D3"/>
    <w:rsid w:val="00CE1232"/>
    <w:rsid w:val="00CE1BB1"/>
    <w:rsid w:val="00CE1FA2"/>
    <w:rsid w:val="00CE20F1"/>
    <w:rsid w:val="00CE3427"/>
    <w:rsid w:val="00CE38B2"/>
    <w:rsid w:val="00CE38CD"/>
    <w:rsid w:val="00CE3E79"/>
    <w:rsid w:val="00CE4B66"/>
    <w:rsid w:val="00CE4BF8"/>
    <w:rsid w:val="00CE5291"/>
    <w:rsid w:val="00CE5656"/>
    <w:rsid w:val="00CE639C"/>
    <w:rsid w:val="00CE6653"/>
    <w:rsid w:val="00CE6A42"/>
    <w:rsid w:val="00CE727D"/>
    <w:rsid w:val="00CE7774"/>
    <w:rsid w:val="00CF1E54"/>
    <w:rsid w:val="00CF28D6"/>
    <w:rsid w:val="00CF2F94"/>
    <w:rsid w:val="00CF35DA"/>
    <w:rsid w:val="00CF3D93"/>
    <w:rsid w:val="00CF3F42"/>
    <w:rsid w:val="00CF4D47"/>
    <w:rsid w:val="00CF4DBF"/>
    <w:rsid w:val="00CF5471"/>
    <w:rsid w:val="00CF6AE4"/>
    <w:rsid w:val="00CF6F1C"/>
    <w:rsid w:val="00CF79E1"/>
    <w:rsid w:val="00CF7A65"/>
    <w:rsid w:val="00CF7A67"/>
    <w:rsid w:val="00D00B12"/>
    <w:rsid w:val="00D00D80"/>
    <w:rsid w:val="00D013CE"/>
    <w:rsid w:val="00D017B3"/>
    <w:rsid w:val="00D0223C"/>
    <w:rsid w:val="00D02738"/>
    <w:rsid w:val="00D03163"/>
    <w:rsid w:val="00D03366"/>
    <w:rsid w:val="00D03786"/>
    <w:rsid w:val="00D03F73"/>
    <w:rsid w:val="00D0427F"/>
    <w:rsid w:val="00D04E6D"/>
    <w:rsid w:val="00D05848"/>
    <w:rsid w:val="00D0635F"/>
    <w:rsid w:val="00D0636E"/>
    <w:rsid w:val="00D06620"/>
    <w:rsid w:val="00D079D6"/>
    <w:rsid w:val="00D104B7"/>
    <w:rsid w:val="00D10AF7"/>
    <w:rsid w:val="00D11B76"/>
    <w:rsid w:val="00D122B3"/>
    <w:rsid w:val="00D12547"/>
    <w:rsid w:val="00D12F80"/>
    <w:rsid w:val="00D1398F"/>
    <w:rsid w:val="00D14213"/>
    <w:rsid w:val="00D15516"/>
    <w:rsid w:val="00D15B49"/>
    <w:rsid w:val="00D16527"/>
    <w:rsid w:val="00D175B8"/>
    <w:rsid w:val="00D17724"/>
    <w:rsid w:val="00D17E94"/>
    <w:rsid w:val="00D20211"/>
    <w:rsid w:val="00D21D18"/>
    <w:rsid w:val="00D21F06"/>
    <w:rsid w:val="00D22A0E"/>
    <w:rsid w:val="00D22F49"/>
    <w:rsid w:val="00D230A7"/>
    <w:rsid w:val="00D234B9"/>
    <w:rsid w:val="00D23F80"/>
    <w:rsid w:val="00D240BC"/>
    <w:rsid w:val="00D241BF"/>
    <w:rsid w:val="00D24316"/>
    <w:rsid w:val="00D24499"/>
    <w:rsid w:val="00D245B5"/>
    <w:rsid w:val="00D2520D"/>
    <w:rsid w:val="00D25C12"/>
    <w:rsid w:val="00D25F84"/>
    <w:rsid w:val="00D265EF"/>
    <w:rsid w:val="00D26E54"/>
    <w:rsid w:val="00D2722A"/>
    <w:rsid w:val="00D276F3"/>
    <w:rsid w:val="00D27F16"/>
    <w:rsid w:val="00D27FE5"/>
    <w:rsid w:val="00D30115"/>
    <w:rsid w:val="00D30944"/>
    <w:rsid w:val="00D30E27"/>
    <w:rsid w:val="00D31862"/>
    <w:rsid w:val="00D31922"/>
    <w:rsid w:val="00D31BD5"/>
    <w:rsid w:val="00D32250"/>
    <w:rsid w:val="00D336BC"/>
    <w:rsid w:val="00D33FC2"/>
    <w:rsid w:val="00D34077"/>
    <w:rsid w:val="00D3431C"/>
    <w:rsid w:val="00D34861"/>
    <w:rsid w:val="00D34CB2"/>
    <w:rsid w:val="00D35685"/>
    <w:rsid w:val="00D35C87"/>
    <w:rsid w:val="00D40A67"/>
    <w:rsid w:val="00D40EE6"/>
    <w:rsid w:val="00D40FA1"/>
    <w:rsid w:val="00D4126F"/>
    <w:rsid w:val="00D417A8"/>
    <w:rsid w:val="00D41928"/>
    <w:rsid w:val="00D427C0"/>
    <w:rsid w:val="00D427E1"/>
    <w:rsid w:val="00D43B74"/>
    <w:rsid w:val="00D44068"/>
    <w:rsid w:val="00D44295"/>
    <w:rsid w:val="00D442BC"/>
    <w:rsid w:val="00D44EFF"/>
    <w:rsid w:val="00D44FA8"/>
    <w:rsid w:val="00D450C3"/>
    <w:rsid w:val="00D4546A"/>
    <w:rsid w:val="00D45D08"/>
    <w:rsid w:val="00D46413"/>
    <w:rsid w:val="00D468C5"/>
    <w:rsid w:val="00D47EC1"/>
    <w:rsid w:val="00D50090"/>
    <w:rsid w:val="00D50510"/>
    <w:rsid w:val="00D5303C"/>
    <w:rsid w:val="00D53792"/>
    <w:rsid w:val="00D53A03"/>
    <w:rsid w:val="00D54BCD"/>
    <w:rsid w:val="00D54EE5"/>
    <w:rsid w:val="00D56298"/>
    <w:rsid w:val="00D575C2"/>
    <w:rsid w:val="00D605F9"/>
    <w:rsid w:val="00D611CD"/>
    <w:rsid w:val="00D618F5"/>
    <w:rsid w:val="00D622AF"/>
    <w:rsid w:val="00D62967"/>
    <w:rsid w:val="00D62BBC"/>
    <w:rsid w:val="00D63C5D"/>
    <w:rsid w:val="00D63CDE"/>
    <w:rsid w:val="00D64402"/>
    <w:rsid w:val="00D644D8"/>
    <w:rsid w:val="00D64583"/>
    <w:rsid w:val="00D64647"/>
    <w:rsid w:val="00D6477E"/>
    <w:rsid w:val="00D649F2"/>
    <w:rsid w:val="00D65AC5"/>
    <w:rsid w:val="00D65EC4"/>
    <w:rsid w:val="00D660C5"/>
    <w:rsid w:val="00D660F4"/>
    <w:rsid w:val="00D66595"/>
    <w:rsid w:val="00D66746"/>
    <w:rsid w:val="00D66DFA"/>
    <w:rsid w:val="00D6738C"/>
    <w:rsid w:val="00D70212"/>
    <w:rsid w:val="00D7021C"/>
    <w:rsid w:val="00D70BE8"/>
    <w:rsid w:val="00D70CB9"/>
    <w:rsid w:val="00D7108B"/>
    <w:rsid w:val="00D71A7C"/>
    <w:rsid w:val="00D7203A"/>
    <w:rsid w:val="00D7213B"/>
    <w:rsid w:val="00D7253D"/>
    <w:rsid w:val="00D72F35"/>
    <w:rsid w:val="00D73198"/>
    <w:rsid w:val="00D738A2"/>
    <w:rsid w:val="00D74CA6"/>
    <w:rsid w:val="00D751E8"/>
    <w:rsid w:val="00D7526B"/>
    <w:rsid w:val="00D759D5"/>
    <w:rsid w:val="00D7676F"/>
    <w:rsid w:val="00D76AE5"/>
    <w:rsid w:val="00D7733C"/>
    <w:rsid w:val="00D7778C"/>
    <w:rsid w:val="00D77C9A"/>
    <w:rsid w:val="00D80B3E"/>
    <w:rsid w:val="00D80C43"/>
    <w:rsid w:val="00D8225A"/>
    <w:rsid w:val="00D82D37"/>
    <w:rsid w:val="00D82EFA"/>
    <w:rsid w:val="00D82F2A"/>
    <w:rsid w:val="00D8318C"/>
    <w:rsid w:val="00D833DF"/>
    <w:rsid w:val="00D83414"/>
    <w:rsid w:val="00D83496"/>
    <w:rsid w:val="00D83839"/>
    <w:rsid w:val="00D83DE0"/>
    <w:rsid w:val="00D85D51"/>
    <w:rsid w:val="00D85DA5"/>
    <w:rsid w:val="00D90236"/>
    <w:rsid w:val="00D90DAF"/>
    <w:rsid w:val="00D918AE"/>
    <w:rsid w:val="00D93765"/>
    <w:rsid w:val="00D93AD5"/>
    <w:rsid w:val="00D93DF0"/>
    <w:rsid w:val="00D94528"/>
    <w:rsid w:val="00D94D21"/>
    <w:rsid w:val="00D95026"/>
    <w:rsid w:val="00D959E9"/>
    <w:rsid w:val="00D96079"/>
    <w:rsid w:val="00D962E2"/>
    <w:rsid w:val="00D9670E"/>
    <w:rsid w:val="00D96DFD"/>
    <w:rsid w:val="00D970B7"/>
    <w:rsid w:val="00D978B4"/>
    <w:rsid w:val="00D97AED"/>
    <w:rsid w:val="00D97B53"/>
    <w:rsid w:val="00D97BDD"/>
    <w:rsid w:val="00D97DA3"/>
    <w:rsid w:val="00D97E3F"/>
    <w:rsid w:val="00DA049E"/>
    <w:rsid w:val="00DA1161"/>
    <w:rsid w:val="00DA3C57"/>
    <w:rsid w:val="00DA3CD4"/>
    <w:rsid w:val="00DA3E72"/>
    <w:rsid w:val="00DA40B6"/>
    <w:rsid w:val="00DA4224"/>
    <w:rsid w:val="00DA5869"/>
    <w:rsid w:val="00DA5DD2"/>
    <w:rsid w:val="00DA67DC"/>
    <w:rsid w:val="00DA6968"/>
    <w:rsid w:val="00DA71F1"/>
    <w:rsid w:val="00DA76D9"/>
    <w:rsid w:val="00DA774A"/>
    <w:rsid w:val="00DA77EB"/>
    <w:rsid w:val="00DB0126"/>
    <w:rsid w:val="00DB0263"/>
    <w:rsid w:val="00DB078C"/>
    <w:rsid w:val="00DB147D"/>
    <w:rsid w:val="00DB200C"/>
    <w:rsid w:val="00DB25F7"/>
    <w:rsid w:val="00DB2A97"/>
    <w:rsid w:val="00DB2D47"/>
    <w:rsid w:val="00DB34EC"/>
    <w:rsid w:val="00DB3F5E"/>
    <w:rsid w:val="00DB44C3"/>
    <w:rsid w:val="00DB4AEC"/>
    <w:rsid w:val="00DB4B59"/>
    <w:rsid w:val="00DB5502"/>
    <w:rsid w:val="00DB5E2E"/>
    <w:rsid w:val="00DB6889"/>
    <w:rsid w:val="00DB6FF6"/>
    <w:rsid w:val="00DB7A24"/>
    <w:rsid w:val="00DC036A"/>
    <w:rsid w:val="00DC07BC"/>
    <w:rsid w:val="00DC0CF7"/>
    <w:rsid w:val="00DC1A97"/>
    <w:rsid w:val="00DC36A4"/>
    <w:rsid w:val="00DC3E75"/>
    <w:rsid w:val="00DC49AE"/>
    <w:rsid w:val="00DC4ED4"/>
    <w:rsid w:val="00DC5223"/>
    <w:rsid w:val="00DC63A7"/>
    <w:rsid w:val="00DC6A31"/>
    <w:rsid w:val="00DC6EA9"/>
    <w:rsid w:val="00DC72F2"/>
    <w:rsid w:val="00DC7AFD"/>
    <w:rsid w:val="00DC7F7C"/>
    <w:rsid w:val="00DD0036"/>
    <w:rsid w:val="00DD0880"/>
    <w:rsid w:val="00DD0EAA"/>
    <w:rsid w:val="00DD1664"/>
    <w:rsid w:val="00DD1A24"/>
    <w:rsid w:val="00DD2C5F"/>
    <w:rsid w:val="00DD2E43"/>
    <w:rsid w:val="00DD303F"/>
    <w:rsid w:val="00DD42A7"/>
    <w:rsid w:val="00DD43C0"/>
    <w:rsid w:val="00DD46B4"/>
    <w:rsid w:val="00DD4939"/>
    <w:rsid w:val="00DD50D4"/>
    <w:rsid w:val="00DD52DE"/>
    <w:rsid w:val="00DD5CBC"/>
    <w:rsid w:val="00DD5FE9"/>
    <w:rsid w:val="00DD67D6"/>
    <w:rsid w:val="00DD6B93"/>
    <w:rsid w:val="00DD6C33"/>
    <w:rsid w:val="00DD78A8"/>
    <w:rsid w:val="00DE0AB8"/>
    <w:rsid w:val="00DE0DC3"/>
    <w:rsid w:val="00DE0EBE"/>
    <w:rsid w:val="00DE0EE4"/>
    <w:rsid w:val="00DE10A5"/>
    <w:rsid w:val="00DE143A"/>
    <w:rsid w:val="00DE16BB"/>
    <w:rsid w:val="00DE1BD7"/>
    <w:rsid w:val="00DE3452"/>
    <w:rsid w:val="00DE353A"/>
    <w:rsid w:val="00DE3A43"/>
    <w:rsid w:val="00DE57AC"/>
    <w:rsid w:val="00DE59A9"/>
    <w:rsid w:val="00DE5A90"/>
    <w:rsid w:val="00DE65A0"/>
    <w:rsid w:val="00DE68CA"/>
    <w:rsid w:val="00DE7464"/>
    <w:rsid w:val="00DE7FDC"/>
    <w:rsid w:val="00DF052B"/>
    <w:rsid w:val="00DF0862"/>
    <w:rsid w:val="00DF0971"/>
    <w:rsid w:val="00DF0CDF"/>
    <w:rsid w:val="00DF0E5A"/>
    <w:rsid w:val="00DF1286"/>
    <w:rsid w:val="00DF14E5"/>
    <w:rsid w:val="00DF16F9"/>
    <w:rsid w:val="00DF1D08"/>
    <w:rsid w:val="00DF1F4F"/>
    <w:rsid w:val="00DF246C"/>
    <w:rsid w:val="00DF29CD"/>
    <w:rsid w:val="00DF338C"/>
    <w:rsid w:val="00DF3982"/>
    <w:rsid w:val="00DF3DBE"/>
    <w:rsid w:val="00DF5249"/>
    <w:rsid w:val="00DF5404"/>
    <w:rsid w:val="00DF63BD"/>
    <w:rsid w:val="00DF6775"/>
    <w:rsid w:val="00DF6D75"/>
    <w:rsid w:val="00DF774D"/>
    <w:rsid w:val="00E0093D"/>
    <w:rsid w:val="00E00B1E"/>
    <w:rsid w:val="00E0182A"/>
    <w:rsid w:val="00E01DC3"/>
    <w:rsid w:val="00E0261B"/>
    <w:rsid w:val="00E02659"/>
    <w:rsid w:val="00E02875"/>
    <w:rsid w:val="00E02DCC"/>
    <w:rsid w:val="00E036D0"/>
    <w:rsid w:val="00E045AC"/>
    <w:rsid w:val="00E0467D"/>
    <w:rsid w:val="00E0472D"/>
    <w:rsid w:val="00E04BEA"/>
    <w:rsid w:val="00E052FB"/>
    <w:rsid w:val="00E054C7"/>
    <w:rsid w:val="00E0583F"/>
    <w:rsid w:val="00E058EF"/>
    <w:rsid w:val="00E05A89"/>
    <w:rsid w:val="00E06D47"/>
    <w:rsid w:val="00E07031"/>
    <w:rsid w:val="00E07034"/>
    <w:rsid w:val="00E07E51"/>
    <w:rsid w:val="00E10010"/>
    <w:rsid w:val="00E11545"/>
    <w:rsid w:val="00E119A2"/>
    <w:rsid w:val="00E123D7"/>
    <w:rsid w:val="00E1260D"/>
    <w:rsid w:val="00E12995"/>
    <w:rsid w:val="00E12DDB"/>
    <w:rsid w:val="00E12E38"/>
    <w:rsid w:val="00E13233"/>
    <w:rsid w:val="00E13493"/>
    <w:rsid w:val="00E136BA"/>
    <w:rsid w:val="00E138C0"/>
    <w:rsid w:val="00E13F30"/>
    <w:rsid w:val="00E1436F"/>
    <w:rsid w:val="00E14DC3"/>
    <w:rsid w:val="00E1521B"/>
    <w:rsid w:val="00E15CB3"/>
    <w:rsid w:val="00E15DFC"/>
    <w:rsid w:val="00E160F2"/>
    <w:rsid w:val="00E166B1"/>
    <w:rsid w:val="00E174D7"/>
    <w:rsid w:val="00E17D48"/>
    <w:rsid w:val="00E20707"/>
    <w:rsid w:val="00E22231"/>
    <w:rsid w:val="00E22537"/>
    <w:rsid w:val="00E227BF"/>
    <w:rsid w:val="00E22E4D"/>
    <w:rsid w:val="00E23C0D"/>
    <w:rsid w:val="00E24E93"/>
    <w:rsid w:val="00E25A6A"/>
    <w:rsid w:val="00E25E60"/>
    <w:rsid w:val="00E261AC"/>
    <w:rsid w:val="00E263D5"/>
    <w:rsid w:val="00E26FA3"/>
    <w:rsid w:val="00E270C0"/>
    <w:rsid w:val="00E2767C"/>
    <w:rsid w:val="00E27954"/>
    <w:rsid w:val="00E303F1"/>
    <w:rsid w:val="00E30F85"/>
    <w:rsid w:val="00E31DB0"/>
    <w:rsid w:val="00E31E99"/>
    <w:rsid w:val="00E32C17"/>
    <w:rsid w:val="00E33472"/>
    <w:rsid w:val="00E33AC1"/>
    <w:rsid w:val="00E34373"/>
    <w:rsid w:val="00E34763"/>
    <w:rsid w:val="00E3509A"/>
    <w:rsid w:val="00E35BF4"/>
    <w:rsid w:val="00E35FB5"/>
    <w:rsid w:val="00E360AF"/>
    <w:rsid w:val="00E3652F"/>
    <w:rsid w:val="00E367E0"/>
    <w:rsid w:val="00E369AD"/>
    <w:rsid w:val="00E379BA"/>
    <w:rsid w:val="00E37B65"/>
    <w:rsid w:val="00E40A21"/>
    <w:rsid w:val="00E417A4"/>
    <w:rsid w:val="00E41D1C"/>
    <w:rsid w:val="00E42145"/>
    <w:rsid w:val="00E424E1"/>
    <w:rsid w:val="00E42D07"/>
    <w:rsid w:val="00E42EB4"/>
    <w:rsid w:val="00E42F81"/>
    <w:rsid w:val="00E43867"/>
    <w:rsid w:val="00E43ECB"/>
    <w:rsid w:val="00E44580"/>
    <w:rsid w:val="00E44ADC"/>
    <w:rsid w:val="00E45BAB"/>
    <w:rsid w:val="00E45E06"/>
    <w:rsid w:val="00E4789E"/>
    <w:rsid w:val="00E47A9C"/>
    <w:rsid w:val="00E47B4F"/>
    <w:rsid w:val="00E47C2B"/>
    <w:rsid w:val="00E5059F"/>
    <w:rsid w:val="00E50E2D"/>
    <w:rsid w:val="00E50E61"/>
    <w:rsid w:val="00E51A0A"/>
    <w:rsid w:val="00E521EE"/>
    <w:rsid w:val="00E5288C"/>
    <w:rsid w:val="00E536FD"/>
    <w:rsid w:val="00E53D2C"/>
    <w:rsid w:val="00E53D54"/>
    <w:rsid w:val="00E53F82"/>
    <w:rsid w:val="00E54464"/>
    <w:rsid w:val="00E54939"/>
    <w:rsid w:val="00E550C0"/>
    <w:rsid w:val="00E551B2"/>
    <w:rsid w:val="00E55279"/>
    <w:rsid w:val="00E556D9"/>
    <w:rsid w:val="00E56506"/>
    <w:rsid w:val="00E56C84"/>
    <w:rsid w:val="00E57056"/>
    <w:rsid w:val="00E57966"/>
    <w:rsid w:val="00E600F0"/>
    <w:rsid w:val="00E602D2"/>
    <w:rsid w:val="00E60E53"/>
    <w:rsid w:val="00E60EF9"/>
    <w:rsid w:val="00E61233"/>
    <w:rsid w:val="00E6125E"/>
    <w:rsid w:val="00E6166A"/>
    <w:rsid w:val="00E6171A"/>
    <w:rsid w:val="00E6225D"/>
    <w:rsid w:val="00E627E8"/>
    <w:rsid w:val="00E636E8"/>
    <w:rsid w:val="00E63EC5"/>
    <w:rsid w:val="00E641F6"/>
    <w:rsid w:val="00E64969"/>
    <w:rsid w:val="00E64B68"/>
    <w:rsid w:val="00E64F7F"/>
    <w:rsid w:val="00E64FE6"/>
    <w:rsid w:val="00E66858"/>
    <w:rsid w:val="00E669F1"/>
    <w:rsid w:val="00E66B2C"/>
    <w:rsid w:val="00E66FCE"/>
    <w:rsid w:val="00E67256"/>
    <w:rsid w:val="00E67B7E"/>
    <w:rsid w:val="00E70867"/>
    <w:rsid w:val="00E70995"/>
    <w:rsid w:val="00E7151B"/>
    <w:rsid w:val="00E717CB"/>
    <w:rsid w:val="00E71D4F"/>
    <w:rsid w:val="00E72052"/>
    <w:rsid w:val="00E74844"/>
    <w:rsid w:val="00E74BEE"/>
    <w:rsid w:val="00E76886"/>
    <w:rsid w:val="00E76890"/>
    <w:rsid w:val="00E76B39"/>
    <w:rsid w:val="00E76DCF"/>
    <w:rsid w:val="00E7750D"/>
    <w:rsid w:val="00E800B8"/>
    <w:rsid w:val="00E8034A"/>
    <w:rsid w:val="00E811F8"/>
    <w:rsid w:val="00E81A40"/>
    <w:rsid w:val="00E81CDC"/>
    <w:rsid w:val="00E81DA6"/>
    <w:rsid w:val="00E8274F"/>
    <w:rsid w:val="00E82E92"/>
    <w:rsid w:val="00E83FDF"/>
    <w:rsid w:val="00E848F5"/>
    <w:rsid w:val="00E84DC4"/>
    <w:rsid w:val="00E84FBE"/>
    <w:rsid w:val="00E85AB9"/>
    <w:rsid w:val="00E85CC0"/>
    <w:rsid w:val="00E862D1"/>
    <w:rsid w:val="00E86641"/>
    <w:rsid w:val="00E86F66"/>
    <w:rsid w:val="00E874CA"/>
    <w:rsid w:val="00E877DF"/>
    <w:rsid w:val="00E90298"/>
    <w:rsid w:val="00E90684"/>
    <w:rsid w:val="00E907F8"/>
    <w:rsid w:val="00E92611"/>
    <w:rsid w:val="00E9300A"/>
    <w:rsid w:val="00E933E8"/>
    <w:rsid w:val="00E93E80"/>
    <w:rsid w:val="00E93FE3"/>
    <w:rsid w:val="00E941B4"/>
    <w:rsid w:val="00E941E0"/>
    <w:rsid w:val="00E9427E"/>
    <w:rsid w:val="00E943D3"/>
    <w:rsid w:val="00E95DAB"/>
    <w:rsid w:val="00E96083"/>
    <w:rsid w:val="00E96EA6"/>
    <w:rsid w:val="00E96EB1"/>
    <w:rsid w:val="00E97359"/>
    <w:rsid w:val="00EA013D"/>
    <w:rsid w:val="00EA1AB0"/>
    <w:rsid w:val="00EA22AE"/>
    <w:rsid w:val="00EA2A12"/>
    <w:rsid w:val="00EA3364"/>
    <w:rsid w:val="00EA3E22"/>
    <w:rsid w:val="00EA3E67"/>
    <w:rsid w:val="00EA4797"/>
    <w:rsid w:val="00EA48AF"/>
    <w:rsid w:val="00EA4948"/>
    <w:rsid w:val="00EA521D"/>
    <w:rsid w:val="00EA5F1B"/>
    <w:rsid w:val="00EA5FD7"/>
    <w:rsid w:val="00EA6056"/>
    <w:rsid w:val="00EA65A5"/>
    <w:rsid w:val="00EA65EA"/>
    <w:rsid w:val="00EA6695"/>
    <w:rsid w:val="00EA7EEC"/>
    <w:rsid w:val="00EA7F79"/>
    <w:rsid w:val="00EB0050"/>
    <w:rsid w:val="00EB0397"/>
    <w:rsid w:val="00EB1195"/>
    <w:rsid w:val="00EB1C62"/>
    <w:rsid w:val="00EB262B"/>
    <w:rsid w:val="00EB2C97"/>
    <w:rsid w:val="00EB3CAD"/>
    <w:rsid w:val="00EB66B0"/>
    <w:rsid w:val="00EB6EB8"/>
    <w:rsid w:val="00EB728C"/>
    <w:rsid w:val="00EB75D4"/>
    <w:rsid w:val="00EC15EE"/>
    <w:rsid w:val="00EC1BD9"/>
    <w:rsid w:val="00EC2327"/>
    <w:rsid w:val="00EC25EF"/>
    <w:rsid w:val="00EC32D1"/>
    <w:rsid w:val="00EC3D72"/>
    <w:rsid w:val="00EC41B0"/>
    <w:rsid w:val="00EC43B9"/>
    <w:rsid w:val="00EC44C6"/>
    <w:rsid w:val="00EC5628"/>
    <w:rsid w:val="00EC569C"/>
    <w:rsid w:val="00EC5B1A"/>
    <w:rsid w:val="00EC6C40"/>
    <w:rsid w:val="00EC7018"/>
    <w:rsid w:val="00EC7F47"/>
    <w:rsid w:val="00ED03EE"/>
    <w:rsid w:val="00ED0881"/>
    <w:rsid w:val="00ED0E6D"/>
    <w:rsid w:val="00ED1649"/>
    <w:rsid w:val="00ED23BC"/>
    <w:rsid w:val="00ED2EAB"/>
    <w:rsid w:val="00ED31FE"/>
    <w:rsid w:val="00ED3285"/>
    <w:rsid w:val="00ED3C2F"/>
    <w:rsid w:val="00ED3E1A"/>
    <w:rsid w:val="00ED42B8"/>
    <w:rsid w:val="00ED4537"/>
    <w:rsid w:val="00ED48B1"/>
    <w:rsid w:val="00ED4C97"/>
    <w:rsid w:val="00ED5052"/>
    <w:rsid w:val="00ED5346"/>
    <w:rsid w:val="00ED581E"/>
    <w:rsid w:val="00ED5A90"/>
    <w:rsid w:val="00ED6828"/>
    <w:rsid w:val="00ED6D02"/>
    <w:rsid w:val="00ED6F12"/>
    <w:rsid w:val="00ED7621"/>
    <w:rsid w:val="00EE055A"/>
    <w:rsid w:val="00EE05EB"/>
    <w:rsid w:val="00EE11F4"/>
    <w:rsid w:val="00EE14AC"/>
    <w:rsid w:val="00EE1EA1"/>
    <w:rsid w:val="00EE240C"/>
    <w:rsid w:val="00EE25A1"/>
    <w:rsid w:val="00EE30CC"/>
    <w:rsid w:val="00EE3FC8"/>
    <w:rsid w:val="00EE443B"/>
    <w:rsid w:val="00EE4BFB"/>
    <w:rsid w:val="00EE4D2F"/>
    <w:rsid w:val="00EE5863"/>
    <w:rsid w:val="00EE5933"/>
    <w:rsid w:val="00EE66DA"/>
    <w:rsid w:val="00EE69FC"/>
    <w:rsid w:val="00EE6E3C"/>
    <w:rsid w:val="00EF0F16"/>
    <w:rsid w:val="00EF0FF2"/>
    <w:rsid w:val="00EF1279"/>
    <w:rsid w:val="00EF148E"/>
    <w:rsid w:val="00EF1953"/>
    <w:rsid w:val="00EF1DF5"/>
    <w:rsid w:val="00EF23D6"/>
    <w:rsid w:val="00EF2503"/>
    <w:rsid w:val="00EF2780"/>
    <w:rsid w:val="00EF30D9"/>
    <w:rsid w:val="00EF3150"/>
    <w:rsid w:val="00EF31F1"/>
    <w:rsid w:val="00EF3CB5"/>
    <w:rsid w:val="00EF4044"/>
    <w:rsid w:val="00EF408D"/>
    <w:rsid w:val="00EF50F6"/>
    <w:rsid w:val="00EF55E2"/>
    <w:rsid w:val="00EF58A6"/>
    <w:rsid w:val="00EF5AD7"/>
    <w:rsid w:val="00EF5C8E"/>
    <w:rsid w:val="00EF610D"/>
    <w:rsid w:val="00EF6C21"/>
    <w:rsid w:val="00EF7063"/>
    <w:rsid w:val="00EF765E"/>
    <w:rsid w:val="00EF7ABF"/>
    <w:rsid w:val="00EF7ED9"/>
    <w:rsid w:val="00F02F22"/>
    <w:rsid w:val="00F03ABB"/>
    <w:rsid w:val="00F03F2D"/>
    <w:rsid w:val="00F0616A"/>
    <w:rsid w:val="00F067C2"/>
    <w:rsid w:val="00F07353"/>
    <w:rsid w:val="00F07605"/>
    <w:rsid w:val="00F07831"/>
    <w:rsid w:val="00F1046B"/>
    <w:rsid w:val="00F1068E"/>
    <w:rsid w:val="00F10D98"/>
    <w:rsid w:val="00F1118A"/>
    <w:rsid w:val="00F12C6C"/>
    <w:rsid w:val="00F12FEC"/>
    <w:rsid w:val="00F13AAA"/>
    <w:rsid w:val="00F13D4E"/>
    <w:rsid w:val="00F1495B"/>
    <w:rsid w:val="00F14CBB"/>
    <w:rsid w:val="00F15240"/>
    <w:rsid w:val="00F15408"/>
    <w:rsid w:val="00F163D7"/>
    <w:rsid w:val="00F16DCD"/>
    <w:rsid w:val="00F16E1B"/>
    <w:rsid w:val="00F16E57"/>
    <w:rsid w:val="00F20620"/>
    <w:rsid w:val="00F21B4C"/>
    <w:rsid w:val="00F21BC8"/>
    <w:rsid w:val="00F229DA"/>
    <w:rsid w:val="00F22B13"/>
    <w:rsid w:val="00F22D52"/>
    <w:rsid w:val="00F23EDB"/>
    <w:rsid w:val="00F249D7"/>
    <w:rsid w:val="00F2537E"/>
    <w:rsid w:val="00F25AE6"/>
    <w:rsid w:val="00F26090"/>
    <w:rsid w:val="00F26A5A"/>
    <w:rsid w:val="00F26EBD"/>
    <w:rsid w:val="00F278C7"/>
    <w:rsid w:val="00F27A4A"/>
    <w:rsid w:val="00F27DAD"/>
    <w:rsid w:val="00F306EC"/>
    <w:rsid w:val="00F30830"/>
    <w:rsid w:val="00F30AE0"/>
    <w:rsid w:val="00F313AF"/>
    <w:rsid w:val="00F316BD"/>
    <w:rsid w:val="00F3185D"/>
    <w:rsid w:val="00F322E4"/>
    <w:rsid w:val="00F32EAB"/>
    <w:rsid w:val="00F34148"/>
    <w:rsid w:val="00F34288"/>
    <w:rsid w:val="00F350BE"/>
    <w:rsid w:val="00F351C5"/>
    <w:rsid w:val="00F358AC"/>
    <w:rsid w:val="00F359AD"/>
    <w:rsid w:val="00F3613F"/>
    <w:rsid w:val="00F362C2"/>
    <w:rsid w:val="00F366BE"/>
    <w:rsid w:val="00F36723"/>
    <w:rsid w:val="00F3712D"/>
    <w:rsid w:val="00F37134"/>
    <w:rsid w:val="00F40F7E"/>
    <w:rsid w:val="00F4176B"/>
    <w:rsid w:val="00F418E3"/>
    <w:rsid w:val="00F4270D"/>
    <w:rsid w:val="00F429AD"/>
    <w:rsid w:val="00F42C49"/>
    <w:rsid w:val="00F42D41"/>
    <w:rsid w:val="00F42E4F"/>
    <w:rsid w:val="00F43317"/>
    <w:rsid w:val="00F438AF"/>
    <w:rsid w:val="00F43F1A"/>
    <w:rsid w:val="00F447FD"/>
    <w:rsid w:val="00F44E75"/>
    <w:rsid w:val="00F4757C"/>
    <w:rsid w:val="00F47AA5"/>
    <w:rsid w:val="00F47B08"/>
    <w:rsid w:val="00F501A2"/>
    <w:rsid w:val="00F50538"/>
    <w:rsid w:val="00F5165F"/>
    <w:rsid w:val="00F51ACC"/>
    <w:rsid w:val="00F51FEC"/>
    <w:rsid w:val="00F526CB"/>
    <w:rsid w:val="00F5272B"/>
    <w:rsid w:val="00F528DB"/>
    <w:rsid w:val="00F5294D"/>
    <w:rsid w:val="00F532D0"/>
    <w:rsid w:val="00F53427"/>
    <w:rsid w:val="00F539F3"/>
    <w:rsid w:val="00F551D6"/>
    <w:rsid w:val="00F5538C"/>
    <w:rsid w:val="00F557A8"/>
    <w:rsid w:val="00F55C34"/>
    <w:rsid w:val="00F55D09"/>
    <w:rsid w:val="00F56201"/>
    <w:rsid w:val="00F60C01"/>
    <w:rsid w:val="00F60F41"/>
    <w:rsid w:val="00F6137B"/>
    <w:rsid w:val="00F61661"/>
    <w:rsid w:val="00F6169B"/>
    <w:rsid w:val="00F619D0"/>
    <w:rsid w:val="00F62333"/>
    <w:rsid w:val="00F62750"/>
    <w:rsid w:val="00F62898"/>
    <w:rsid w:val="00F62F38"/>
    <w:rsid w:val="00F6377E"/>
    <w:rsid w:val="00F63D2D"/>
    <w:rsid w:val="00F645BD"/>
    <w:rsid w:val="00F64817"/>
    <w:rsid w:val="00F64843"/>
    <w:rsid w:val="00F65548"/>
    <w:rsid w:val="00F65CAF"/>
    <w:rsid w:val="00F66C12"/>
    <w:rsid w:val="00F67385"/>
    <w:rsid w:val="00F70208"/>
    <w:rsid w:val="00F70630"/>
    <w:rsid w:val="00F7075D"/>
    <w:rsid w:val="00F707A2"/>
    <w:rsid w:val="00F70B80"/>
    <w:rsid w:val="00F70FB8"/>
    <w:rsid w:val="00F725D3"/>
    <w:rsid w:val="00F72928"/>
    <w:rsid w:val="00F72F66"/>
    <w:rsid w:val="00F7319D"/>
    <w:rsid w:val="00F752A3"/>
    <w:rsid w:val="00F758EA"/>
    <w:rsid w:val="00F75A12"/>
    <w:rsid w:val="00F76051"/>
    <w:rsid w:val="00F7649E"/>
    <w:rsid w:val="00F7696F"/>
    <w:rsid w:val="00F76CC6"/>
    <w:rsid w:val="00F77312"/>
    <w:rsid w:val="00F804AF"/>
    <w:rsid w:val="00F80810"/>
    <w:rsid w:val="00F818C4"/>
    <w:rsid w:val="00F81F21"/>
    <w:rsid w:val="00F82D2A"/>
    <w:rsid w:val="00F83617"/>
    <w:rsid w:val="00F84A21"/>
    <w:rsid w:val="00F854BB"/>
    <w:rsid w:val="00F857E7"/>
    <w:rsid w:val="00F85AF9"/>
    <w:rsid w:val="00F8712C"/>
    <w:rsid w:val="00F875EC"/>
    <w:rsid w:val="00F87971"/>
    <w:rsid w:val="00F90273"/>
    <w:rsid w:val="00F918BC"/>
    <w:rsid w:val="00F91F12"/>
    <w:rsid w:val="00F92295"/>
    <w:rsid w:val="00F922B3"/>
    <w:rsid w:val="00F93439"/>
    <w:rsid w:val="00F93FC3"/>
    <w:rsid w:val="00F94FED"/>
    <w:rsid w:val="00F9516E"/>
    <w:rsid w:val="00F9675D"/>
    <w:rsid w:val="00F97446"/>
    <w:rsid w:val="00F976B2"/>
    <w:rsid w:val="00F97CA1"/>
    <w:rsid w:val="00FA01D4"/>
    <w:rsid w:val="00FA051A"/>
    <w:rsid w:val="00FA0E27"/>
    <w:rsid w:val="00FA117D"/>
    <w:rsid w:val="00FA11D3"/>
    <w:rsid w:val="00FA120B"/>
    <w:rsid w:val="00FA1241"/>
    <w:rsid w:val="00FA1762"/>
    <w:rsid w:val="00FA17E2"/>
    <w:rsid w:val="00FA2CAF"/>
    <w:rsid w:val="00FA3530"/>
    <w:rsid w:val="00FA4923"/>
    <w:rsid w:val="00FA493E"/>
    <w:rsid w:val="00FA4B81"/>
    <w:rsid w:val="00FA4E9B"/>
    <w:rsid w:val="00FA53A8"/>
    <w:rsid w:val="00FA5FDC"/>
    <w:rsid w:val="00FA63F3"/>
    <w:rsid w:val="00FA65D3"/>
    <w:rsid w:val="00FA7B78"/>
    <w:rsid w:val="00FB071C"/>
    <w:rsid w:val="00FB0897"/>
    <w:rsid w:val="00FB19F1"/>
    <w:rsid w:val="00FB20E3"/>
    <w:rsid w:val="00FB2308"/>
    <w:rsid w:val="00FB2C4A"/>
    <w:rsid w:val="00FB31AE"/>
    <w:rsid w:val="00FB3358"/>
    <w:rsid w:val="00FB3915"/>
    <w:rsid w:val="00FB44E1"/>
    <w:rsid w:val="00FB4E4B"/>
    <w:rsid w:val="00FB51C9"/>
    <w:rsid w:val="00FB6B23"/>
    <w:rsid w:val="00FB6E71"/>
    <w:rsid w:val="00FB7415"/>
    <w:rsid w:val="00FC1924"/>
    <w:rsid w:val="00FC1ECA"/>
    <w:rsid w:val="00FC2639"/>
    <w:rsid w:val="00FC2829"/>
    <w:rsid w:val="00FC2FAD"/>
    <w:rsid w:val="00FC2FF3"/>
    <w:rsid w:val="00FC313D"/>
    <w:rsid w:val="00FC3C42"/>
    <w:rsid w:val="00FC436C"/>
    <w:rsid w:val="00FC457D"/>
    <w:rsid w:val="00FC4BFD"/>
    <w:rsid w:val="00FC4E50"/>
    <w:rsid w:val="00FC5CBF"/>
    <w:rsid w:val="00FC61EF"/>
    <w:rsid w:val="00FC6B61"/>
    <w:rsid w:val="00FC709F"/>
    <w:rsid w:val="00FC776F"/>
    <w:rsid w:val="00FD0186"/>
    <w:rsid w:val="00FD0C22"/>
    <w:rsid w:val="00FD1463"/>
    <w:rsid w:val="00FD2430"/>
    <w:rsid w:val="00FD3F0E"/>
    <w:rsid w:val="00FD4323"/>
    <w:rsid w:val="00FD5BBC"/>
    <w:rsid w:val="00FD5C59"/>
    <w:rsid w:val="00FD5C6A"/>
    <w:rsid w:val="00FD61F8"/>
    <w:rsid w:val="00FD643A"/>
    <w:rsid w:val="00FD7415"/>
    <w:rsid w:val="00FD7BFA"/>
    <w:rsid w:val="00FE009F"/>
    <w:rsid w:val="00FE04B7"/>
    <w:rsid w:val="00FE0CD3"/>
    <w:rsid w:val="00FE0EC0"/>
    <w:rsid w:val="00FE2674"/>
    <w:rsid w:val="00FE293A"/>
    <w:rsid w:val="00FE3E8A"/>
    <w:rsid w:val="00FE3ED6"/>
    <w:rsid w:val="00FE50FB"/>
    <w:rsid w:val="00FE59B6"/>
    <w:rsid w:val="00FE5F9A"/>
    <w:rsid w:val="00FE68AF"/>
    <w:rsid w:val="00FE6B3E"/>
    <w:rsid w:val="00FE7B36"/>
    <w:rsid w:val="00FF0257"/>
    <w:rsid w:val="00FF13D7"/>
    <w:rsid w:val="00FF1E3F"/>
    <w:rsid w:val="00FF3F8B"/>
    <w:rsid w:val="00FF4517"/>
    <w:rsid w:val="00FF4C6B"/>
    <w:rsid w:val="00FF5492"/>
    <w:rsid w:val="00FF597A"/>
    <w:rsid w:val="00FF5AF5"/>
    <w:rsid w:val="00FF65A1"/>
    <w:rsid w:val="00FF663B"/>
    <w:rsid w:val="00FF66F1"/>
    <w:rsid w:val="00FF7009"/>
    <w:rsid w:val="00FF7D0C"/>
    <w:rsid w:val="00FF7E57"/>
    <w:rsid w:val="00FF7EB6"/>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75491B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FD5C6A"/>
    <w:pPr>
      <w:widowControl w:val="0"/>
      <w:suppressAutoHyphens/>
      <w:spacing w:after="246" w:line="240" w:lineRule="atLeast"/>
    </w:pPr>
    <w:rPr>
      <w:rFonts w:ascii="Amnesty Trade Gothic" w:hAnsi="Amnesty Trade Gothic"/>
      <w:color w:val="000000"/>
      <w:sz w:val="18"/>
      <w:lang w:val="en-GB" w:eastAsia="ar-SA"/>
    </w:rPr>
  </w:style>
  <w:style w:type="paragraph" w:styleId="Heading1">
    <w:name w:val="heading 1"/>
    <w:basedOn w:val="Normal"/>
    <w:next w:val="Normal"/>
    <w:link w:val="Heading1Char"/>
    <w:qFormat/>
    <w:rsid w:val="007170D4"/>
    <w:pPr>
      <w:keepNext/>
      <w:widowControl/>
      <w:numPr>
        <w:numId w:val="1"/>
      </w:numPr>
      <w:spacing w:line="560" w:lineRule="atLeast"/>
      <w:outlineLvl w:val="0"/>
    </w:pPr>
    <w:rPr>
      <w:rFonts w:ascii="Amnesty Trade Gothic Cn" w:hAnsi="Amnesty Trade Gothic Cn"/>
      <w:b/>
      <w:caps/>
      <w:color w:val="FF0000"/>
      <w:kern w:val="1"/>
      <w:sz w:val="56"/>
      <w:szCs w:val="32"/>
    </w:rPr>
  </w:style>
  <w:style w:type="paragraph" w:styleId="Heading2">
    <w:name w:val="heading 2"/>
    <w:basedOn w:val="Normal"/>
    <w:next w:val="Normal"/>
    <w:link w:val="Heading2Char"/>
    <w:uiPriority w:val="9"/>
    <w:qFormat/>
    <w:rsid w:val="007170D4"/>
    <w:pPr>
      <w:keepNext/>
      <w:widowControl/>
      <w:numPr>
        <w:ilvl w:val="1"/>
        <w:numId w:val="1"/>
      </w:numPr>
      <w:spacing w:after="0"/>
      <w:outlineLvl w:val="1"/>
    </w:pPr>
    <w:rPr>
      <w:rFonts w:ascii="Amnesty Trade Gothic Cn" w:hAnsi="Amnesty Trade Gothic Cn"/>
      <w:color w:val="FF0000"/>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FD5C6A"/>
    <w:pPr>
      <w:numPr>
        <w:ilvl w:val="3"/>
        <w:numId w:val="1"/>
      </w:numPr>
      <w:outlineLvl w:val="3"/>
    </w:pPr>
  </w:style>
  <w:style w:type="paragraph" w:styleId="Heading5">
    <w:name w:val="heading 5"/>
    <w:basedOn w:val="Heading4"/>
    <w:next w:val="Normal"/>
    <w:link w:val="Heading5Char"/>
    <w:qFormat/>
    <w:rsid w:val="00FD5C6A"/>
    <w:pPr>
      <w:numPr>
        <w:ilvl w:val="4"/>
      </w:numPr>
      <w:outlineLvl w:val="4"/>
    </w:pPr>
  </w:style>
  <w:style w:type="paragraph" w:styleId="Heading6">
    <w:name w:val="heading 6"/>
    <w:basedOn w:val="Heading5"/>
    <w:next w:val="Normal"/>
    <w:link w:val="Heading6Char"/>
    <w:qFormat/>
    <w:rsid w:val="00FD5C6A"/>
    <w:pPr>
      <w:numPr>
        <w:ilvl w:val="5"/>
      </w:numPr>
      <w:outlineLvl w:val="5"/>
    </w:pPr>
  </w:style>
  <w:style w:type="paragraph" w:styleId="Heading7">
    <w:name w:val="heading 7"/>
    <w:basedOn w:val="Heading6"/>
    <w:next w:val="Normal"/>
    <w:link w:val="Heading7Char"/>
    <w:qFormat/>
    <w:rsid w:val="00FD5C6A"/>
    <w:pPr>
      <w:numPr>
        <w:ilvl w:val="6"/>
      </w:numPr>
      <w:outlineLvl w:val="6"/>
    </w:pPr>
  </w:style>
  <w:style w:type="paragraph" w:styleId="Heading8">
    <w:name w:val="heading 8"/>
    <w:basedOn w:val="Heading7"/>
    <w:next w:val="Normal"/>
    <w:link w:val="Heading8Char"/>
    <w:qFormat/>
    <w:rsid w:val="00FD5C6A"/>
    <w:pPr>
      <w:numPr>
        <w:ilvl w:val="7"/>
      </w:numPr>
      <w:outlineLvl w:val="7"/>
    </w:pPr>
  </w:style>
  <w:style w:type="paragraph" w:styleId="Heading9">
    <w:name w:val="heading 9"/>
    <w:basedOn w:val="Heading8"/>
    <w:next w:val="Normal"/>
    <w:link w:val="Heading9Char"/>
    <w:qFormat/>
    <w:rsid w:val="00FD5C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83160"/>
    <w:rPr>
      <w:rFonts w:ascii="Tahoma" w:hAnsi="Tahoma" w:cs="Tahoma"/>
      <w:sz w:val="16"/>
      <w:szCs w:val="16"/>
    </w:rPr>
  </w:style>
  <w:style w:type="character" w:customStyle="1" w:styleId="BalloonTextChar">
    <w:name w:val="Balloon Text Char"/>
    <w:basedOn w:val="DefaultParagraphFont"/>
    <w:uiPriority w:val="99"/>
    <w:semiHidden/>
    <w:rsid w:val="00E003A6"/>
    <w:rPr>
      <w:rFonts w:ascii="Lucida Grande" w:hAnsi="Lucida Grande"/>
      <w:sz w:val="18"/>
      <w:szCs w:val="18"/>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character" w:styleId="Hyperlink">
    <w:name w:val="Hyperlink"/>
    <w:uiPriority w:val="99"/>
    <w:rsid w:val="00891552"/>
    <w:rPr>
      <w:color w:val="0000FF"/>
      <w:u w:val="single"/>
    </w:rPr>
  </w:style>
  <w:style w:type="character" w:customStyle="1" w:styleId="AIBodyTextChar">
    <w:name w:val="AI Body Text Char"/>
    <w:link w:val="AIBodyText"/>
    <w:rsid w:val="00891552"/>
    <w:rPr>
      <w:rFonts w:ascii="Amnesty Trade Gothic" w:hAnsi="Amnesty Trade Gothic"/>
      <w:color w:val="000000"/>
      <w:sz w:val="18"/>
      <w:szCs w:val="24"/>
      <w:lang w:val="en-GB" w:eastAsia="ar-SA" w:bidi="ar-SA"/>
    </w:rPr>
  </w:style>
  <w:style w:type="character" w:styleId="EndnoteReference">
    <w:name w:val="endnote reference"/>
    <w:semiHidden/>
    <w:rsid w:val="00FD5C6A"/>
    <w:rPr>
      <w:vertAlign w:val="superscript"/>
    </w:rPr>
  </w:style>
  <w:style w:type="character" w:customStyle="1" w:styleId="Heading1Char">
    <w:name w:val="Heading 1 Char"/>
    <w:link w:val="Heading1"/>
    <w:rsid w:val="007170D4"/>
    <w:rPr>
      <w:rFonts w:ascii="Amnesty Trade Gothic Cn" w:hAnsi="Amnesty Trade Gothic Cn"/>
      <w:b/>
      <w:caps/>
      <w:color w:val="FF0000"/>
      <w:kern w:val="1"/>
      <w:sz w:val="56"/>
      <w:szCs w:val="32"/>
      <w:lang w:val="en-GB" w:eastAsia="ar-SA"/>
    </w:rPr>
  </w:style>
  <w:style w:type="character" w:styleId="FootnoteReference">
    <w:name w:val="footnote reference"/>
    <w:aliases w:val="Footnote number,Appel note de bas de page"/>
    <w:uiPriority w:val="99"/>
    <w:rsid w:val="00FD5C6A"/>
    <w:rPr>
      <w:vertAlign w:val="superscript"/>
    </w:rPr>
  </w:style>
  <w:style w:type="paragraph" w:styleId="BodyText">
    <w:name w:val="Body Text"/>
    <w:basedOn w:val="Normal"/>
    <w:link w:val="BodyTextChar"/>
    <w:rsid w:val="00FD5C6A"/>
    <w:pPr>
      <w:spacing w:after="120"/>
    </w:pPr>
  </w:style>
  <w:style w:type="character" w:styleId="Emphasis">
    <w:name w:val="Emphasis"/>
    <w:uiPriority w:val="20"/>
    <w:qFormat/>
    <w:rsid w:val="00283160"/>
    <w:rPr>
      <w:i/>
      <w:iCs/>
    </w:rPr>
  </w:style>
  <w:style w:type="paragraph" w:customStyle="1" w:styleId="AILeadQuote">
    <w:name w:val="AI Lead Quote"/>
    <w:basedOn w:val="Normal"/>
    <w:rsid w:val="00FD5C6A"/>
    <w:pPr>
      <w:spacing w:before="1200" w:after="0"/>
    </w:pPr>
    <w:rPr>
      <w:rFonts w:ascii="Amnesty Trade Gothic Cn" w:hAnsi="Amnesty Trade Gothic Cn"/>
      <w:b/>
      <w:color w:val="999999"/>
      <w:sz w:val="40"/>
    </w:rPr>
  </w:style>
  <w:style w:type="paragraph" w:customStyle="1" w:styleId="AIOddPageFooter">
    <w:name w:val="AI Odd Page Footer"/>
    <w:basedOn w:val="Normal"/>
    <w:rsid w:val="004E169F"/>
    <w:pPr>
      <w:tabs>
        <w:tab w:val="left" w:pos="3402"/>
        <w:tab w:val="right" w:pos="8640"/>
      </w:tabs>
      <w:jc w:val="right"/>
    </w:pPr>
    <w:rPr>
      <w:rFonts w:ascii="Amnesty Trade Gothic Cn" w:hAnsi="Amnesty Trade Gothic Cn"/>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link w:val="AIBodyTextChar"/>
    <w:rsid w:val="0086333C"/>
  </w:style>
  <w:style w:type="paragraph" w:styleId="EndnoteText">
    <w:name w:val="endnote text"/>
    <w:basedOn w:val="Normal"/>
    <w:link w:val="EndnoteTextChar"/>
    <w:semiHidden/>
    <w:rsid w:val="005B4A41"/>
    <w:pPr>
      <w:spacing w:after="120"/>
    </w:pPr>
    <w:rPr>
      <w:sz w:val="16"/>
    </w:rPr>
  </w:style>
  <w:style w:type="paragraph" w:customStyle="1" w:styleId="AISUBTITLE">
    <w:name w:val="AI SUBTITLE"/>
    <w:basedOn w:val="Normal"/>
    <w:rsid w:val="00FD5C6A"/>
    <w:pPr>
      <w:spacing w:before="300"/>
    </w:pPr>
    <w:rPr>
      <w:rFonts w:ascii="Amnesty Trade Gothic Cn" w:hAnsi="Amnesty Trade Gothic Cn"/>
      <w:caps/>
      <w:sz w:val="48"/>
    </w:rPr>
  </w:style>
  <w:style w:type="paragraph" w:customStyle="1" w:styleId="AIFlyleafText">
    <w:name w:val="AI Flyleaf Text"/>
    <w:basedOn w:val="Normal"/>
    <w:rsid w:val="00FD5C6A"/>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character" w:customStyle="1" w:styleId="titulo1-v14-col">
    <w:name w:val="titulo1-v14-col"/>
    <w:basedOn w:val="DefaultParagraphFont"/>
    <w:rsid w:val="00283160"/>
  </w:style>
  <w:style w:type="character" w:customStyle="1" w:styleId="AIBodyTextCharChar1">
    <w:name w:val="AI Body Text Char Char1"/>
    <w:rsid w:val="00283160"/>
    <w:rPr>
      <w:rFonts w:ascii="Amnesty Trade Gothic" w:hAnsi="Amnesty Trade Gothic"/>
      <w:color w:val="000000"/>
      <w:sz w:val="18"/>
      <w:szCs w:val="24"/>
      <w:lang w:val="en-GB" w:eastAsia="ar-SA" w:bidi="ar-SA"/>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customStyle="1" w:styleId="Style4">
    <w:name w:val="Style4"/>
    <w:basedOn w:val="FootnoteText"/>
    <w:next w:val="FootnoteText"/>
    <w:link w:val="Style4Char"/>
    <w:rsid w:val="00283160"/>
    <w:pPr>
      <w:spacing w:after="246" w:line="200" w:lineRule="exact"/>
    </w:pPr>
  </w:style>
  <w:style w:type="paragraph" w:styleId="FootnoteText">
    <w:name w:val="footnote text"/>
    <w:aliases w:val=" Char,Char AI,Footnote Text Char1 Char,Footnote Text Char Char1 Char, Char Char Char1 Char,Char AI Char Char1 Char,Footnote Text Char Char Char Char, Char Char Char Char Char,Char AI Char Char Char Char,Char Char,Char,Footnote reference"/>
    <w:basedOn w:val="Normal"/>
    <w:link w:val="FootnoteTextChar"/>
    <w:uiPriority w:val="99"/>
    <w:semiHidden/>
    <w:rsid w:val="00E1436F"/>
    <w:pPr>
      <w:spacing w:after="120"/>
    </w:pPr>
    <w:rPr>
      <w:sz w:val="16"/>
    </w:rPr>
  </w:style>
  <w:style w:type="paragraph" w:customStyle="1" w:styleId="AITextquote">
    <w:name w:val="AI Text quote"/>
    <w:basedOn w:val="Normal"/>
    <w:rsid w:val="00FD5C6A"/>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uiPriority w:val="39"/>
    <w:rsid w:val="00FD5C6A"/>
    <w:pPr>
      <w:ind w:left="180"/>
    </w:pPr>
  </w:style>
  <w:style w:type="paragraph" w:styleId="TOC1">
    <w:name w:val="toc 1"/>
    <w:basedOn w:val="Normal"/>
    <w:next w:val="Normal"/>
    <w:uiPriority w:val="39"/>
    <w:rsid w:val="00FD5C6A"/>
  </w:style>
  <w:style w:type="paragraph" w:styleId="TOC3">
    <w:name w:val="toc 3"/>
    <w:basedOn w:val="Normal"/>
    <w:next w:val="Normal"/>
    <w:uiPriority w:val="39"/>
    <w:rsid w:val="00FD5C6A"/>
    <w:pPr>
      <w:ind w:left="360"/>
    </w:pPr>
  </w:style>
  <w:style w:type="paragraph" w:styleId="TOC4">
    <w:name w:val="toc 4"/>
    <w:basedOn w:val="Normal"/>
    <w:next w:val="Normal"/>
    <w:uiPriority w:val="39"/>
    <w:rsid w:val="00FD5C6A"/>
    <w:pPr>
      <w:ind w:left="540"/>
    </w:pPr>
  </w:style>
  <w:style w:type="paragraph" w:styleId="TOC5">
    <w:name w:val="toc 5"/>
    <w:basedOn w:val="Normal"/>
    <w:next w:val="Normal"/>
    <w:uiPriority w:val="39"/>
    <w:rsid w:val="00FD5C6A"/>
    <w:pPr>
      <w:ind w:left="720"/>
    </w:pPr>
  </w:style>
  <w:style w:type="paragraph" w:styleId="TOC6">
    <w:name w:val="toc 6"/>
    <w:basedOn w:val="Normal"/>
    <w:next w:val="Normal"/>
    <w:uiPriority w:val="39"/>
    <w:rsid w:val="00FD5C6A"/>
    <w:pPr>
      <w:ind w:left="900"/>
    </w:pPr>
  </w:style>
  <w:style w:type="paragraph" w:styleId="TOC7">
    <w:name w:val="toc 7"/>
    <w:basedOn w:val="Normal"/>
    <w:next w:val="Normal"/>
    <w:uiPriority w:val="39"/>
    <w:rsid w:val="00FD5C6A"/>
    <w:pPr>
      <w:ind w:left="1080"/>
    </w:pPr>
  </w:style>
  <w:style w:type="paragraph" w:styleId="TOC8">
    <w:name w:val="toc 8"/>
    <w:basedOn w:val="Normal"/>
    <w:next w:val="Normal"/>
    <w:uiPriority w:val="39"/>
    <w:rsid w:val="00FD5C6A"/>
    <w:pPr>
      <w:ind w:left="1260"/>
    </w:pPr>
  </w:style>
  <w:style w:type="paragraph" w:styleId="TOC9">
    <w:name w:val="toc 9"/>
    <w:basedOn w:val="Normal"/>
    <w:next w:val="Normal"/>
    <w:uiPriority w:val="39"/>
    <w:rsid w:val="00FD5C6A"/>
    <w:pPr>
      <w:ind w:left="1440"/>
    </w:pPr>
  </w:style>
  <w:style w:type="paragraph" w:customStyle="1" w:styleId="AIEvenPageHeader">
    <w:name w:val="AI Even Page Header"/>
    <w:basedOn w:val="Normal"/>
    <w:rsid w:val="00F16E1B"/>
    <w:pPr>
      <w:tabs>
        <w:tab w:val="center" w:pos="4320"/>
        <w:tab w:val="right" w:pos="8640"/>
      </w:tabs>
      <w:spacing w:after="0" w:line="200" w:lineRule="atLeast"/>
      <w:ind w:right="357"/>
    </w:pPr>
    <w:rPr>
      <w:rFonts w:ascii="Amnesty Trade Gothic Cn" w:hAnsi="Amnesty Trade Gothic Cn"/>
      <w:sz w:val="16"/>
      <w:szCs w:val="20"/>
      <w:lang w:val="en-US"/>
    </w:r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lang w:val="en-US"/>
    </w:rPr>
  </w:style>
  <w:style w:type="paragraph" w:customStyle="1" w:styleId="AITITLE">
    <w:name w:val="AI TITLE"/>
    <w:basedOn w:val="Normal"/>
    <w:rsid w:val="00FD5C6A"/>
    <w:rPr>
      <w:rFonts w:ascii="Amnesty Trade Gothic Cn" w:hAnsi="Amnesty Trade Gothic Cn"/>
      <w:b/>
      <w:caps/>
      <w:kern w:val="1"/>
      <w:sz w:val="80"/>
      <w:szCs w:val="32"/>
    </w:rPr>
  </w:style>
  <w:style w:type="paragraph" w:customStyle="1" w:styleId="AIEvenPageFooter">
    <w:name w:val="AI Even Page Footer"/>
    <w:basedOn w:val="Normal"/>
    <w:rsid w:val="004E169F"/>
    <w:pPr>
      <w:tabs>
        <w:tab w:val="left" w:pos="3402"/>
      </w:tabs>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character" w:customStyle="1" w:styleId="Style4Char">
    <w:name w:val="Style4 Char"/>
    <w:link w:val="Style4"/>
    <w:rsid w:val="00283160"/>
    <w:rPr>
      <w:rFonts w:ascii="Amnesty Trade Gothic" w:hAnsi="Amnesty Trade Gothic"/>
      <w:color w:val="000000"/>
      <w:sz w:val="16"/>
      <w:szCs w:val="24"/>
      <w:lang w:val="en-GB" w:eastAsia="ar-SA" w:bidi="ar-SA"/>
    </w:rPr>
  </w:style>
  <w:style w:type="character" w:styleId="CommentReference">
    <w:name w:val="annotation reference"/>
    <w:semiHidden/>
    <w:rsid w:val="00283160"/>
    <w:rPr>
      <w:sz w:val="16"/>
      <w:szCs w:val="16"/>
    </w:rPr>
  </w:style>
  <w:style w:type="paragraph" w:styleId="CommentText">
    <w:name w:val="annotation text"/>
    <w:basedOn w:val="Normal"/>
    <w:link w:val="CommentTextChar"/>
    <w:semiHidden/>
    <w:rsid w:val="00283160"/>
    <w:rPr>
      <w:sz w:val="20"/>
      <w:szCs w:val="20"/>
    </w:rPr>
  </w:style>
  <w:style w:type="character" w:customStyle="1" w:styleId="AIBodyTextChar1">
    <w:name w:val="AI Body Text Char1"/>
    <w:rsid w:val="00283160"/>
    <w:rPr>
      <w:rFonts w:ascii="Amnesty Trade Gothic" w:hAnsi="Amnesty Trade Gothic"/>
      <w:color w:val="000000"/>
      <w:sz w:val="18"/>
      <w:szCs w:val="24"/>
      <w:lang w:val="en-GB" w:eastAsia="ar-SA" w:bidi="ar-SA"/>
    </w:rPr>
  </w:style>
  <w:style w:type="character" w:customStyle="1" w:styleId="FootnoteTextChar">
    <w:name w:val="Footnote Text Char"/>
    <w:aliases w:val=" Char Char,Char AI Char,Footnote Text Char1 Char Char1,Footnote Text Char Char1 Char Char1, Char Char Char1 Char Char1,Char AI Char Char1 Char Char1,Footnote Text Char Char Char Char Char3, Char Char Char Char Char Char1,Char Char1"/>
    <w:link w:val="FootnoteText"/>
    <w:uiPriority w:val="99"/>
    <w:rsid w:val="00C61EBD"/>
    <w:rPr>
      <w:rFonts w:ascii="Amnesty Trade Gothic" w:hAnsi="Amnesty Trade Gothic"/>
      <w:color w:val="000000"/>
      <w:sz w:val="16"/>
      <w:szCs w:val="24"/>
      <w:lang w:val="en-GB" w:eastAsia="ar-SA" w:bidi="ar-SA"/>
    </w:rPr>
  </w:style>
  <w:style w:type="paragraph" w:customStyle="1" w:styleId="AIBodyTextbolditalicsubhead">
    <w:name w:val="AI Body Text bold italic sub head"/>
    <w:basedOn w:val="AIBodyText"/>
    <w:link w:val="AIBodyTextbolditalicsubheadChar"/>
    <w:rsid w:val="00E57056"/>
    <w:pPr>
      <w:keepNext/>
      <w:keepLines/>
    </w:pPr>
    <w:rPr>
      <w:rFonts w:eastAsia="Times-Roman"/>
      <w:b/>
      <w:bCs/>
      <w:i/>
      <w:iCs/>
    </w:rPr>
  </w:style>
  <w:style w:type="character" w:customStyle="1" w:styleId="AIBodyTextbolditalicsubheadChar">
    <w:name w:val="AI Body Text bold italic sub head Char"/>
    <w:link w:val="AIBodyTextbolditalicsubhead"/>
    <w:rsid w:val="00E57056"/>
    <w:rPr>
      <w:rFonts w:ascii="Amnesty Trade Gothic" w:eastAsia="Times-Roman" w:hAnsi="Amnesty Trade Gothic"/>
      <w:b/>
      <w:bCs/>
      <w:i/>
      <w:iCs/>
      <w:color w:val="000000"/>
      <w:sz w:val="18"/>
      <w:szCs w:val="24"/>
      <w:lang w:val="en-GB" w:eastAsia="ar-SA" w:bidi="ar-SA"/>
    </w:rPr>
  </w:style>
  <w:style w:type="character" w:customStyle="1" w:styleId="Heading3Char">
    <w:name w:val="Heading 3 Char"/>
    <w:link w:val="Heading3"/>
    <w:rsid w:val="00E57056"/>
    <w:rPr>
      <w:rFonts w:ascii="Amnesty Trade Gothic Cn" w:hAnsi="Amnesty Trade Gothic Cn"/>
      <w:caps/>
      <w:color w:val="000000"/>
      <w:szCs w:val="26"/>
      <w:lang w:val="en-GB" w:eastAsia="ar-SA" w:bidi="ar-SA"/>
    </w:rPr>
  </w:style>
  <w:style w:type="paragraph" w:styleId="NormalWeb">
    <w:name w:val="Normal (Web)"/>
    <w:basedOn w:val="Normal"/>
    <w:uiPriority w:val="99"/>
    <w:rsid w:val="00B67B17"/>
    <w:rPr>
      <w:rFonts w:ascii="Times New Roman" w:hAnsi="Times New Roman"/>
      <w:sz w:val="24"/>
    </w:rPr>
  </w:style>
  <w:style w:type="paragraph" w:styleId="BodyTextIndent">
    <w:name w:val="Body Text Indent"/>
    <w:basedOn w:val="Normal"/>
    <w:link w:val="BodyTextIndentChar"/>
    <w:rsid w:val="00F84A21"/>
    <w:pPr>
      <w:spacing w:after="120"/>
      <w:ind w:left="283"/>
    </w:pPr>
  </w:style>
  <w:style w:type="paragraph" w:styleId="BodyTextIndent3">
    <w:name w:val="Body Text Indent 3"/>
    <w:basedOn w:val="Normal"/>
    <w:link w:val="BodyTextIndent3Char"/>
    <w:rsid w:val="00F84A21"/>
    <w:pPr>
      <w:spacing w:after="120"/>
      <w:ind w:left="283"/>
    </w:pPr>
    <w:rPr>
      <w:sz w:val="16"/>
      <w:szCs w:val="16"/>
    </w:rPr>
  </w:style>
  <w:style w:type="paragraph" w:styleId="Footer">
    <w:name w:val="footer"/>
    <w:basedOn w:val="Normal"/>
    <w:link w:val="FooterChar"/>
    <w:rsid w:val="00991F0E"/>
    <w:pPr>
      <w:widowControl/>
      <w:tabs>
        <w:tab w:val="center" w:pos="4153"/>
        <w:tab w:val="right" w:pos="8306"/>
      </w:tabs>
      <w:suppressAutoHyphens w:val="0"/>
      <w:spacing w:after="0" w:line="240" w:lineRule="auto"/>
    </w:pPr>
    <w:rPr>
      <w:rFonts w:ascii="Times New Roman" w:eastAsia="SimSun" w:hAnsi="Times New Roman"/>
      <w:color w:val="auto"/>
      <w:sz w:val="24"/>
      <w:lang w:eastAsia="zh-CN"/>
    </w:rPr>
  </w:style>
  <w:style w:type="paragraph" w:styleId="CommentSubject">
    <w:name w:val="annotation subject"/>
    <w:basedOn w:val="CommentText"/>
    <w:next w:val="CommentText"/>
    <w:link w:val="CommentSubjectChar"/>
    <w:semiHidden/>
    <w:rsid w:val="001839F6"/>
    <w:rPr>
      <w:b/>
      <w:bCs/>
    </w:rPr>
  </w:style>
  <w:style w:type="character" w:styleId="FollowedHyperlink">
    <w:name w:val="FollowedHyperlink"/>
    <w:rsid w:val="00AD343E"/>
    <w:rPr>
      <w:color w:val="800080"/>
      <w:u w:val="single"/>
    </w:rPr>
  </w:style>
  <w:style w:type="character" w:customStyle="1" w:styleId="FootnoteTextCharChar">
    <w:name w:val="Footnote Text Char Char"/>
    <w:aliases w:val="Footnote Text Char1 Char Char,Footnote Text Char Char1 Char Char, Char Char Char1 Char Char,Char AI Char Char1 Char Char,Footnote Text Char Char Char Char Char, Char Char Char Char Char Char,Char AI Char Char Char Char Char"/>
    <w:rsid w:val="0030265E"/>
    <w:rPr>
      <w:rFonts w:ascii="Amnesty Trade Gothic" w:hAnsi="Amnesty Trade Gothic"/>
      <w:color w:val="000000"/>
      <w:sz w:val="12"/>
      <w:szCs w:val="24"/>
      <w:lang w:val="en-GB" w:eastAsia="ar-SA" w:bidi="ar-SA"/>
    </w:rPr>
  </w:style>
  <w:style w:type="character" w:customStyle="1" w:styleId="FootnoteTextCharCharCharCharCharChar">
    <w:name w:val="Footnote Text Char Char Char Char Char Char"/>
    <w:aliases w:val="Footnote Text Char Char Char Char Char1,Footnote reference Char,FA Fu Char,Footnote Text Char Char Char Char Char2"/>
    <w:semiHidden/>
    <w:rsid w:val="00D7526B"/>
    <w:rPr>
      <w:rFonts w:ascii="Amnesty Trade Gothic" w:hAnsi="Amnesty Trade Gothic"/>
      <w:color w:val="000000"/>
      <w:sz w:val="12"/>
      <w:szCs w:val="24"/>
      <w:lang w:val="en-GB" w:eastAsia="ar-SA" w:bidi="ar-SA"/>
    </w:rPr>
  </w:style>
  <w:style w:type="character" w:customStyle="1" w:styleId="sectionhighlight">
    <w:name w:val="sectionhighlight"/>
    <w:basedOn w:val="DefaultParagraphFont"/>
    <w:rsid w:val="000107F4"/>
  </w:style>
  <w:style w:type="table" w:styleId="TableGrid">
    <w:name w:val="Table Grid"/>
    <w:basedOn w:val="TableNormal"/>
    <w:rsid w:val="00611F16"/>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22E4"/>
    <w:pPr>
      <w:tabs>
        <w:tab w:val="center" w:pos="4153"/>
        <w:tab w:val="right" w:pos="8306"/>
      </w:tabs>
    </w:pPr>
  </w:style>
  <w:style w:type="character" w:styleId="HTMLDefinition">
    <w:name w:val="HTML Definition"/>
    <w:uiPriority w:val="99"/>
    <w:unhideWhenUsed/>
    <w:rsid w:val="003D37CC"/>
    <w:rPr>
      <w:i/>
      <w:iCs/>
    </w:rPr>
  </w:style>
  <w:style w:type="paragraph" w:customStyle="1" w:styleId="subsection">
    <w:name w:val="subsection"/>
    <w:basedOn w:val="Normal"/>
    <w:rsid w:val="0000084E"/>
    <w:pPr>
      <w:widowControl/>
      <w:suppressAutoHyphens w:val="0"/>
      <w:spacing w:before="100" w:beforeAutospacing="1" w:after="100" w:afterAutospacing="1" w:line="240" w:lineRule="auto"/>
    </w:pPr>
    <w:rPr>
      <w:rFonts w:ascii="Times New Roman" w:hAnsi="Times New Roman"/>
      <w:color w:val="auto"/>
      <w:sz w:val="24"/>
      <w:lang w:val="fr-CA" w:eastAsia="fr-CA"/>
    </w:rPr>
  </w:style>
  <w:style w:type="character" w:customStyle="1" w:styleId="normal1">
    <w:name w:val="normal1"/>
    <w:rsid w:val="00F351C5"/>
  </w:style>
  <w:style w:type="character" w:customStyle="1" w:styleId="Quote1">
    <w:name w:val="Quote1"/>
    <w:rsid w:val="00F351C5"/>
  </w:style>
  <w:style w:type="paragraph" w:customStyle="1" w:styleId="title-of-act">
    <w:name w:val="title-of-act"/>
    <w:basedOn w:val="Normal"/>
    <w:rsid w:val="00F351C5"/>
    <w:pPr>
      <w:widowControl/>
      <w:suppressAutoHyphens w:val="0"/>
      <w:spacing w:before="100" w:beforeAutospacing="1" w:after="100" w:afterAutospacing="1" w:line="240" w:lineRule="auto"/>
    </w:pPr>
    <w:rPr>
      <w:rFonts w:ascii="Times New Roman" w:hAnsi="Times New Roman"/>
      <w:noProof/>
      <w:color w:val="auto"/>
      <w:sz w:val="24"/>
      <w:lang w:val="fr-CA" w:eastAsia="fr-FR"/>
    </w:rPr>
  </w:style>
  <w:style w:type="character" w:customStyle="1" w:styleId="Heading2Char">
    <w:name w:val="Heading 2 Char"/>
    <w:basedOn w:val="DefaultParagraphFont"/>
    <w:link w:val="Heading2"/>
    <w:uiPriority w:val="9"/>
    <w:rsid w:val="007170D4"/>
    <w:rPr>
      <w:rFonts w:ascii="Amnesty Trade Gothic Cn" w:hAnsi="Amnesty Trade Gothic Cn"/>
      <w:color w:val="FF0000"/>
      <w:sz w:val="26"/>
      <w:szCs w:val="28"/>
      <w:lang w:val="en-GB" w:eastAsia="ar-SA"/>
    </w:rPr>
  </w:style>
  <w:style w:type="character" w:customStyle="1" w:styleId="Heading4Char">
    <w:name w:val="Heading 4 Char"/>
    <w:basedOn w:val="DefaultParagraphFont"/>
    <w:link w:val="Heading4"/>
    <w:rsid w:val="009E3308"/>
    <w:rPr>
      <w:rFonts w:ascii="Amnesty Trade Gothic" w:hAnsi="Amnesty Trade Gothic"/>
      <w:color w:val="000000"/>
      <w:sz w:val="18"/>
      <w:szCs w:val="24"/>
      <w:lang w:val="en-GB" w:eastAsia="ar-SA"/>
    </w:rPr>
  </w:style>
  <w:style w:type="character" w:customStyle="1" w:styleId="Heading5Char">
    <w:name w:val="Heading 5 Char"/>
    <w:basedOn w:val="DefaultParagraphFont"/>
    <w:link w:val="Heading5"/>
    <w:rsid w:val="009E3308"/>
    <w:rPr>
      <w:rFonts w:ascii="Amnesty Trade Gothic" w:hAnsi="Amnesty Trade Gothic"/>
      <w:color w:val="000000"/>
      <w:sz w:val="18"/>
      <w:szCs w:val="24"/>
      <w:lang w:val="en-GB" w:eastAsia="ar-SA"/>
    </w:rPr>
  </w:style>
  <w:style w:type="character" w:customStyle="1" w:styleId="Heading6Char">
    <w:name w:val="Heading 6 Char"/>
    <w:basedOn w:val="DefaultParagraphFont"/>
    <w:link w:val="Heading6"/>
    <w:rsid w:val="009E3308"/>
    <w:rPr>
      <w:rFonts w:ascii="Amnesty Trade Gothic" w:hAnsi="Amnesty Trade Gothic"/>
      <w:color w:val="000000"/>
      <w:sz w:val="18"/>
      <w:szCs w:val="24"/>
      <w:lang w:val="en-GB" w:eastAsia="ar-SA"/>
    </w:rPr>
  </w:style>
  <w:style w:type="character" w:customStyle="1" w:styleId="Heading7Char">
    <w:name w:val="Heading 7 Char"/>
    <w:basedOn w:val="DefaultParagraphFont"/>
    <w:link w:val="Heading7"/>
    <w:rsid w:val="009E3308"/>
    <w:rPr>
      <w:rFonts w:ascii="Amnesty Trade Gothic" w:hAnsi="Amnesty Trade Gothic"/>
      <w:color w:val="000000"/>
      <w:sz w:val="18"/>
      <w:szCs w:val="24"/>
      <w:lang w:val="en-GB" w:eastAsia="ar-SA"/>
    </w:rPr>
  </w:style>
  <w:style w:type="character" w:customStyle="1" w:styleId="Heading8Char">
    <w:name w:val="Heading 8 Char"/>
    <w:basedOn w:val="DefaultParagraphFont"/>
    <w:link w:val="Heading8"/>
    <w:rsid w:val="009E3308"/>
    <w:rPr>
      <w:rFonts w:ascii="Amnesty Trade Gothic" w:hAnsi="Amnesty Trade Gothic"/>
      <w:color w:val="000000"/>
      <w:sz w:val="18"/>
      <w:szCs w:val="24"/>
      <w:lang w:val="en-GB" w:eastAsia="ar-SA"/>
    </w:rPr>
  </w:style>
  <w:style w:type="character" w:customStyle="1" w:styleId="Heading9Char">
    <w:name w:val="Heading 9 Char"/>
    <w:basedOn w:val="DefaultParagraphFont"/>
    <w:link w:val="Heading9"/>
    <w:rsid w:val="009E3308"/>
    <w:rPr>
      <w:rFonts w:ascii="Amnesty Trade Gothic" w:hAnsi="Amnesty Trade Gothic"/>
      <w:color w:val="000000"/>
      <w:sz w:val="18"/>
      <w:szCs w:val="24"/>
      <w:lang w:val="en-GB" w:eastAsia="ar-SA"/>
    </w:rPr>
  </w:style>
  <w:style w:type="character" w:customStyle="1" w:styleId="EndnoteReference1">
    <w:name w:val="Endnote Reference1"/>
    <w:rsid w:val="009E3308"/>
    <w:rPr>
      <w:vertAlign w:val="superscript"/>
    </w:rPr>
  </w:style>
  <w:style w:type="character" w:customStyle="1" w:styleId="BodyTextChar">
    <w:name w:val="Body Text Char"/>
    <w:basedOn w:val="DefaultParagraphFont"/>
    <w:link w:val="BodyText"/>
    <w:rsid w:val="009E3308"/>
    <w:rPr>
      <w:rFonts w:ascii="Amnesty Trade Gothic" w:hAnsi="Amnesty Trade Gothic"/>
      <w:color w:val="000000"/>
      <w:sz w:val="18"/>
      <w:szCs w:val="24"/>
      <w:lang w:val="en-GB" w:eastAsia="ar-SA"/>
    </w:rPr>
  </w:style>
  <w:style w:type="character" w:customStyle="1" w:styleId="EndnoteTextChar">
    <w:name w:val="Endnote Text Char"/>
    <w:basedOn w:val="DefaultParagraphFont"/>
    <w:link w:val="EndnoteText"/>
    <w:semiHidden/>
    <w:rsid w:val="009E3308"/>
    <w:rPr>
      <w:rFonts w:ascii="Amnesty Trade Gothic" w:hAnsi="Amnesty Trade Gothic"/>
      <w:color w:val="000000"/>
      <w:sz w:val="16"/>
      <w:szCs w:val="24"/>
      <w:lang w:val="en-GB" w:eastAsia="ar-SA"/>
    </w:rPr>
  </w:style>
  <w:style w:type="character" w:customStyle="1" w:styleId="CommentTextChar">
    <w:name w:val="Comment Text Char"/>
    <w:basedOn w:val="DefaultParagraphFont"/>
    <w:link w:val="CommentText"/>
    <w:semiHidden/>
    <w:rsid w:val="009E3308"/>
    <w:rPr>
      <w:rFonts w:ascii="Amnesty Trade Gothic" w:hAnsi="Amnesty Trade Gothic"/>
      <w:color w:val="000000"/>
      <w:lang w:val="en-GB" w:eastAsia="ar-SA"/>
    </w:rPr>
  </w:style>
  <w:style w:type="character" w:customStyle="1" w:styleId="BalloonTextChar1">
    <w:name w:val="Balloon Text Char1"/>
    <w:basedOn w:val="DefaultParagraphFont"/>
    <w:link w:val="BalloonText"/>
    <w:semiHidden/>
    <w:rsid w:val="009E3308"/>
    <w:rPr>
      <w:rFonts w:ascii="Tahoma" w:hAnsi="Tahoma" w:cs="Tahoma"/>
      <w:color w:val="000000"/>
      <w:sz w:val="16"/>
      <w:szCs w:val="16"/>
      <w:lang w:val="en-GB" w:eastAsia="ar-SA"/>
    </w:rPr>
  </w:style>
  <w:style w:type="character" w:customStyle="1" w:styleId="BodyTextIndentChar">
    <w:name w:val="Body Text Indent Char"/>
    <w:basedOn w:val="DefaultParagraphFont"/>
    <w:link w:val="BodyTextIndent"/>
    <w:rsid w:val="009E3308"/>
    <w:rPr>
      <w:rFonts w:ascii="Amnesty Trade Gothic" w:hAnsi="Amnesty Trade Gothic"/>
      <w:color w:val="000000"/>
      <w:sz w:val="18"/>
      <w:szCs w:val="24"/>
      <w:lang w:val="en-GB" w:eastAsia="ar-SA"/>
    </w:rPr>
  </w:style>
  <w:style w:type="character" w:customStyle="1" w:styleId="BodyTextIndent3Char">
    <w:name w:val="Body Text Indent 3 Char"/>
    <w:basedOn w:val="DefaultParagraphFont"/>
    <w:link w:val="BodyTextIndent3"/>
    <w:rsid w:val="009E3308"/>
    <w:rPr>
      <w:rFonts w:ascii="Amnesty Trade Gothic" w:hAnsi="Amnesty Trade Gothic"/>
      <w:color w:val="000000"/>
      <w:sz w:val="16"/>
      <w:szCs w:val="16"/>
      <w:lang w:val="en-GB" w:eastAsia="ar-SA"/>
    </w:rPr>
  </w:style>
  <w:style w:type="character" w:customStyle="1" w:styleId="FooterChar">
    <w:name w:val="Footer Char"/>
    <w:basedOn w:val="DefaultParagraphFont"/>
    <w:link w:val="Footer"/>
    <w:rsid w:val="009E3308"/>
    <w:rPr>
      <w:rFonts w:eastAsia="SimSun"/>
      <w:sz w:val="24"/>
      <w:szCs w:val="24"/>
      <w:lang w:val="en-GB" w:eastAsia="zh-CN"/>
    </w:rPr>
  </w:style>
  <w:style w:type="character" w:customStyle="1" w:styleId="CommentSubjectChar">
    <w:name w:val="Comment Subject Char"/>
    <w:basedOn w:val="CommentTextChar"/>
    <w:link w:val="CommentSubject"/>
    <w:semiHidden/>
    <w:rsid w:val="009E3308"/>
    <w:rPr>
      <w:rFonts w:ascii="Amnesty Trade Gothic" w:hAnsi="Amnesty Trade Gothic"/>
      <w:b/>
      <w:bCs/>
      <w:color w:val="000000"/>
      <w:lang w:val="en-GB" w:eastAsia="ar-SA"/>
    </w:rPr>
  </w:style>
  <w:style w:type="character" w:customStyle="1" w:styleId="HeaderChar">
    <w:name w:val="Header Char"/>
    <w:basedOn w:val="DefaultParagraphFont"/>
    <w:link w:val="Header"/>
    <w:rsid w:val="009E3308"/>
    <w:rPr>
      <w:rFonts w:ascii="Amnesty Trade Gothic" w:hAnsi="Amnesty Trade Gothic"/>
      <w:color w:val="000000"/>
      <w:sz w:val="18"/>
      <w:szCs w:val="24"/>
      <w:lang w:val="en-GB" w:eastAsia="ar-SA"/>
    </w:rPr>
  </w:style>
  <w:style w:type="character" w:customStyle="1" w:styleId="verdana">
    <w:name w:val="verdana"/>
    <w:rsid w:val="009E3308"/>
  </w:style>
  <w:style w:type="paragraph" w:styleId="ListParagraph">
    <w:name w:val="List Paragraph"/>
    <w:basedOn w:val="Normal"/>
    <w:uiPriority w:val="34"/>
    <w:qFormat/>
    <w:rsid w:val="009E3308"/>
    <w:pPr>
      <w:widowControl/>
      <w:suppressAutoHyphens w:val="0"/>
      <w:spacing w:after="200" w:line="276" w:lineRule="auto"/>
      <w:ind w:left="720"/>
      <w:contextualSpacing/>
    </w:pPr>
    <w:rPr>
      <w:rFonts w:ascii="Times New Roman" w:eastAsia="Calibri" w:hAnsi="Times New Roman"/>
      <w:color w:val="auto"/>
      <w:sz w:val="24"/>
      <w:lang w:val="en-US" w:eastAsia="en-US"/>
    </w:rPr>
  </w:style>
  <w:style w:type="character" w:customStyle="1" w:styleId="hit">
    <w:name w:val="hit"/>
    <w:rsid w:val="009E3308"/>
  </w:style>
  <w:style w:type="character" w:customStyle="1" w:styleId="italic">
    <w:name w:val="italic"/>
    <w:rsid w:val="009E3308"/>
  </w:style>
  <w:style w:type="character" w:customStyle="1" w:styleId="tightinline">
    <w:name w:val="tightinline"/>
    <w:rsid w:val="009E3308"/>
  </w:style>
  <w:style w:type="character" w:customStyle="1" w:styleId="ssl2">
    <w:name w:val="ss_l2"/>
    <w:rsid w:val="009E3308"/>
  </w:style>
  <w:style w:type="character" w:customStyle="1" w:styleId="blue">
    <w:name w:val="blue"/>
    <w:rsid w:val="009E3308"/>
  </w:style>
  <w:style w:type="character" w:customStyle="1" w:styleId="bold">
    <w:name w:val="bold"/>
    <w:rsid w:val="009E3308"/>
  </w:style>
  <w:style w:type="character" w:customStyle="1" w:styleId="name">
    <w:name w:val="name"/>
    <w:rsid w:val="009E3308"/>
  </w:style>
  <w:style w:type="character" w:customStyle="1" w:styleId="reference">
    <w:name w:val="reference"/>
    <w:rsid w:val="009E3308"/>
  </w:style>
  <w:style w:type="character" w:customStyle="1" w:styleId="scheduleheading">
    <w:name w:val="scheduleheading"/>
    <w:rsid w:val="009E3308"/>
  </w:style>
  <w:style w:type="character" w:customStyle="1" w:styleId="apple-converted-space">
    <w:name w:val="apple-converted-space"/>
    <w:basedOn w:val="DefaultParagraphFont"/>
    <w:rsid w:val="005E22C2"/>
  </w:style>
  <w:style w:type="paragraph" w:styleId="Revision">
    <w:name w:val="Revision"/>
    <w:hidden/>
    <w:uiPriority w:val="99"/>
    <w:semiHidden/>
    <w:rsid w:val="005E22C2"/>
    <w:rPr>
      <w:rFonts w:ascii="Amnesty Trade Gothic" w:hAnsi="Amnesty Trade Gothic"/>
      <w:color w:val="000000"/>
      <w:sz w:val="18"/>
      <w:lang w:val="en-GB" w:eastAsia="ar-SA"/>
    </w:rPr>
  </w:style>
  <w:style w:type="character" w:customStyle="1" w:styleId="sectionlabel">
    <w:name w:val="sectionlabel"/>
    <w:basedOn w:val="DefaultParagraphFont"/>
    <w:rsid w:val="00522305"/>
  </w:style>
  <w:style w:type="character" w:customStyle="1" w:styleId="canliisectionwithsubsection">
    <w:name w:val="canlii_section_with_subsection"/>
    <w:basedOn w:val="DefaultParagraphFont"/>
    <w:rsid w:val="00522305"/>
  </w:style>
  <w:style w:type="paragraph" w:customStyle="1" w:styleId="paragraph">
    <w:name w:val="paragraph"/>
    <w:basedOn w:val="Normal"/>
    <w:rsid w:val="00522305"/>
    <w:pPr>
      <w:widowControl/>
      <w:suppressAutoHyphens w:val="0"/>
      <w:spacing w:before="100" w:beforeAutospacing="1" w:after="100" w:afterAutospacing="1" w:line="240" w:lineRule="auto"/>
    </w:pPr>
    <w:rPr>
      <w:rFonts w:ascii="Times New Roman" w:hAnsi="Times New Roman"/>
      <w:color w:val="auto"/>
      <w:sz w:val="24"/>
      <w:lang w:val="en-CA" w:eastAsia="en-CA"/>
    </w:rPr>
  </w:style>
  <w:style w:type="character" w:customStyle="1" w:styleId="canliisubsection">
    <w:name w:val="canlii_subsection"/>
    <w:basedOn w:val="DefaultParagraphFont"/>
    <w:rsid w:val="00522305"/>
  </w:style>
  <w:style w:type="paragraph" w:styleId="DocumentMap">
    <w:name w:val="Document Map"/>
    <w:basedOn w:val="Normal"/>
    <w:link w:val="DocumentMapChar"/>
    <w:rsid w:val="00E877D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E877DF"/>
    <w:rPr>
      <w:rFonts w:ascii="Lucida Grande" w:hAnsi="Lucida Grande" w:cs="Lucida Grande"/>
      <w:color w:val="000000"/>
      <w:sz w:val="24"/>
      <w:szCs w:val="24"/>
      <w:lang w:val="en-GB" w:eastAsia="ar-SA"/>
    </w:rPr>
  </w:style>
  <w:style w:type="character" w:styleId="Strong">
    <w:name w:val="Strong"/>
    <w:basedOn w:val="DefaultParagraphFont"/>
    <w:qFormat/>
    <w:rsid w:val="0073042D"/>
    <w:rPr>
      <w:b/>
      <w:bCs/>
    </w:rPr>
  </w:style>
  <w:style w:type="character" w:styleId="UnresolvedMention">
    <w:name w:val="Unresolved Mention"/>
    <w:basedOn w:val="DefaultParagraphFont"/>
    <w:uiPriority w:val="99"/>
    <w:rsid w:val="00943B3B"/>
    <w:rPr>
      <w:color w:val="605E5C"/>
      <w:shd w:val="clear" w:color="auto" w:fill="E1DFDD"/>
    </w:rPr>
  </w:style>
  <w:style w:type="paragraph" w:customStyle="1" w:styleId="paragraphe">
    <w:name w:val="paragraphe"/>
    <w:basedOn w:val="Normal"/>
    <w:rsid w:val="00E90298"/>
    <w:pPr>
      <w:widowControl/>
      <w:suppressAutoHyphens w:val="0"/>
      <w:spacing w:before="100" w:beforeAutospacing="1" w:after="100" w:afterAutospacing="1" w:line="240" w:lineRule="auto"/>
    </w:pPr>
    <w:rPr>
      <w:rFonts w:ascii="Times New Roman" w:hAnsi="Times New Roman"/>
      <w:color w:val="auto"/>
      <w:sz w:val="24"/>
      <w:lang w:val="en-CA" w:eastAsia="en-US"/>
    </w:rPr>
  </w:style>
  <w:style w:type="character" w:customStyle="1" w:styleId="reflex3-block">
    <w:name w:val="reflex3-block"/>
    <w:basedOn w:val="DefaultParagraphFont"/>
    <w:rsid w:val="00E90298"/>
  </w:style>
  <w:style w:type="character" w:customStyle="1" w:styleId="reflex3-alt">
    <w:name w:val="reflex3-alt"/>
    <w:basedOn w:val="DefaultParagraphFont"/>
    <w:rsid w:val="00E90298"/>
  </w:style>
  <w:style w:type="paragraph" w:customStyle="1" w:styleId="cjcparagr01">
    <w:name w:val="cjcparagr01"/>
    <w:basedOn w:val="Normal"/>
    <w:rsid w:val="00EA22AE"/>
    <w:pPr>
      <w:widowControl/>
      <w:suppressAutoHyphens w:val="0"/>
      <w:spacing w:before="100" w:beforeAutospacing="1" w:after="100" w:afterAutospacing="1" w:line="240" w:lineRule="auto"/>
    </w:pPr>
    <w:rPr>
      <w:rFonts w:ascii="Times New Roman" w:hAnsi="Times New Roman"/>
      <w:color w:val="auto"/>
      <w:sz w:val="24"/>
      <w:lang w:val="en-CA" w:eastAsia="en-US"/>
    </w:rPr>
  </w:style>
  <w:style w:type="paragraph" w:customStyle="1" w:styleId="Quote2">
    <w:name w:val="Quote2"/>
    <w:basedOn w:val="Normal"/>
    <w:rsid w:val="00EA22AE"/>
    <w:pPr>
      <w:widowControl/>
      <w:suppressAutoHyphens w:val="0"/>
      <w:spacing w:before="100" w:beforeAutospacing="1" w:after="100" w:afterAutospacing="1" w:line="240" w:lineRule="auto"/>
    </w:pPr>
    <w:rPr>
      <w:rFonts w:ascii="Times New Roman" w:hAnsi="Times New Roman"/>
      <w:color w:val="auto"/>
      <w:sz w:val="24"/>
      <w:lang w:val="en-CA" w:eastAsia="en-US"/>
    </w:rPr>
  </w:style>
  <w:style w:type="character" w:customStyle="1" w:styleId="c6">
    <w:name w:val="c6"/>
    <w:basedOn w:val="DefaultParagraphFont"/>
    <w:rsid w:val="00EA22AE"/>
  </w:style>
  <w:style w:type="character" w:customStyle="1" w:styleId="c1">
    <w:name w:val="c1"/>
    <w:basedOn w:val="DefaultParagraphFont"/>
    <w:rsid w:val="008A6416"/>
  </w:style>
  <w:style w:type="character" w:customStyle="1" w:styleId="c13">
    <w:name w:val="c13"/>
    <w:basedOn w:val="DefaultParagraphFont"/>
    <w:rsid w:val="008A6416"/>
  </w:style>
  <w:style w:type="character" w:customStyle="1" w:styleId="c41">
    <w:name w:val="c41"/>
    <w:basedOn w:val="DefaultParagraphFont"/>
    <w:rsid w:val="008A6416"/>
  </w:style>
  <w:style w:type="character" w:customStyle="1" w:styleId="c19">
    <w:name w:val="c19"/>
    <w:basedOn w:val="DefaultParagraphFont"/>
    <w:rsid w:val="008A6416"/>
  </w:style>
  <w:style w:type="character" w:customStyle="1" w:styleId="c16">
    <w:name w:val="c16"/>
    <w:basedOn w:val="DefaultParagraphFont"/>
    <w:rsid w:val="008A6416"/>
  </w:style>
  <w:style w:type="character" w:customStyle="1" w:styleId="reflex">
    <w:name w:val="reflex"/>
    <w:basedOn w:val="DefaultParagraphFont"/>
    <w:rsid w:val="00153B96"/>
  </w:style>
  <w:style w:type="paragraph" w:customStyle="1" w:styleId="marginalnote">
    <w:name w:val="marginalnote"/>
    <w:basedOn w:val="Normal"/>
    <w:rsid w:val="00950D91"/>
    <w:pPr>
      <w:widowControl/>
      <w:suppressAutoHyphens w:val="0"/>
      <w:spacing w:before="100" w:beforeAutospacing="1" w:after="100" w:afterAutospacing="1" w:line="240" w:lineRule="auto"/>
    </w:pPr>
    <w:rPr>
      <w:rFonts w:ascii="Times New Roman" w:hAnsi="Times New Roman"/>
      <w:color w:val="auto"/>
      <w:sz w:val="24"/>
      <w:lang w:val="en-CA" w:eastAsia="en-US"/>
    </w:rPr>
  </w:style>
  <w:style w:type="character" w:customStyle="1" w:styleId="lawlabel">
    <w:name w:val="lawlabel"/>
    <w:basedOn w:val="DefaultParagraphFont"/>
    <w:rsid w:val="00950D91"/>
  </w:style>
  <w:style w:type="character" w:customStyle="1" w:styleId="solexhl">
    <w:name w:val="solexhl"/>
    <w:basedOn w:val="DefaultParagraphFont"/>
    <w:rsid w:val="001B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341">
      <w:bodyDiv w:val="1"/>
      <w:marLeft w:val="0"/>
      <w:marRight w:val="0"/>
      <w:marTop w:val="0"/>
      <w:marBottom w:val="0"/>
      <w:divBdr>
        <w:top w:val="none" w:sz="0" w:space="0" w:color="auto"/>
        <w:left w:val="none" w:sz="0" w:space="0" w:color="auto"/>
        <w:bottom w:val="none" w:sz="0" w:space="0" w:color="auto"/>
        <w:right w:val="none" w:sz="0" w:space="0" w:color="auto"/>
      </w:divBdr>
    </w:div>
    <w:div w:id="48695950">
      <w:bodyDiv w:val="1"/>
      <w:marLeft w:val="0"/>
      <w:marRight w:val="0"/>
      <w:marTop w:val="0"/>
      <w:marBottom w:val="0"/>
      <w:divBdr>
        <w:top w:val="none" w:sz="0" w:space="0" w:color="auto"/>
        <w:left w:val="none" w:sz="0" w:space="0" w:color="auto"/>
        <w:bottom w:val="none" w:sz="0" w:space="0" w:color="auto"/>
        <w:right w:val="none" w:sz="0" w:space="0" w:color="auto"/>
      </w:divBdr>
    </w:div>
    <w:div w:id="63111353">
      <w:bodyDiv w:val="1"/>
      <w:marLeft w:val="0"/>
      <w:marRight w:val="0"/>
      <w:marTop w:val="0"/>
      <w:marBottom w:val="0"/>
      <w:divBdr>
        <w:top w:val="none" w:sz="0" w:space="0" w:color="auto"/>
        <w:left w:val="none" w:sz="0" w:space="0" w:color="auto"/>
        <w:bottom w:val="none" w:sz="0" w:space="0" w:color="auto"/>
        <w:right w:val="none" w:sz="0" w:space="0" w:color="auto"/>
      </w:divBdr>
      <w:divsChild>
        <w:div w:id="1924341288">
          <w:marLeft w:val="0"/>
          <w:marRight w:val="0"/>
          <w:marTop w:val="0"/>
          <w:marBottom w:val="0"/>
          <w:divBdr>
            <w:top w:val="none" w:sz="0" w:space="0" w:color="auto"/>
            <w:left w:val="none" w:sz="0" w:space="0" w:color="auto"/>
            <w:bottom w:val="none" w:sz="0" w:space="0" w:color="auto"/>
            <w:right w:val="none" w:sz="0" w:space="0" w:color="auto"/>
          </w:divBdr>
          <w:divsChild>
            <w:div w:id="1045372883">
              <w:marLeft w:val="0"/>
              <w:marRight w:val="0"/>
              <w:marTop w:val="0"/>
              <w:marBottom w:val="0"/>
              <w:divBdr>
                <w:top w:val="none" w:sz="0" w:space="0" w:color="auto"/>
                <w:left w:val="none" w:sz="0" w:space="0" w:color="auto"/>
                <w:bottom w:val="none" w:sz="0" w:space="0" w:color="auto"/>
                <w:right w:val="none" w:sz="0" w:space="0" w:color="auto"/>
              </w:divBdr>
              <w:divsChild>
                <w:div w:id="4265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2799">
      <w:bodyDiv w:val="1"/>
      <w:marLeft w:val="0"/>
      <w:marRight w:val="0"/>
      <w:marTop w:val="0"/>
      <w:marBottom w:val="0"/>
      <w:divBdr>
        <w:top w:val="none" w:sz="0" w:space="0" w:color="auto"/>
        <w:left w:val="none" w:sz="0" w:space="0" w:color="auto"/>
        <w:bottom w:val="none" w:sz="0" w:space="0" w:color="auto"/>
        <w:right w:val="none" w:sz="0" w:space="0" w:color="auto"/>
      </w:divBdr>
    </w:div>
    <w:div w:id="155656766">
      <w:bodyDiv w:val="1"/>
      <w:marLeft w:val="0"/>
      <w:marRight w:val="0"/>
      <w:marTop w:val="0"/>
      <w:marBottom w:val="0"/>
      <w:divBdr>
        <w:top w:val="none" w:sz="0" w:space="0" w:color="auto"/>
        <w:left w:val="none" w:sz="0" w:space="0" w:color="auto"/>
        <w:bottom w:val="none" w:sz="0" w:space="0" w:color="auto"/>
        <w:right w:val="none" w:sz="0" w:space="0" w:color="auto"/>
      </w:divBdr>
    </w:div>
    <w:div w:id="164590697">
      <w:bodyDiv w:val="1"/>
      <w:marLeft w:val="0"/>
      <w:marRight w:val="0"/>
      <w:marTop w:val="0"/>
      <w:marBottom w:val="0"/>
      <w:divBdr>
        <w:top w:val="none" w:sz="0" w:space="0" w:color="auto"/>
        <w:left w:val="none" w:sz="0" w:space="0" w:color="auto"/>
        <w:bottom w:val="none" w:sz="0" w:space="0" w:color="auto"/>
        <w:right w:val="none" w:sz="0" w:space="0" w:color="auto"/>
      </w:divBdr>
    </w:div>
    <w:div w:id="170878091">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204412013">
      <w:bodyDiv w:val="1"/>
      <w:marLeft w:val="0"/>
      <w:marRight w:val="0"/>
      <w:marTop w:val="0"/>
      <w:marBottom w:val="0"/>
      <w:divBdr>
        <w:top w:val="none" w:sz="0" w:space="0" w:color="auto"/>
        <w:left w:val="none" w:sz="0" w:space="0" w:color="auto"/>
        <w:bottom w:val="none" w:sz="0" w:space="0" w:color="auto"/>
        <w:right w:val="none" w:sz="0" w:space="0" w:color="auto"/>
      </w:divBdr>
    </w:div>
    <w:div w:id="205223303">
      <w:bodyDiv w:val="1"/>
      <w:marLeft w:val="0"/>
      <w:marRight w:val="0"/>
      <w:marTop w:val="0"/>
      <w:marBottom w:val="0"/>
      <w:divBdr>
        <w:top w:val="none" w:sz="0" w:space="0" w:color="auto"/>
        <w:left w:val="none" w:sz="0" w:space="0" w:color="auto"/>
        <w:bottom w:val="none" w:sz="0" w:space="0" w:color="auto"/>
        <w:right w:val="none" w:sz="0" w:space="0" w:color="auto"/>
      </w:divBdr>
    </w:div>
    <w:div w:id="219632853">
      <w:bodyDiv w:val="1"/>
      <w:marLeft w:val="0"/>
      <w:marRight w:val="0"/>
      <w:marTop w:val="0"/>
      <w:marBottom w:val="0"/>
      <w:divBdr>
        <w:top w:val="none" w:sz="0" w:space="0" w:color="auto"/>
        <w:left w:val="none" w:sz="0" w:space="0" w:color="auto"/>
        <w:bottom w:val="none" w:sz="0" w:space="0" w:color="auto"/>
        <w:right w:val="none" w:sz="0" w:space="0" w:color="auto"/>
      </w:divBdr>
    </w:div>
    <w:div w:id="223762264">
      <w:bodyDiv w:val="1"/>
      <w:marLeft w:val="0"/>
      <w:marRight w:val="0"/>
      <w:marTop w:val="0"/>
      <w:marBottom w:val="0"/>
      <w:divBdr>
        <w:top w:val="none" w:sz="0" w:space="0" w:color="auto"/>
        <w:left w:val="none" w:sz="0" w:space="0" w:color="auto"/>
        <w:bottom w:val="none" w:sz="0" w:space="0" w:color="auto"/>
        <w:right w:val="none" w:sz="0" w:space="0" w:color="auto"/>
      </w:divBdr>
    </w:div>
    <w:div w:id="223831242">
      <w:bodyDiv w:val="1"/>
      <w:marLeft w:val="0"/>
      <w:marRight w:val="0"/>
      <w:marTop w:val="0"/>
      <w:marBottom w:val="0"/>
      <w:divBdr>
        <w:top w:val="none" w:sz="0" w:space="0" w:color="auto"/>
        <w:left w:val="none" w:sz="0" w:space="0" w:color="auto"/>
        <w:bottom w:val="none" w:sz="0" w:space="0" w:color="auto"/>
        <w:right w:val="none" w:sz="0" w:space="0" w:color="auto"/>
      </w:divBdr>
    </w:div>
    <w:div w:id="272052590">
      <w:bodyDiv w:val="1"/>
      <w:marLeft w:val="0"/>
      <w:marRight w:val="0"/>
      <w:marTop w:val="0"/>
      <w:marBottom w:val="0"/>
      <w:divBdr>
        <w:top w:val="none" w:sz="0" w:space="0" w:color="auto"/>
        <w:left w:val="none" w:sz="0" w:space="0" w:color="auto"/>
        <w:bottom w:val="none" w:sz="0" w:space="0" w:color="auto"/>
        <w:right w:val="none" w:sz="0" w:space="0" w:color="auto"/>
      </w:divBdr>
      <w:divsChild>
        <w:div w:id="1207379150">
          <w:marLeft w:val="0"/>
          <w:marRight w:val="0"/>
          <w:marTop w:val="0"/>
          <w:marBottom w:val="0"/>
          <w:divBdr>
            <w:top w:val="none" w:sz="0" w:space="0" w:color="auto"/>
            <w:left w:val="none" w:sz="0" w:space="0" w:color="auto"/>
            <w:bottom w:val="none" w:sz="0" w:space="0" w:color="auto"/>
            <w:right w:val="none" w:sz="0" w:space="0" w:color="auto"/>
          </w:divBdr>
          <w:divsChild>
            <w:div w:id="217591006">
              <w:marLeft w:val="0"/>
              <w:marRight w:val="0"/>
              <w:marTop w:val="0"/>
              <w:marBottom w:val="0"/>
              <w:divBdr>
                <w:top w:val="none" w:sz="0" w:space="0" w:color="auto"/>
                <w:left w:val="none" w:sz="0" w:space="0" w:color="auto"/>
                <w:bottom w:val="none" w:sz="0" w:space="0" w:color="auto"/>
                <w:right w:val="none" w:sz="0" w:space="0" w:color="auto"/>
              </w:divBdr>
              <w:divsChild>
                <w:div w:id="162549969">
                  <w:marLeft w:val="0"/>
                  <w:marRight w:val="0"/>
                  <w:marTop w:val="0"/>
                  <w:marBottom w:val="0"/>
                  <w:divBdr>
                    <w:top w:val="none" w:sz="0" w:space="0" w:color="auto"/>
                    <w:left w:val="none" w:sz="0" w:space="0" w:color="auto"/>
                    <w:bottom w:val="none" w:sz="0" w:space="0" w:color="auto"/>
                    <w:right w:val="none" w:sz="0" w:space="0" w:color="auto"/>
                  </w:divBdr>
                  <w:divsChild>
                    <w:div w:id="11148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92963">
      <w:bodyDiv w:val="1"/>
      <w:marLeft w:val="0"/>
      <w:marRight w:val="0"/>
      <w:marTop w:val="0"/>
      <w:marBottom w:val="0"/>
      <w:divBdr>
        <w:top w:val="none" w:sz="0" w:space="0" w:color="auto"/>
        <w:left w:val="none" w:sz="0" w:space="0" w:color="auto"/>
        <w:bottom w:val="none" w:sz="0" w:space="0" w:color="auto"/>
        <w:right w:val="none" w:sz="0" w:space="0" w:color="auto"/>
      </w:divBdr>
    </w:div>
    <w:div w:id="330647247">
      <w:bodyDiv w:val="1"/>
      <w:marLeft w:val="0"/>
      <w:marRight w:val="0"/>
      <w:marTop w:val="0"/>
      <w:marBottom w:val="0"/>
      <w:divBdr>
        <w:top w:val="none" w:sz="0" w:space="0" w:color="auto"/>
        <w:left w:val="none" w:sz="0" w:space="0" w:color="auto"/>
        <w:bottom w:val="none" w:sz="0" w:space="0" w:color="auto"/>
        <w:right w:val="none" w:sz="0" w:space="0" w:color="auto"/>
      </w:divBdr>
    </w:div>
    <w:div w:id="335890502">
      <w:bodyDiv w:val="1"/>
      <w:marLeft w:val="0"/>
      <w:marRight w:val="0"/>
      <w:marTop w:val="0"/>
      <w:marBottom w:val="0"/>
      <w:divBdr>
        <w:top w:val="none" w:sz="0" w:space="0" w:color="auto"/>
        <w:left w:val="none" w:sz="0" w:space="0" w:color="auto"/>
        <w:bottom w:val="none" w:sz="0" w:space="0" w:color="auto"/>
        <w:right w:val="none" w:sz="0" w:space="0" w:color="auto"/>
      </w:divBdr>
    </w:div>
    <w:div w:id="339085155">
      <w:bodyDiv w:val="1"/>
      <w:marLeft w:val="0"/>
      <w:marRight w:val="0"/>
      <w:marTop w:val="0"/>
      <w:marBottom w:val="0"/>
      <w:divBdr>
        <w:top w:val="none" w:sz="0" w:space="0" w:color="auto"/>
        <w:left w:val="none" w:sz="0" w:space="0" w:color="auto"/>
        <w:bottom w:val="none" w:sz="0" w:space="0" w:color="auto"/>
        <w:right w:val="none" w:sz="0" w:space="0" w:color="auto"/>
      </w:divBdr>
    </w:div>
    <w:div w:id="410739196">
      <w:bodyDiv w:val="1"/>
      <w:marLeft w:val="0"/>
      <w:marRight w:val="0"/>
      <w:marTop w:val="0"/>
      <w:marBottom w:val="0"/>
      <w:divBdr>
        <w:top w:val="none" w:sz="0" w:space="0" w:color="auto"/>
        <w:left w:val="none" w:sz="0" w:space="0" w:color="auto"/>
        <w:bottom w:val="none" w:sz="0" w:space="0" w:color="auto"/>
        <w:right w:val="none" w:sz="0" w:space="0" w:color="auto"/>
      </w:divBdr>
    </w:div>
    <w:div w:id="415787884">
      <w:bodyDiv w:val="1"/>
      <w:marLeft w:val="0"/>
      <w:marRight w:val="0"/>
      <w:marTop w:val="0"/>
      <w:marBottom w:val="0"/>
      <w:divBdr>
        <w:top w:val="none" w:sz="0" w:space="0" w:color="auto"/>
        <w:left w:val="none" w:sz="0" w:space="0" w:color="auto"/>
        <w:bottom w:val="none" w:sz="0" w:space="0" w:color="auto"/>
        <w:right w:val="none" w:sz="0" w:space="0" w:color="auto"/>
      </w:divBdr>
    </w:div>
    <w:div w:id="433289315">
      <w:bodyDiv w:val="1"/>
      <w:marLeft w:val="0"/>
      <w:marRight w:val="0"/>
      <w:marTop w:val="0"/>
      <w:marBottom w:val="0"/>
      <w:divBdr>
        <w:top w:val="none" w:sz="0" w:space="0" w:color="auto"/>
        <w:left w:val="none" w:sz="0" w:space="0" w:color="auto"/>
        <w:bottom w:val="none" w:sz="0" w:space="0" w:color="auto"/>
        <w:right w:val="none" w:sz="0" w:space="0" w:color="auto"/>
      </w:divBdr>
    </w:div>
    <w:div w:id="439644227">
      <w:bodyDiv w:val="1"/>
      <w:marLeft w:val="0"/>
      <w:marRight w:val="0"/>
      <w:marTop w:val="0"/>
      <w:marBottom w:val="0"/>
      <w:divBdr>
        <w:top w:val="none" w:sz="0" w:space="0" w:color="auto"/>
        <w:left w:val="none" w:sz="0" w:space="0" w:color="auto"/>
        <w:bottom w:val="none" w:sz="0" w:space="0" w:color="auto"/>
        <w:right w:val="none" w:sz="0" w:space="0" w:color="auto"/>
      </w:divBdr>
      <w:divsChild>
        <w:div w:id="1993100894">
          <w:marLeft w:val="0"/>
          <w:marRight w:val="0"/>
          <w:marTop w:val="0"/>
          <w:marBottom w:val="0"/>
          <w:divBdr>
            <w:top w:val="none" w:sz="0" w:space="0" w:color="auto"/>
            <w:left w:val="none" w:sz="0" w:space="0" w:color="auto"/>
            <w:bottom w:val="none" w:sz="0" w:space="0" w:color="auto"/>
            <w:right w:val="none" w:sz="0" w:space="0" w:color="auto"/>
          </w:divBdr>
          <w:divsChild>
            <w:div w:id="1047074153">
              <w:marLeft w:val="0"/>
              <w:marRight w:val="0"/>
              <w:marTop w:val="0"/>
              <w:marBottom w:val="0"/>
              <w:divBdr>
                <w:top w:val="none" w:sz="0" w:space="0" w:color="auto"/>
                <w:left w:val="none" w:sz="0" w:space="0" w:color="auto"/>
                <w:bottom w:val="none" w:sz="0" w:space="0" w:color="auto"/>
                <w:right w:val="none" w:sz="0" w:space="0" w:color="auto"/>
              </w:divBdr>
              <w:divsChild>
                <w:div w:id="10247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2579">
      <w:bodyDiv w:val="1"/>
      <w:marLeft w:val="0"/>
      <w:marRight w:val="0"/>
      <w:marTop w:val="0"/>
      <w:marBottom w:val="0"/>
      <w:divBdr>
        <w:top w:val="none" w:sz="0" w:space="0" w:color="auto"/>
        <w:left w:val="none" w:sz="0" w:space="0" w:color="auto"/>
        <w:bottom w:val="none" w:sz="0" w:space="0" w:color="auto"/>
        <w:right w:val="none" w:sz="0" w:space="0" w:color="auto"/>
      </w:divBdr>
    </w:div>
    <w:div w:id="478037417">
      <w:bodyDiv w:val="1"/>
      <w:marLeft w:val="0"/>
      <w:marRight w:val="0"/>
      <w:marTop w:val="0"/>
      <w:marBottom w:val="0"/>
      <w:divBdr>
        <w:top w:val="none" w:sz="0" w:space="0" w:color="auto"/>
        <w:left w:val="none" w:sz="0" w:space="0" w:color="auto"/>
        <w:bottom w:val="none" w:sz="0" w:space="0" w:color="auto"/>
        <w:right w:val="none" w:sz="0" w:space="0" w:color="auto"/>
      </w:divBdr>
    </w:div>
    <w:div w:id="513812607">
      <w:bodyDiv w:val="1"/>
      <w:marLeft w:val="0"/>
      <w:marRight w:val="0"/>
      <w:marTop w:val="0"/>
      <w:marBottom w:val="0"/>
      <w:divBdr>
        <w:top w:val="none" w:sz="0" w:space="0" w:color="auto"/>
        <w:left w:val="none" w:sz="0" w:space="0" w:color="auto"/>
        <w:bottom w:val="none" w:sz="0" w:space="0" w:color="auto"/>
        <w:right w:val="none" w:sz="0" w:space="0" w:color="auto"/>
      </w:divBdr>
    </w:div>
    <w:div w:id="574438012">
      <w:bodyDiv w:val="1"/>
      <w:marLeft w:val="0"/>
      <w:marRight w:val="0"/>
      <w:marTop w:val="0"/>
      <w:marBottom w:val="0"/>
      <w:divBdr>
        <w:top w:val="none" w:sz="0" w:space="0" w:color="auto"/>
        <w:left w:val="none" w:sz="0" w:space="0" w:color="auto"/>
        <w:bottom w:val="none" w:sz="0" w:space="0" w:color="auto"/>
        <w:right w:val="none" w:sz="0" w:space="0" w:color="auto"/>
      </w:divBdr>
    </w:div>
    <w:div w:id="608585352">
      <w:bodyDiv w:val="1"/>
      <w:marLeft w:val="0"/>
      <w:marRight w:val="0"/>
      <w:marTop w:val="0"/>
      <w:marBottom w:val="0"/>
      <w:divBdr>
        <w:top w:val="none" w:sz="0" w:space="0" w:color="auto"/>
        <w:left w:val="none" w:sz="0" w:space="0" w:color="auto"/>
        <w:bottom w:val="none" w:sz="0" w:space="0" w:color="auto"/>
        <w:right w:val="none" w:sz="0" w:space="0" w:color="auto"/>
      </w:divBdr>
    </w:div>
    <w:div w:id="637564757">
      <w:bodyDiv w:val="1"/>
      <w:marLeft w:val="0"/>
      <w:marRight w:val="0"/>
      <w:marTop w:val="0"/>
      <w:marBottom w:val="0"/>
      <w:divBdr>
        <w:top w:val="none" w:sz="0" w:space="0" w:color="auto"/>
        <w:left w:val="none" w:sz="0" w:space="0" w:color="auto"/>
        <w:bottom w:val="none" w:sz="0" w:space="0" w:color="auto"/>
        <w:right w:val="none" w:sz="0" w:space="0" w:color="auto"/>
      </w:divBdr>
      <w:divsChild>
        <w:div w:id="1959296647">
          <w:marLeft w:val="0"/>
          <w:marRight w:val="0"/>
          <w:marTop w:val="0"/>
          <w:marBottom w:val="0"/>
          <w:divBdr>
            <w:top w:val="none" w:sz="0" w:space="0" w:color="auto"/>
            <w:left w:val="none" w:sz="0" w:space="0" w:color="auto"/>
            <w:bottom w:val="none" w:sz="0" w:space="0" w:color="auto"/>
            <w:right w:val="none" w:sz="0" w:space="0" w:color="auto"/>
          </w:divBdr>
          <w:divsChild>
            <w:div w:id="1158184124">
              <w:marLeft w:val="0"/>
              <w:marRight w:val="0"/>
              <w:marTop w:val="0"/>
              <w:marBottom w:val="0"/>
              <w:divBdr>
                <w:top w:val="none" w:sz="0" w:space="0" w:color="auto"/>
                <w:left w:val="none" w:sz="0" w:space="0" w:color="auto"/>
                <w:bottom w:val="none" w:sz="0" w:space="0" w:color="auto"/>
                <w:right w:val="none" w:sz="0" w:space="0" w:color="auto"/>
              </w:divBdr>
              <w:divsChild>
                <w:div w:id="8179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8122">
      <w:bodyDiv w:val="1"/>
      <w:marLeft w:val="0"/>
      <w:marRight w:val="0"/>
      <w:marTop w:val="0"/>
      <w:marBottom w:val="0"/>
      <w:divBdr>
        <w:top w:val="none" w:sz="0" w:space="0" w:color="auto"/>
        <w:left w:val="none" w:sz="0" w:space="0" w:color="auto"/>
        <w:bottom w:val="none" w:sz="0" w:space="0" w:color="auto"/>
        <w:right w:val="none" w:sz="0" w:space="0" w:color="auto"/>
      </w:divBdr>
      <w:divsChild>
        <w:div w:id="222302629">
          <w:marLeft w:val="0"/>
          <w:marRight w:val="0"/>
          <w:marTop w:val="0"/>
          <w:marBottom w:val="0"/>
          <w:divBdr>
            <w:top w:val="none" w:sz="0" w:space="0" w:color="auto"/>
            <w:left w:val="none" w:sz="0" w:space="0" w:color="auto"/>
            <w:bottom w:val="none" w:sz="0" w:space="0" w:color="auto"/>
            <w:right w:val="none" w:sz="0" w:space="0" w:color="auto"/>
          </w:divBdr>
        </w:div>
        <w:div w:id="1656909509">
          <w:marLeft w:val="0"/>
          <w:marRight w:val="0"/>
          <w:marTop w:val="0"/>
          <w:marBottom w:val="0"/>
          <w:divBdr>
            <w:top w:val="none" w:sz="0" w:space="0" w:color="auto"/>
            <w:left w:val="none" w:sz="0" w:space="0" w:color="auto"/>
            <w:bottom w:val="none" w:sz="0" w:space="0" w:color="auto"/>
            <w:right w:val="none" w:sz="0" w:space="0" w:color="auto"/>
          </w:divBdr>
        </w:div>
      </w:divsChild>
    </w:div>
    <w:div w:id="647633706">
      <w:bodyDiv w:val="1"/>
      <w:marLeft w:val="0"/>
      <w:marRight w:val="0"/>
      <w:marTop w:val="0"/>
      <w:marBottom w:val="0"/>
      <w:divBdr>
        <w:top w:val="none" w:sz="0" w:space="0" w:color="auto"/>
        <w:left w:val="none" w:sz="0" w:space="0" w:color="auto"/>
        <w:bottom w:val="none" w:sz="0" w:space="0" w:color="auto"/>
        <w:right w:val="none" w:sz="0" w:space="0" w:color="auto"/>
      </w:divBdr>
    </w:div>
    <w:div w:id="658464976">
      <w:bodyDiv w:val="1"/>
      <w:marLeft w:val="0"/>
      <w:marRight w:val="0"/>
      <w:marTop w:val="0"/>
      <w:marBottom w:val="0"/>
      <w:divBdr>
        <w:top w:val="none" w:sz="0" w:space="0" w:color="auto"/>
        <w:left w:val="none" w:sz="0" w:space="0" w:color="auto"/>
        <w:bottom w:val="none" w:sz="0" w:space="0" w:color="auto"/>
        <w:right w:val="none" w:sz="0" w:space="0" w:color="auto"/>
      </w:divBdr>
    </w:div>
    <w:div w:id="690111881">
      <w:bodyDiv w:val="1"/>
      <w:marLeft w:val="0"/>
      <w:marRight w:val="0"/>
      <w:marTop w:val="0"/>
      <w:marBottom w:val="0"/>
      <w:divBdr>
        <w:top w:val="none" w:sz="0" w:space="0" w:color="auto"/>
        <w:left w:val="none" w:sz="0" w:space="0" w:color="auto"/>
        <w:bottom w:val="none" w:sz="0" w:space="0" w:color="auto"/>
        <w:right w:val="none" w:sz="0" w:space="0" w:color="auto"/>
      </w:divBdr>
    </w:div>
    <w:div w:id="695037406">
      <w:bodyDiv w:val="1"/>
      <w:marLeft w:val="0"/>
      <w:marRight w:val="0"/>
      <w:marTop w:val="0"/>
      <w:marBottom w:val="0"/>
      <w:divBdr>
        <w:top w:val="none" w:sz="0" w:space="0" w:color="auto"/>
        <w:left w:val="none" w:sz="0" w:space="0" w:color="auto"/>
        <w:bottom w:val="none" w:sz="0" w:space="0" w:color="auto"/>
        <w:right w:val="none" w:sz="0" w:space="0" w:color="auto"/>
      </w:divBdr>
    </w:div>
    <w:div w:id="776677010">
      <w:bodyDiv w:val="1"/>
      <w:marLeft w:val="0"/>
      <w:marRight w:val="0"/>
      <w:marTop w:val="0"/>
      <w:marBottom w:val="0"/>
      <w:divBdr>
        <w:top w:val="none" w:sz="0" w:space="0" w:color="auto"/>
        <w:left w:val="none" w:sz="0" w:space="0" w:color="auto"/>
        <w:bottom w:val="none" w:sz="0" w:space="0" w:color="auto"/>
        <w:right w:val="none" w:sz="0" w:space="0" w:color="auto"/>
      </w:divBdr>
    </w:div>
    <w:div w:id="808282117">
      <w:bodyDiv w:val="1"/>
      <w:marLeft w:val="0"/>
      <w:marRight w:val="0"/>
      <w:marTop w:val="0"/>
      <w:marBottom w:val="0"/>
      <w:divBdr>
        <w:top w:val="none" w:sz="0" w:space="0" w:color="auto"/>
        <w:left w:val="none" w:sz="0" w:space="0" w:color="auto"/>
        <w:bottom w:val="none" w:sz="0" w:space="0" w:color="auto"/>
        <w:right w:val="none" w:sz="0" w:space="0" w:color="auto"/>
      </w:divBdr>
    </w:div>
    <w:div w:id="813644823">
      <w:bodyDiv w:val="1"/>
      <w:marLeft w:val="0"/>
      <w:marRight w:val="0"/>
      <w:marTop w:val="0"/>
      <w:marBottom w:val="0"/>
      <w:divBdr>
        <w:top w:val="none" w:sz="0" w:space="0" w:color="auto"/>
        <w:left w:val="none" w:sz="0" w:space="0" w:color="auto"/>
        <w:bottom w:val="none" w:sz="0" w:space="0" w:color="auto"/>
        <w:right w:val="none" w:sz="0" w:space="0" w:color="auto"/>
      </w:divBdr>
    </w:div>
    <w:div w:id="820850932">
      <w:bodyDiv w:val="1"/>
      <w:marLeft w:val="0"/>
      <w:marRight w:val="0"/>
      <w:marTop w:val="0"/>
      <w:marBottom w:val="0"/>
      <w:divBdr>
        <w:top w:val="none" w:sz="0" w:space="0" w:color="auto"/>
        <w:left w:val="none" w:sz="0" w:space="0" w:color="auto"/>
        <w:bottom w:val="none" w:sz="0" w:space="0" w:color="auto"/>
        <w:right w:val="none" w:sz="0" w:space="0" w:color="auto"/>
      </w:divBdr>
    </w:div>
    <w:div w:id="833880332">
      <w:bodyDiv w:val="1"/>
      <w:marLeft w:val="0"/>
      <w:marRight w:val="0"/>
      <w:marTop w:val="0"/>
      <w:marBottom w:val="0"/>
      <w:divBdr>
        <w:top w:val="none" w:sz="0" w:space="0" w:color="auto"/>
        <w:left w:val="none" w:sz="0" w:space="0" w:color="auto"/>
        <w:bottom w:val="none" w:sz="0" w:space="0" w:color="auto"/>
        <w:right w:val="none" w:sz="0" w:space="0" w:color="auto"/>
      </w:divBdr>
    </w:div>
    <w:div w:id="842427368">
      <w:bodyDiv w:val="1"/>
      <w:marLeft w:val="0"/>
      <w:marRight w:val="0"/>
      <w:marTop w:val="0"/>
      <w:marBottom w:val="0"/>
      <w:divBdr>
        <w:top w:val="none" w:sz="0" w:space="0" w:color="auto"/>
        <w:left w:val="none" w:sz="0" w:space="0" w:color="auto"/>
        <w:bottom w:val="none" w:sz="0" w:space="0" w:color="auto"/>
        <w:right w:val="none" w:sz="0" w:space="0" w:color="auto"/>
      </w:divBdr>
    </w:div>
    <w:div w:id="856698906">
      <w:bodyDiv w:val="1"/>
      <w:marLeft w:val="0"/>
      <w:marRight w:val="0"/>
      <w:marTop w:val="0"/>
      <w:marBottom w:val="0"/>
      <w:divBdr>
        <w:top w:val="none" w:sz="0" w:space="0" w:color="auto"/>
        <w:left w:val="none" w:sz="0" w:space="0" w:color="auto"/>
        <w:bottom w:val="none" w:sz="0" w:space="0" w:color="auto"/>
        <w:right w:val="none" w:sz="0" w:space="0" w:color="auto"/>
      </w:divBdr>
    </w:div>
    <w:div w:id="928074429">
      <w:bodyDiv w:val="1"/>
      <w:marLeft w:val="0"/>
      <w:marRight w:val="0"/>
      <w:marTop w:val="0"/>
      <w:marBottom w:val="0"/>
      <w:divBdr>
        <w:top w:val="none" w:sz="0" w:space="0" w:color="auto"/>
        <w:left w:val="none" w:sz="0" w:space="0" w:color="auto"/>
        <w:bottom w:val="none" w:sz="0" w:space="0" w:color="auto"/>
        <w:right w:val="none" w:sz="0" w:space="0" w:color="auto"/>
      </w:divBdr>
    </w:div>
    <w:div w:id="946425665">
      <w:bodyDiv w:val="1"/>
      <w:marLeft w:val="0"/>
      <w:marRight w:val="0"/>
      <w:marTop w:val="0"/>
      <w:marBottom w:val="0"/>
      <w:divBdr>
        <w:top w:val="none" w:sz="0" w:space="0" w:color="auto"/>
        <w:left w:val="none" w:sz="0" w:space="0" w:color="auto"/>
        <w:bottom w:val="none" w:sz="0" w:space="0" w:color="auto"/>
        <w:right w:val="none" w:sz="0" w:space="0" w:color="auto"/>
      </w:divBdr>
    </w:div>
    <w:div w:id="975525969">
      <w:bodyDiv w:val="1"/>
      <w:marLeft w:val="0"/>
      <w:marRight w:val="0"/>
      <w:marTop w:val="0"/>
      <w:marBottom w:val="0"/>
      <w:divBdr>
        <w:top w:val="none" w:sz="0" w:space="0" w:color="auto"/>
        <w:left w:val="none" w:sz="0" w:space="0" w:color="auto"/>
        <w:bottom w:val="none" w:sz="0" w:space="0" w:color="auto"/>
        <w:right w:val="none" w:sz="0" w:space="0" w:color="auto"/>
      </w:divBdr>
    </w:div>
    <w:div w:id="1010913536">
      <w:bodyDiv w:val="1"/>
      <w:marLeft w:val="0"/>
      <w:marRight w:val="0"/>
      <w:marTop w:val="0"/>
      <w:marBottom w:val="0"/>
      <w:divBdr>
        <w:top w:val="none" w:sz="0" w:space="0" w:color="auto"/>
        <w:left w:val="none" w:sz="0" w:space="0" w:color="auto"/>
        <w:bottom w:val="none" w:sz="0" w:space="0" w:color="auto"/>
        <w:right w:val="none" w:sz="0" w:space="0" w:color="auto"/>
      </w:divBdr>
    </w:div>
    <w:div w:id="1057506588">
      <w:bodyDiv w:val="1"/>
      <w:marLeft w:val="0"/>
      <w:marRight w:val="0"/>
      <w:marTop w:val="0"/>
      <w:marBottom w:val="0"/>
      <w:divBdr>
        <w:top w:val="none" w:sz="0" w:space="0" w:color="auto"/>
        <w:left w:val="none" w:sz="0" w:space="0" w:color="auto"/>
        <w:bottom w:val="none" w:sz="0" w:space="0" w:color="auto"/>
        <w:right w:val="none" w:sz="0" w:space="0" w:color="auto"/>
      </w:divBdr>
    </w:div>
    <w:div w:id="1073309254">
      <w:bodyDiv w:val="1"/>
      <w:marLeft w:val="0"/>
      <w:marRight w:val="0"/>
      <w:marTop w:val="0"/>
      <w:marBottom w:val="0"/>
      <w:divBdr>
        <w:top w:val="none" w:sz="0" w:space="0" w:color="auto"/>
        <w:left w:val="none" w:sz="0" w:space="0" w:color="auto"/>
        <w:bottom w:val="none" w:sz="0" w:space="0" w:color="auto"/>
        <w:right w:val="none" w:sz="0" w:space="0" w:color="auto"/>
      </w:divBdr>
    </w:div>
    <w:div w:id="1110008742">
      <w:bodyDiv w:val="1"/>
      <w:marLeft w:val="0"/>
      <w:marRight w:val="0"/>
      <w:marTop w:val="0"/>
      <w:marBottom w:val="0"/>
      <w:divBdr>
        <w:top w:val="none" w:sz="0" w:space="0" w:color="auto"/>
        <w:left w:val="none" w:sz="0" w:space="0" w:color="auto"/>
        <w:bottom w:val="none" w:sz="0" w:space="0" w:color="auto"/>
        <w:right w:val="none" w:sz="0" w:space="0" w:color="auto"/>
      </w:divBdr>
    </w:div>
    <w:div w:id="1110705554">
      <w:bodyDiv w:val="1"/>
      <w:marLeft w:val="0"/>
      <w:marRight w:val="0"/>
      <w:marTop w:val="0"/>
      <w:marBottom w:val="0"/>
      <w:divBdr>
        <w:top w:val="none" w:sz="0" w:space="0" w:color="auto"/>
        <w:left w:val="none" w:sz="0" w:space="0" w:color="auto"/>
        <w:bottom w:val="none" w:sz="0" w:space="0" w:color="auto"/>
        <w:right w:val="none" w:sz="0" w:space="0" w:color="auto"/>
      </w:divBdr>
    </w:div>
    <w:div w:id="1181895063">
      <w:bodyDiv w:val="1"/>
      <w:marLeft w:val="0"/>
      <w:marRight w:val="0"/>
      <w:marTop w:val="0"/>
      <w:marBottom w:val="0"/>
      <w:divBdr>
        <w:top w:val="none" w:sz="0" w:space="0" w:color="auto"/>
        <w:left w:val="none" w:sz="0" w:space="0" w:color="auto"/>
        <w:bottom w:val="none" w:sz="0" w:space="0" w:color="auto"/>
        <w:right w:val="none" w:sz="0" w:space="0" w:color="auto"/>
      </w:divBdr>
    </w:div>
    <w:div w:id="1200321589">
      <w:bodyDiv w:val="1"/>
      <w:marLeft w:val="0"/>
      <w:marRight w:val="0"/>
      <w:marTop w:val="0"/>
      <w:marBottom w:val="0"/>
      <w:divBdr>
        <w:top w:val="none" w:sz="0" w:space="0" w:color="auto"/>
        <w:left w:val="none" w:sz="0" w:space="0" w:color="auto"/>
        <w:bottom w:val="none" w:sz="0" w:space="0" w:color="auto"/>
        <w:right w:val="none" w:sz="0" w:space="0" w:color="auto"/>
      </w:divBdr>
    </w:div>
    <w:div w:id="1218276384">
      <w:bodyDiv w:val="1"/>
      <w:marLeft w:val="0"/>
      <w:marRight w:val="0"/>
      <w:marTop w:val="0"/>
      <w:marBottom w:val="0"/>
      <w:divBdr>
        <w:top w:val="none" w:sz="0" w:space="0" w:color="auto"/>
        <w:left w:val="none" w:sz="0" w:space="0" w:color="auto"/>
        <w:bottom w:val="none" w:sz="0" w:space="0" w:color="auto"/>
        <w:right w:val="none" w:sz="0" w:space="0" w:color="auto"/>
      </w:divBdr>
    </w:div>
    <w:div w:id="1278485584">
      <w:bodyDiv w:val="1"/>
      <w:marLeft w:val="0"/>
      <w:marRight w:val="0"/>
      <w:marTop w:val="0"/>
      <w:marBottom w:val="0"/>
      <w:divBdr>
        <w:top w:val="none" w:sz="0" w:space="0" w:color="auto"/>
        <w:left w:val="none" w:sz="0" w:space="0" w:color="auto"/>
        <w:bottom w:val="none" w:sz="0" w:space="0" w:color="auto"/>
        <w:right w:val="none" w:sz="0" w:space="0" w:color="auto"/>
      </w:divBdr>
    </w:div>
    <w:div w:id="1288118386">
      <w:bodyDiv w:val="1"/>
      <w:marLeft w:val="0"/>
      <w:marRight w:val="0"/>
      <w:marTop w:val="0"/>
      <w:marBottom w:val="0"/>
      <w:divBdr>
        <w:top w:val="none" w:sz="0" w:space="0" w:color="auto"/>
        <w:left w:val="none" w:sz="0" w:space="0" w:color="auto"/>
        <w:bottom w:val="none" w:sz="0" w:space="0" w:color="auto"/>
        <w:right w:val="none" w:sz="0" w:space="0" w:color="auto"/>
      </w:divBdr>
    </w:div>
    <w:div w:id="1320429180">
      <w:bodyDiv w:val="1"/>
      <w:marLeft w:val="0"/>
      <w:marRight w:val="0"/>
      <w:marTop w:val="0"/>
      <w:marBottom w:val="0"/>
      <w:divBdr>
        <w:top w:val="none" w:sz="0" w:space="0" w:color="auto"/>
        <w:left w:val="none" w:sz="0" w:space="0" w:color="auto"/>
        <w:bottom w:val="none" w:sz="0" w:space="0" w:color="auto"/>
        <w:right w:val="none" w:sz="0" w:space="0" w:color="auto"/>
      </w:divBdr>
    </w:div>
    <w:div w:id="1341590929">
      <w:bodyDiv w:val="1"/>
      <w:marLeft w:val="0"/>
      <w:marRight w:val="0"/>
      <w:marTop w:val="0"/>
      <w:marBottom w:val="0"/>
      <w:divBdr>
        <w:top w:val="none" w:sz="0" w:space="0" w:color="auto"/>
        <w:left w:val="none" w:sz="0" w:space="0" w:color="auto"/>
        <w:bottom w:val="none" w:sz="0" w:space="0" w:color="auto"/>
        <w:right w:val="none" w:sz="0" w:space="0" w:color="auto"/>
      </w:divBdr>
      <w:divsChild>
        <w:div w:id="816610622">
          <w:marLeft w:val="0"/>
          <w:marRight w:val="0"/>
          <w:marTop w:val="0"/>
          <w:marBottom w:val="0"/>
          <w:divBdr>
            <w:top w:val="none" w:sz="0" w:space="0" w:color="auto"/>
            <w:left w:val="none" w:sz="0" w:space="0" w:color="auto"/>
            <w:bottom w:val="none" w:sz="0" w:space="0" w:color="auto"/>
            <w:right w:val="none" w:sz="0" w:space="0" w:color="auto"/>
          </w:divBdr>
          <w:divsChild>
            <w:div w:id="1952710824">
              <w:marLeft w:val="0"/>
              <w:marRight w:val="0"/>
              <w:marTop w:val="0"/>
              <w:marBottom w:val="0"/>
              <w:divBdr>
                <w:top w:val="none" w:sz="0" w:space="0" w:color="auto"/>
                <w:left w:val="none" w:sz="0" w:space="0" w:color="auto"/>
                <w:bottom w:val="none" w:sz="0" w:space="0" w:color="auto"/>
                <w:right w:val="none" w:sz="0" w:space="0" w:color="auto"/>
              </w:divBdr>
              <w:divsChild>
                <w:div w:id="1347056811">
                  <w:marLeft w:val="0"/>
                  <w:marRight w:val="0"/>
                  <w:marTop w:val="0"/>
                  <w:marBottom w:val="0"/>
                  <w:divBdr>
                    <w:top w:val="none" w:sz="0" w:space="0" w:color="auto"/>
                    <w:left w:val="none" w:sz="0" w:space="0" w:color="auto"/>
                    <w:bottom w:val="none" w:sz="0" w:space="0" w:color="auto"/>
                    <w:right w:val="none" w:sz="0" w:space="0" w:color="auto"/>
                  </w:divBdr>
                  <w:divsChild>
                    <w:div w:id="10106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1858">
      <w:bodyDiv w:val="1"/>
      <w:marLeft w:val="0"/>
      <w:marRight w:val="0"/>
      <w:marTop w:val="0"/>
      <w:marBottom w:val="0"/>
      <w:divBdr>
        <w:top w:val="none" w:sz="0" w:space="0" w:color="auto"/>
        <w:left w:val="none" w:sz="0" w:space="0" w:color="auto"/>
        <w:bottom w:val="none" w:sz="0" w:space="0" w:color="auto"/>
        <w:right w:val="none" w:sz="0" w:space="0" w:color="auto"/>
      </w:divBdr>
    </w:div>
    <w:div w:id="1360397842">
      <w:bodyDiv w:val="1"/>
      <w:marLeft w:val="0"/>
      <w:marRight w:val="0"/>
      <w:marTop w:val="0"/>
      <w:marBottom w:val="0"/>
      <w:divBdr>
        <w:top w:val="none" w:sz="0" w:space="0" w:color="auto"/>
        <w:left w:val="none" w:sz="0" w:space="0" w:color="auto"/>
        <w:bottom w:val="none" w:sz="0" w:space="0" w:color="auto"/>
        <w:right w:val="none" w:sz="0" w:space="0" w:color="auto"/>
      </w:divBdr>
      <w:divsChild>
        <w:div w:id="1087535668">
          <w:marLeft w:val="0"/>
          <w:marRight w:val="0"/>
          <w:marTop w:val="0"/>
          <w:marBottom w:val="0"/>
          <w:divBdr>
            <w:top w:val="none" w:sz="0" w:space="0" w:color="auto"/>
            <w:left w:val="none" w:sz="0" w:space="0" w:color="auto"/>
            <w:bottom w:val="none" w:sz="0" w:space="0" w:color="auto"/>
            <w:right w:val="none" w:sz="0" w:space="0" w:color="auto"/>
          </w:divBdr>
          <w:divsChild>
            <w:div w:id="1756627953">
              <w:marLeft w:val="0"/>
              <w:marRight w:val="0"/>
              <w:marTop w:val="0"/>
              <w:marBottom w:val="0"/>
              <w:divBdr>
                <w:top w:val="none" w:sz="0" w:space="0" w:color="auto"/>
                <w:left w:val="none" w:sz="0" w:space="0" w:color="auto"/>
                <w:bottom w:val="none" w:sz="0" w:space="0" w:color="auto"/>
                <w:right w:val="none" w:sz="0" w:space="0" w:color="auto"/>
              </w:divBdr>
              <w:divsChild>
                <w:div w:id="2764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1585">
      <w:bodyDiv w:val="1"/>
      <w:marLeft w:val="0"/>
      <w:marRight w:val="0"/>
      <w:marTop w:val="0"/>
      <w:marBottom w:val="0"/>
      <w:divBdr>
        <w:top w:val="none" w:sz="0" w:space="0" w:color="auto"/>
        <w:left w:val="none" w:sz="0" w:space="0" w:color="auto"/>
        <w:bottom w:val="none" w:sz="0" w:space="0" w:color="auto"/>
        <w:right w:val="none" w:sz="0" w:space="0" w:color="auto"/>
      </w:divBdr>
    </w:div>
    <w:div w:id="1399666063">
      <w:bodyDiv w:val="1"/>
      <w:marLeft w:val="0"/>
      <w:marRight w:val="0"/>
      <w:marTop w:val="0"/>
      <w:marBottom w:val="0"/>
      <w:divBdr>
        <w:top w:val="none" w:sz="0" w:space="0" w:color="auto"/>
        <w:left w:val="none" w:sz="0" w:space="0" w:color="auto"/>
        <w:bottom w:val="none" w:sz="0" w:space="0" w:color="auto"/>
        <w:right w:val="none" w:sz="0" w:space="0" w:color="auto"/>
      </w:divBdr>
      <w:divsChild>
        <w:div w:id="1518348500">
          <w:marLeft w:val="0"/>
          <w:marRight w:val="0"/>
          <w:marTop w:val="0"/>
          <w:marBottom w:val="0"/>
          <w:divBdr>
            <w:top w:val="none" w:sz="0" w:space="0" w:color="auto"/>
            <w:left w:val="none" w:sz="0" w:space="0" w:color="auto"/>
            <w:bottom w:val="none" w:sz="0" w:space="0" w:color="auto"/>
            <w:right w:val="none" w:sz="0" w:space="0" w:color="auto"/>
          </w:divBdr>
          <w:divsChild>
            <w:div w:id="1513884612">
              <w:marLeft w:val="0"/>
              <w:marRight w:val="0"/>
              <w:marTop w:val="0"/>
              <w:marBottom w:val="0"/>
              <w:divBdr>
                <w:top w:val="none" w:sz="0" w:space="0" w:color="auto"/>
                <w:left w:val="none" w:sz="0" w:space="0" w:color="auto"/>
                <w:bottom w:val="none" w:sz="0" w:space="0" w:color="auto"/>
                <w:right w:val="none" w:sz="0" w:space="0" w:color="auto"/>
              </w:divBdr>
              <w:divsChild>
                <w:div w:id="861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79389">
      <w:bodyDiv w:val="1"/>
      <w:marLeft w:val="0"/>
      <w:marRight w:val="0"/>
      <w:marTop w:val="0"/>
      <w:marBottom w:val="0"/>
      <w:divBdr>
        <w:top w:val="none" w:sz="0" w:space="0" w:color="auto"/>
        <w:left w:val="none" w:sz="0" w:space="0" w:color="auto"/>
        <w:bottom w:val="none" w:sz="0" w:space="0" w:color="auto"/>
        <w:right w:val="none" w:sz="0" w:space="0" w:color="auto"/>
      </w:divBdr>
    </w:div>
    <w:div w:id="1421832976">
      <w:bodyDiv w:val="1"/>
      <w:marLeft w:val="0"/>
      <w:marRight w:val="0"/>
      <w:marTop w:val="0"/>
      <w:marBottom w:val="0"/>
      <w:divBdr>
        <w:top w:val="none" w:sz="0" w:space="0" w:color="auto"/>
        <w:left w:val="none" w:sz="0" w:space="0" w:color="auto"/>
        <w:bottom w:val="none" w:sz="0" w:space="0" w:color="auto"/>
        <w:right w:val="none" w:sz="0" w:space="0" w:color="auto"/>
      </w:divBdr>
    </w:div>
    <w:div w:id="1434781519">
      <w:bodyDiv w:val="1"/>
      <w:marLeft w:val="0"/>
      <w:marRight w:val="0"/>
      <w:marTop w:val="0"/>
      <w:marBottom w:val="0"/>
      <w:divBdr>
        <w:top w:val="none" w:sz="0" w:space="0" w:color="auto"/>
        <w:left w:val="none" w:sz="0" w:space="0" w:color="auto"/>
        <w:bottom w:val="none" w:sz="0" w:space="0" w:color="auto"/>
        <w:right w:val="none" w:sz="0" w:space="0" w:color="auto"/>
      </w:divBdr>
    </w:div>
    <w:div w:id="1456100434">
      <w:bodyDiv w:val="1"/>
      <w:marLeft w:val="0"/>
      <w:marRight w:val="0"/>
      <w:marTop w:val="0"/>
      <w:marBottom w:val="0"/>
      <w:divBdr>
        <w:top w:val="none" w:sz="0" w:space="0" w:color="auto"/>
        <w:left w:val="none" w:sz="0" w:space="0" w:color="auto"/>
        <w:bottom w:val="none" w:sz="0" w:space="0" w:color="auto"/>
        <w:right w:val="none" w:sz="0" w:space="0" w:color="auto"/>
      </w:divBdr>
    </w:div>
    <w:div w:id="1461536863">
      <w:bodyDiv w:val="1"/>
      <w:marLeft w:val="0"/>
      <w:marRight w:val="0"/>
      <w:marTop w:val="0"/>
      <w:marBottom w:val="0"/>
      <w:divBdr>
        <w:top w:val="none" w:sz="0" w:space="0" w:color="auto"/>
        <w:left w:val="none" w:sz="0" w:space="0" w:color="auto"/>
        <w:bottom w:val="none" w:sz="0" w:space="0" w:color="auto"/>
        <w:right w:val="none" w:sz="0" w:space="0" w:color="auto"/>
      </w:divBdr>
    </w:div>
    <w:div w:id="1484542539">
      <w:bodyDiv w:val="1"/>
      <w:marLeft w:val="0"/>
      <w:marRight w:val="0"/>
      <w:marTop w:val="0"/>
      <w:marBottom w:val="0"/>
      <w:divBdr>
        <w:top w:val="none" w:sz="0" w:space="0" w:color="auto"/>
        <w:left w:val="none" w:sz="0" w:space="0" w:color="auto"/>
        <w:bottom w:val="none" w:sz="0" w:space="0" w:color="auto"/>
        <w:right w:val="none" w:sz="0" w:space="0" w:color="auto"/>
      </w:divBdr>
    </w:div>
    <w:div w:id="1500775855">
      <w:bodyDiv w:val="1"/>
      <w:marLeft w:val="0"/>
      <w:marRight w:val="0"/>
      <w:marTop w:val="0"/>
      <w:marBottom w:val="0"/>
      <w:divBdr>
        <w:top w:val="none" w:sz="0" w:space="0" w:color="auto"/>
        <w:left w:val="none" w:sz="0" w:space="0" w:color="auto"/>
        <w:bottom w:val="none" w:sz="0" w:space="0" w:color="auto"/>
        <w:right w:val="none" w:sz="0" w:space="0" w:color="auto"/>
      </w:divBdr>
    </w:div>
    <w:div w:id="1508444393">
      <w:bodyDiv w:val="1"/>
      <w:marLeft w:val="0"/>
      <w:marRight w:val="0"/>
      <w:marTop w:val="0"/>
      <w:marBottom w:val="0"/>
      <w:divBdr>
        <w:top w:val="none" w:sz="0" w:space="0" w:color="auto"/>
        <w:left w:val="none" w:sz="0" w:space="0" w:color="auto"/>
        <w:bottom w:val="none" w:sz="0" w:space="0" w:color="auto"/>
        <w:right w:val="none" w:sz="0" w:space="0" w:color="auto"/>
      </w:divBdr>
    </w:div>
    <w:div w:id="1511872649">
      <w:bodyDiv w:val="1"/>
      <w:marLeft w:val="0"/>
      <w:marRight w:val="0"/>
      <w:marTop w:val="0"/>
      <w:marBottom w:val="0"/>
      <w:divBdr>
        <w:top w:val="none" w:sz="0" w:space="0" w:color="auto"/>
        <w:left w:val="none" w:sz="0" w:space="0" w:color="auto"/>
        <w:bottom w:val="none" w:sz="0" w:space="0" w:color="auto"/>
        <w:right w:val="none" w:sz="0" w:space="0" w:color="auto"/>
      </w:divBdr>
    </w:div>
    <w:div w:id="1513296968">
      <w:bodyDiv w:val="1"/>
      <w:marLeft w:val="0"/>
      <w:marRight w:val="0"/>
      <w:marTop w:val="0"/>
      <w:marBottom w:val="0"/>
      <w:divBdr>
        <w:top w:val="none" w:sz="0" w:space="0" w:color="auto"/>
        <w:left w:val="none" w:sz="0" w:space="0" w:color="auto"/>
        <w:bottom w:val="none" w:sz="0" w:space="0" w:color="auto"/>
        <w:right w:val="none" w:sz="0" w:space="0" w:color="auto"/>
      </w:divBdr>
    </w:div>
    <w:div w:id="1522629291">
      <w:bodyDiv w:val="1"/>
      <w:marLeft w:val="0"/>
      <w:marRight w:val="0"/>
      <w:marTop w:val="0"/>
      <w:marBottom w:val="0"/>
      <w:divBdr>
        <w:top w:val="none" w:sz="0" w:space="0" w:color="auto"/>
        <w:left w:val="none" w:sz="0" w:space="0" w:color="auto"/>
        <w:bottom w:val="none" w:sz="0" w:space="0" w:color="auto"/>
        <w:right w:val="none" w:sz="0" w:space="0" w:color="auto"/>
      </w:divBdr>
    </w:div>
    <w:div w:id="1551696965">
      <w:bodyDiv w:val="1"/>
      <w:marLeft w:val="0"/>
      <w:marRight w:val="0"/>
      <w:marTop w:val="0"/>
      <w:marBottom w:val="0"/>
      <w:divBdr>
        <w:top w:val="none" w:sz="0" w:space="0" w:color="auto"/>
        <w:left w:val="none" w:sz="0" w:space="0" w:color="auto"/>
        <w:bottom w:val="none" w:sz="0" w:space="0" w:color="auto"/>
        <w:right w:val="none" w:sz="0" w:space="0" w:color="auto"/>
      </w:divBdr>
    </w:div>
    <w:div w:id="1556623730">
      <w:bodyDiv w:val="1"/>
      <w:marLeft w:val="0"/>
      <w:marRight w:val="0"/>
      <w:marTop w:val="0"/>
      <w:marBottom w:val="0"/>
      <w:divBdr>
        <w:top w:val="none" w:sz="0" w:space="0" w:color="auto"/>
        <w:left w:val="none" w:sz="0" w:space="0" w:color="auto"/>
        <w:bottom w:val="none" w:sz="0" w:space="0" w:color="auto"/>
        <w:right w:val="none" w:sz="0" w:space="0" w:color="auto"/>
      </w:divBdr>
    </w:div>
    <w:div w:id="1579167563">
      <w:bodyDiv w:val="1"/>
      <w:marLeft w:val="0"/>
      <w:marRight w:val="0"/>
      <w:marTop w:val="0"/>
      <w:marBottom w:val="0"/>
      <w:divBdr>
        <w:top w:val="none" w:sz="0" w:space="0" w:color="auto"/>
        <w:left w:val="none" w:sz="0" w:space="0" w:color="auto"/>
        <w:bottom w:val="none" w:sz="0" w:space="0" w:color="auto"/>
        <w:right w:val="none" w:sz="0" w:space="0" w:color="auto"/>
      </w:divBdr>
    </w:div>
    <w:div w:id="1581332811">
      <w:bodyDiv w:val="1"/>
      <w:marLeft w:val="0"/>
      <w:marRight w:val="0"/>
      <w:marTop w:val="0"/>
      <w:marBottom w:val="0"/>
      <w:divBdr>
        <w:top w:val="none" w:sz="0" w:space="0" w:color="auto"/>
        <w:left w:val="none" w:sz="0" w:space="0" w:color="auto"/>
        <w:bottom w:val="none" w:sz="0" w:space="0" w:color="auto"/>
        <w:right w:val="none" w:sz="0" w:space="0" w:color="auto"/>
      </w:divBdr>
      <w:divsChild>
        <w:div w:id="1565221791">
          <w:marLeft w:val="0"/>
          <w:marRight w:val="0"/>
          <w:marTop w:val="0"/>
          <w:marBottom w:val="0"/>
          <w:divBdr>
            <w:top w:val="none" w:sz="0" w:space="0" w:color="auto"/>
            <w:left w:val="none" w:sz="0" w:space="0" w:color="auto"/>
            <w:bottom w:val="none" w:sz="0" w:space="0" w:color="auto"/>
            <w:right w:val="none" w:sz="0" w:space="0" w:color="auto"/>
          </w:divBdr>
          <w:divsChild>
            <w:div w:id="1147086289">
              <w:marLeft w:val="0"/>
              <w:marRight w:val="0"/>
              <w:marTop w:val="0"/>
              <w:marBottom w:val="0"/>
              <w:divBdr>
                <w:top w:val="none" w:sz="0" w:space="0" w:color="auto"/>
                <w:left w:val="none" w:sz="0" w:space="0" w:color="auto"/>
                <w:bottom w:val="none" w:sz="0" w:space="0" w:color="auto"/>
                <w:right w:val="none" w:sz="0" w:space="0" w:color="auto"/>
              </w:divBdr>
              <w:divsChild>
                <w:div w:id="11874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0958">
      <w:bodyDiv w:val="1"/>
      <w:marLeft w:val="0"/>
      <w:marRight w:val="0"/>
      <w:marTop w:val="0"/>
      <w:marBottom w:val="0"/>
      <w:divBdr>
        <w:top w:val="none" w:sz="0" w:space="0" w:color="auto"/>
        <w:left w:val="none" w:sz="0" w:space="0" w:color="auto"/>
        <w:bottom w:val="none" w:sz="0" w:space="0" w:color="auto"/>
        <w:right w:val="none" w:sz="0" w:space="0" w:color="auto"/>
      </w:divBdr>
    </w:div>
    <w:div w:id="1617634439">
      <w:bodyDiv w:val="1"/>
      <w:marLeft w:val="0"/>
      <w:marRight w:val="0"/>
      <w:marTop w:val="0"/>
      <w:marBottom w:val="0"/>
      <w:divBdr>
        <w:top w:val="none" w:sz="0" w:space="0" w:color="auto"/>
        <w:left w:val="none" w:sz="0" w:space="0" w:color="auto"/>
        <w:bottom w:val="none" w:sz="0" w:space="0" w:color="auto"/>
        <w:right w:val="none" w:sz="0" w:space="0" w:color="auto"/>
      </w:divBdr>
    </w:div>
    <w:div w:id="1650161160">
      <w:bodyDiv w:val="1"/>
      <w:marLeft w:val="0"/>
      <w:marRight w:val="0"/>
      <w:marTop w:val="0"/>
      <w:marBottom w:val="0"/>
      <w:divBdr>
        <w:top w:val="none" w:sz="0" w:space="0" w:color="auto"/>
        <w:left w:val="none" w:sz="0" w:space="0" w:color="auto"/>
        <w:bottom w:val="none" w:sz="0" w:space="0" w:color="auto"/>
        <w:right w:val="none" w:sz="0" w:space="0" w:color="auto"/>
      </w:divBdr>
    </w:div>
    <w:div w:id="1659915994">
      <w:bodyDiv w:val="1"/>
      <w:marLeft w:val="0"/>
      <w:marRight w:val="0"/>
      <w:marTop w:val="0"/>
      <w:marBottom w:val="0"/>
      <w:divBdr>
        <w:top w:val="none" w:sz="0" w:space="0" w:color="auto"/>
        <w:left w:val="none" w:sz="0" w:space="0" w:color="auto"/>
        <w:bottom w:val="none" w:sz="0" w:space="0" w:color="auto"/>
        <w:right w:val="none" w:sz="0" w:space="0" w:color="auto"/>
      </w:divBdr>
    </w:div>
    <w:div w:id="1669214419">
      <w:bodyDiv w:val="1"/>
      <w:marLeft w:val="0"/>
      <w:marRight w:val="0"/>
      <w:marTop w:val="0"/>
      <w:marBottom w:val="0"/>
      <w:divBdr>
        <w:top w:val="none" w:sz="0" w:space="0" w:color="auto"/>
        <w:left w:val="none" w:sz="0" w:space="0" w:color="auto"/>
        <w:bottom w:val="none" w:sz="0" w:space="0" w:color="auto"/>
        <w:right w:val="none" w:sz="0" w:space="0" w:color="auto"/>
      </w:divBdr>
    </w:div>
    <w:div w:id="1691222416">
      <w:bodyDiv w:val="1"/>
      <w:marLeft w:val="0"/>
      <w:marRight w:val="0"/>
      <w:marTop w:val="0"/>
      <w:marBottom w:val="0"/>
      <w:divBdr>
        <w:top w:val="none" w:sz="0" w:space="0" w:color="auto"/>
        <w:left w:val="none" w:sz="0" w:space="0" w:color="auto"/>
        <w:bottom w:val="none" w:sz="0" w:space="0" w:color="auto"/>
        <w:right w:val="none" w:sz="0" w:space="0" w:color="auto"/>
      </w:divBdr>
    </w:div>
    <w:div w:id="1718310098">
      <w:bodyDiv w:val="1"/>
      <w:marLeft w:val="0"/>
      <w:marRight w:val="0"/>
      <w:marTop w:val="0"/>
      <w:marBottom w:val="0"/>
      <w:divBdr>
        <w:top w:val="none" w:sz="0" w:space="0" w:color="auto"/>
        <w:left w:val="none" w:sz="0" w:space="0" w:color="auto"/>
        <w:bottom w:val="none" w:sz="0" w:space="0" w:color="auto"/>
        <w:right w:val="none" w:sz="0" w:space="0" w:color="auto"/>
      </w:divBdr>
    </w:div>
    <w:div w:id="1761833412">
      <w:bodyDiv w:val="1"/>
      <w:marLeft w:val="0"/>
      <w:marRight w:val="0"/>
      <w:marTop w:val="0"/>
      <w:marBottom w:val="0"/>
      <w:divBdr>
        <w:top w:val="none" w:sz="0" w:space="0" w:color="auto"/>
        <w:left w:val="none" w:sz="0" w:space="0" w:color="auto"/>
        <w:bottom w:val="none" w:sz="0" w:space="0" w:color="auto"/>
        <w:right w:val="none" w:sz="0" w:space="0" w:color="auto"/>
      </w:divBdr>
    </w:div>
    <w:div w:id="1784954521">
      <w:bodyDiv w:val="1"/>
      <w:marLeft w:val="0"/>
      <w:marRight w:val="0"/>
      <w:marTop w:val="0"/>
      <w:marBottom w:val="0"/>
      <w:divBdr>
        <w:top w:val="none" w:sz="0" w:space="0" w:color="auto"/>
        <w:left w:val="none" w:sz="0" w:space="0" w:color="auto"/>
        <w:bottom w:val="none" w:sz="0" w:space="0" w:color="auto"/>
        <w:right w:val="none" w:sz="0" w:space="0" w:color="auto"/>
      </w:divBdr>
    </w:div>
    <w:div w:id="1797720093">
      <w:bodyDiv w:val="1"/>
      <w:marLeft w:val="0"/>
      <w:marRight w:val="0"/>
      <w:marTop w:val="0"/>
      <w:marBottom w:val="0"/>
      <w:divBdr>
        <w:top w:val="none" w:sz="0" w:space="0" w:color="auto"/>
        <w:left w:val="none" w:sz="0" w:space="0" w:color="auto"/>
        <w:bottom w:val="none" w:sz="0" w:space="0" w:color="auto"/>
        <w:right w:val="none" w:sz="0" w:space="0" w:color="auto"/>
      </w:divBdr>
    </w:div>
    <w:div w:id="1800490098">
      <w:bodyDiv w:val="1"/>
      <w:marLeft w:val="0"/>
      <w:marRight w:val="0"/>
      <w:marTop w:val="0"/>
      <w:marBottom w:val="0"/>
      <w:divBdr>
        <w:top w:val="none" w:sz="0" w:space="0" w:color="auto"/>
        <w:left w:val="none" w:sz="0" w:space="0" w:color="auto"/>
        <w:bottom w:val="none" w:sz="0" w:space="0" w:color="auto"/>
        <w:right w:val="none" w:sz="0" w:space="0" w:color="auto"/>
      </w:divBdr>
      <w:divsChild>
        <w:div w:id="1856532033">
          <w:marLeft w:val="0"/>
          <w:marRight w:val="0"/>
          <w:marTop w:val="0"/>
          <w:marBottom w:val="0"/>
          <w:divBdr>
            <w:top w:val="none" w:sz="0" w:space="0" w:color="auto"/>
            <w:left w:val="none" w:sz="0" w:space="0" w:color="auto"/>
            <w:bottom w:val="none" w:sz="0" w:space="0" w:color="auto"/>
            <w:right w:val="none" w:sz="0" w:space="0" w:color="auto"/>
          </w:divBdr>
          <w:divsChild>
            <w:div w:id="1028986224">
              <w:marLeft w:val="0"/>
              <w:marRight w:val="0"/>
              <w:marTop w:val="0"/>
              <w:marBottom w:val="0"/>
              <w:divBdr>
                <w:top w:val="none" w:sz="0" w:space="0" w:color="auto"/>
                <w:left w:val="none" w:sz="0" w:space="0" w:color="auto"/>
                <w:bottom w:val="none" w:sz="0" w:space="0" w:color="auto"/>
                <w:right w:val="none" w:sz="0" w:space="0" w:color="auto"/>
              </w:divBdr>
              <w:divsChild>
                <w:div w:id="14054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9394">
      <w:bodyDiv w:val="1"/>
      <w:marLeft w:val="0"/>
      <w:marRight w:val="0"/>
      <w:marTop w:val="0"/>
      <w:marBottom w:val="0"/>
      <w:divBdr>
        <w:top w:val="none" w:sz="0" w:space="0" w:color="auto"/>
        <w:left w:val="none" w:sz="0" w:space="0" w:color="auto"/>
        <w:bottom w:val="none" w:sz="0" w:space="0" w:color="auto"/>
        <w:right w:val="none" w:sz="0" w:space="0" w:color="auto"/>
      </w:divBdr>
    </w:div>
    <w:div w:id="1845317108">
      <w:bodyDiv w:val="1"/>
      <w:marLeft w:val="0"/>
      <w:marRight w:val="0"/>
      <w:marTop w:val="0"/>
      <w:marBottom w:val="0"/>
      <w:divBdr>
        <w:top w:val="none" w:sz="0" w:space="0" w:color="auto"/>
        <w:left w:val="none" w:sz="0" w:space="0" w:color="auto"/>
        <w:bottom w:val="none" w:sz="0" w:space="0" w:color="auto"/>
        <w:right w:val="none" w:sz="0" w:space="0" w:color="auto"/>
      </w:divBdr>
      <w:divsChild>
        <w:div w:id="1156341022">
          <w:marLeft w:val="0"/>
          <w:marRight w:val="0"/>
          <w:marTop w:val="0"/>
          <w:marBottom w:val="0"/>
          <w:divBdr>
            <w:top w:val="none" w:sz="0" w:space="0" w:color="auto"/>
            <w:left w:val="none" w:sz="0" w:space="0" w:color="auto"/>
            <w:bottom w:val="none" w:sz="0" w:space="0" w:color="auto"/>
            <w:right w:val="none" w:sz="0" w:space="0" w:color="auto"/>
          </w:divBdr>
          <w:divsChild>
            <w:div w:id="463809868">
              <w:marLeft w:val="0"/>
              <w:marRight w:val="0"/>
              <w:marTop w:val="0"/>
              <w:marBottom w:val="0"/>
              <w:divBdr>
                <w:top w:val="none" w:sz="0" w:space="0" w:color="auto"/>
                <w:left w:val="none" w:sz="0" w:space="0" w:color="auto"/>
                <w:bottom w:val="none" w:sz="0" w:space="0" w:color="auto"/>
                <w:right w:val="none" w:sz="0" w:space="0" w:color="auto"/>
              </w:divBdr>
              <w:divsChild>
                <w:div w:id="18538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57799">
      <w:bodyDiv w:val="1"/>
      <w:marLeft w:val="0"/>
      <w:marRight w:val="0"/>
      <w:marTop w:val="0"/>
      <w:marBottom w:val="0"/>
      <w:divBdr>
        <w:top w:val="none" w:sz="0" w:space="0" w:color="auto"/>
        <w:left w:val="none" w:sz="0" w:space="0" w:color="auto"/>
        <w:bottom w:val="none" w:sz="0" w:space="0" w:color="auto"/>
        <w:right w:val="none" w:sz="0" w:space="0" w:color="auto"/>
      </w:divBdr>
    </w:div>
    <w:div w:id="1909488350">
      <w:bodyDiv w:val="1"/>
      <w:marLeft w:val="0"/>
      <w:marRight w:val="0"/>
      <w:marTop w:val="0"/>
      <w:marBottom w:val="0"/>
      <w:divBdr>
        <w:top w:val="none" w:sz="0" w:space="0" w:color="auto"/>
        <w:left w:val="none" w:sz="0" w:space="0" w:color="auto"/>
        <w:bottom w:val="none" w:sz="0" w:space="0" w:color="auto"/>
        <w:right w:val="none" w:sz="0" w:space="0" w:color="auto"/>
      </w:divBdr>
    </w:div>
    <w:div w:id="1932854670">
      <w:bodyDiv w:val="1"/>
      <w:marLeft w:val="0"/>
      <w:marRight w:val="0"/>
      <w:marTop w:val="0"/>
      <w:marBottom w:val="0"/>
      <w:divBdr>
        <w:top w:val="none" w:sz="0" w:space="0" w:color="auto"/>
        <w:left w:val="none" w:sz="0" w:space="0" w:color="auto"/>
        <w:bottom w:val="none" w:sz="0" w:space="0" w:color="auto"/>
        <w:right w:val="none" w:sz="0" w:space="0" w:color="auto"/>
      </w:divBdr>
    </w:div>
    <w:div w:id="1957709293">
      <w:bodyDiv w:val="1"/>
      <w:marLeft w:val="0"/>
      <w:marRight w:val="0"/>
      <w:marTop w:val="0"/>
      <w:marBottom w:val="0"/>
      <w:divBdr>
        <w:top w:val="none" w:sz="0" w:space="0" w:color="auto"/>
        <w:left w:val="none" w:sz="0" w:space="0" w:color="auto"/>
        <w:bottom w:val="none" w:sz="0" w:space="0" w:color="auto"/>
        <w:right w:val="none" w:sz="0" w:space="0" w:color="auto"/>
      </w:divBdr>
    </w:div>
    <w:div w:id="1990787245">
      <w:bodyDiv w:val="1"/>
      <w:marLeft w:val="0"/>
      <w:marRight w:val="0"/>
      <w:marTop w:val="0"/>
      <w:marBottom w:val="0"/>
      <w:divBdr>
        <w:top w:val="none" w:sz="0" w:space="0" w:color="auto"/>
        <w:left w:val="none" w:sz="0" w:space="0" w:color="auto"/>
        <w:bottom w:val="none" w:sz="0" w:space="0" w:color="auto"/>
        <w:right w:val="none" w:sz="0" w:space="0" w:color="auto"/>
      </w:divBdr>
    </w:div>
    <w:div w:id="2008095281">
      <w:bodyDiv w:val="1"/>
      <w:marLeft w:val="0"/>
      <w:marRight w:val="0"/>
      <w:marTop w:val="0"/>
      <w:marBottom w:val="0"/>
      <w:divBdr>
        <w:top w:val="none" w:sz="0" w:space="0" w:color="auto"/>
        <w:left w:val="none" w:sz="0" w:space="0" w:color="auto"/>
        <w:bottom w:val="none" w:sz="0" w:space="0" w:color="auto"/>
        <w:right w:val="none" w:sz="0" w:space="0" w:color="auto"/>
      </w:divBdr>
    </w:div>
    <w:div w:id="2009865976">
      <w:bodyDiv w:val="1"/>
      <w:marLeft w:val="0"/>
      <w:marRight w:val="0"/>
      <w:marTop w:val="0"/>
      <w:marBottom w:val="0"/>
      <w:divBdr>
        <w:top w:val="none" w:sz="0" w:space="0" w:color="auto"/>
        <w:left w:val="none" w:sz="0" w:space="0" w:color="auto"/>
        <w:bottom w:val="none" w:sz="0" w:space="0" w:color="auto"/>
        <w:right w:val="none" w:sz="0" w:space="0" w:color="auto"/>
      </w:divBdr>
    </w:div>
    <w:div w:id="2024893538">
      <w:bodyDiv w:val="1"/>
      <w:marLeft w:val="0"/>
      <w:marRight w:val="0"/>
      <w:marTop w:val="0"/>
      <w:marBottom w:val="0"/>
      <w:divBdr>
        <w:top w:val="none" w:sz="0" w:space="0" w:color="auto"/>
        <w:left w:val="none" w:sz="0" w:space="0" w:color="auto"/>
        <w:bottom w:val="none" w:sz="0" w:space="0" w:color="auto"/>
        <w:right w:val="none" w:sz="0" w:space="0" w:color="auto"/>
      </w:divBdr>
    </w:div>
    <w:div w:id="2026319818">
      <w:bodyDiv w:val="1"/>
      <w:marLeft w:val="0"/>
      <w:marRight w:val="0"/>
      <w:marTop w:val="0"/>
      <w:marBottom w:val="0"/>
      <w:divBdr>
        <w:top w:val="none" w:sz="0" w:space="0" w:color="auto"/>
        <w:left w:val="none" w:sz="0" w:space="0" w:color="auto"/>
        <w:bottom w:val="none" w:sz="0" w:space="0" w:color="auto"/>
        <w:right w:val="none" w:sz="0" w:space="0" w:color="auto"/>
      </w:divBdr>
      <w:divsChild>
        <w:div w:id="1763605552">
          <w:marLeft w:val="0"/>
          <w:marRight w:val="0"/>
          <w:marTop w:val="0"/>
          <w:marBottom w:val="0"/>
          <w:divBdr>
            <w:top w:val="none" w:sz="0" w:space="0" w:color="auto"/>
            <w:left w:val="none" w:sz="0" w:space="0" w:color="auto"/>
            <w:bottom w:val="none" w:sz="0" w:space="0" w:color="auto"/>
            <w:right w:val="none" w:sz="0" w:space="0" w:color="auto"/>
          </w:divBdr>
          <w:divsChild>
            <w:div w:id="1276060914">
              <w:marLeft w:val="0"/>
              <w:marRight w:val="0"/>
              <w:marTop w:val="0"/>
              <w:marBottom w:val="0"/>
              <w:divBdr>
                <w:top w:val="none" w:sz="0" w:space="0" w:color="auto"/>
                <w:left w:val="none" w:sz="0" w:space="0" w:color="auto"/>
                <w:bottom w:val="none" w:sz="0" w:space="0" w:color="auto"/>
                <w:right w:val="none" w:sz="0" w:space="0" w:color="auto"/>
              </w:divBdr>
              <w:divsChild>
                <w:div w:id="14692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50312">
      <w:bodyDiv w:val="1"/>
      <w:marLeft w:val="0"/>
      <w:marRight w:val="0"/>
      <w:marTop w:val="0"/>
      <w:marBottom w:val="0"/>
      <w:divBdr>
        <w:top w:val="none" w:sz="0" w:space="0" w:color="auto"/>
        <w:left w:val="none" w:sz="0" w:space="0" w:color="auto"/>
        <w:bottom w:val="none" w:sz="0" w:space="0" w:color="auto"/>
        <w:right w:val="none" w:sz="0" w:space="0" w:color="auto"/>
      </w:divBdr>
    </w:div>
    <w:div w:id="2081710331">
      <w:bodyDiv w:val="1"/>
      <w:marLeft w:val="0"/>
      <w:marRight w:val="0"/>
      <w:marTop w:val="0"/>
      <w:marBottom w:val="0"/>
      <w:divBdr>
        <w:top w:val="none" w:sz="0" w:space="0" w:color="auto"/>
        <w:left w:val="none" w:sz="0" w:space="0" w:color="auto"/>
        <w:bottom w:val="none" w:sz="0" w:space="0" w:color="auto"/>
        <w:right w:val="none" w:sz="0" w:space="0" w:color="auto"/>
      </w:divBdr>
    </w:div>
    <w:div w:id="2105957386">
      <w:bodyDiv w:val="1"/>
      <w:marLeft w:val="0"/>
      <w:marRight w:val="0"/>
      <w:marTop w:val="0"/>
      <w:marBottom w:val="0"/>
      <w:divBdr>
        <w:top w:val="none" w:sz="0" w:space="0" w:color="auto"/>
        <w:left w:val="none" w:sz="0" w:space="0" w:color="auto"/>
        <w:bottom w:val="none" w:sz="0" w:space="0" w:color="auto"/>
        <w:right w:val="none" w:sz="0" w:space="0" w:color="auto"/>
      </w:divBdr>
    </w:div>
    <w:div w:id="2131971489">
      <w:bodyDiv w:val="1"/>
      <w:marLeft w:val="0"/>
      <w:marRight w:val="0"/>
      <w:marTop w:val="0"/>
      <w:marBottom w:val="0"/>
      <w:divBdr>
        <w:top w:val="none" w:sz="0" w:space="0" w:color="auto"/>
        <w:left w:val="none" w:sz="0" w:space="0" w:color="auto"/>
        <w:bottom w:val="none" w:sz="0" w:space="0" w:color="auto"/>
        <w:right w:val="none" w:sz="0" w:space="0" w:color="auto"/>
      </w:divBdr>
    </w:div>
    <w:div w:id="2133747586">
      <w:bodyDiv w:val="1"/>
      <w:marLeft w:val="0"/>
      <w:marRight w:val="0"/>
      <w:marTop w:val="0"/>
      <w:marBottom w:val="0"/>
      <w:divBdr>
        <w:top w:val="none" w:sz="0" w:space="0" w:color="auto"/>
        <w:left w:val="none" w:sz="0" w:space="0" w:color="auto"/>
        <w:bottom w:val="none" w:sz="0" w:space="0" w:color="auto"/>
        <w:right w:val="none" w:sz="0" w:space="0" w:color="auto"/>
      </w:divBdr>
    </w:div>
    <w:div w:id="2135824324">
      <w:bodyDiv w:val="1"/>
      <w:marLeft w:val="0"/>
      <w:marRight w:val="0"/>
      <w:marTop w:val="0"/>
      <w:marBottom w:val="0"/>
      <w:divBdr>
        <w:top w:val="none" w:sz="0" w:space="0" w:color="auto"/>
        <w:left w:val="none" w:sz="0" w:space="0" w:color="auto"/>
        <w:bottom w:val="none" w:sz="0" w:space="0" w:color="auto"/>
        <w:right w:val="none" w:sz="0" w:space="0" w:color="auto"/>
      </w:divBdr>
    </w:div>
    <w:div w:id="214573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amnesty.org/en/library/info/EUR42/001/2009/en" TargetMode="Externa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amnesty.org/en/library/info/ASA43/002/2009/en" TargetMode="External"/><Relationship Id="rId33" Type="http://schemas.openxmlformats.org/officeDocument/2006/relationships/header" Target="header9.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mnesty.org/en/library/info/EUR23/003/2008/en" TargetMode="Externa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mnesty.org/en/library/info/EUR15/001/2009/en" TargetMode="External"/><Relationship Id="rId28" Type="http://schemas.openxmlformats.org/officeDocument/2006/relationships/hyperlink" Target="http://www.amnesty.org/es/library/info/AMR53/006/2009/es" TargetMode="Externa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www.canlii.org/en/ca/scc/doc/1992/1992canlii118/1992canlii118.pdf" TargetMode="External"/><Relationship Id="rId27" Type="http://schemas.openxmlformats.org/officeDocument/2006/relationships/hyperlink" Target="http://www.amnesty.org/en/library/info/AMR53/006/2009/en" TargetMode="External"/><Relationship Id="rId30" Type="http://schemas.openxmlformats.org/officeDocument/2006/relationships/header" Target="header8.xml"/><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lexisnexis.com/ca/legal/search/runRemoteLink.do?langcountry=CA&amp;linkInfo=F%23CA%23SCCA%23year%251996%25sel1%251996%25ref%25582%25&amp;risb=21_T15708711872&amp;bct=A&amp;service=citation&amp;A=0.44641521222145875" TargetMode="External"/><Relationship Id="rId2" Type="http://schemas.openxmlformats.org/officeDocument/2006/relationships/hyperlink" Target="http://www.international.gc.ca/arms-armes/non_nuclear-non_nucleaire/bio_legislation-bio_lois.aspx?view=d" TargetMode="External"/><Relationship Id="rId1" Type="http://schemas.openxmlformats.org/officeDocument/2006/relationships/hyperlink" Target="http://www.trc.ca/assets/pdf/Honouring_the_Truth_Reconciling_for_the_Future_July_23_20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84FA-4B07-8E45-8D60-4DF84D85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164</Pages>
  <Words>52331</Words>
  <Characters>298292</Characters>
  <Application>Microsoft Office Word</Application>
  <DocSecurity>4</DocSecurity>
  <Lines>2485</Lines>
  <Paragraphs>699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349924</CharactersWithSpaces>
  <SharedDoc>false</SharedDoc>
  <HLinks>
    <vt:vector size="264" baseType="variant">
      <vt:variant>
        <vt:i4>5439518</vt:i4>
      </vt:variant>
      <vt:variant>
        <vt:i4>393</vt:i4>
      </vt:variant>
      <vt:variant>
        <vt:i4>0</vt:i4>
      </vt:variant>
      <vt:variant>
        <vt:i4>5</vt:i4>
      </vt:variant>
      <vt:variant>
        <vt:lpwstr>http://www.amnesty.org/es/library/info/AMR53/006/2009/es</vt:lpwstr>
      </vt:variant>
      <vt:variant>
        <vt:lpwstr/>
      </vt:variant>
      <vt:variant>
        <vt:i4>5111811</vt:i4>
      </vt:variant>
      <vt:variant>
        <vt:i4>390</vt:i4>
      </vt:variant>
      <vt:variant>
        <vt:i4>0</vt:i4>
      </vt:variant>
      <vt:variant>
        <vt:i4>5</vt:i4>
      </vt:variant>
      <vt:variant>
        <vt:lpwstr>http://www.amnesty.org/en/library/info/AMR53/006/2009/en</vt:lpwstr>
      </vt:variant>
      <vt:variant>
        <vt:lpwstr/>
      </vt:variant>
      <vt:variant>
        <vt:i4>4980762</vt:i4>
      </vt:variant>
      <vt:variant>
        <vt:i4>387</vt:i4>
      </vt:variant>
      <vt:variant>
        <vt:i4>0</vt:i4>
      </vt:variant>
      <vt:variant>
        <vt:i4>5</vt:i4>
      </vt:variant>
      <vt:variant>
        <vt:lpwstr>http://www.amnesty.org/en/library/info/EUR42/001/2009/en</vt:lpwstr>
      </vt:variant>
      <vt:variant>
        <vt:lpwstr/>
      </vt:variant>
      <vt:variant>
        <vt:i4>5832732</vt:i4>
      </vt:variant>
      <vt:variant>
        <vt:i4>384</vt:i4>
      </vt:variant>
      <vt:variant>
        <vt:i4>0</vt:i4>
      </vt:variant>
      <vt:variant>
        <vt:i4>5</vt:i4>
      </vt:variant>
      <vt:variant>
        <vt:lpwstr>http://www.amnesty.org/en/library/info/ASA43/002/2009/en</vt:lpwstr>
      </vt:variant>
      <vt:variant>
        <vt:lpwstr/>
      </vt:variant>
      <vt:variant>
        <vt:i4>5177373</vt:i4>
      </vt:variant>
      <vt:variant>
        <vt:i4>381</vt:i4>
      </vt:variant>
      <vt:variant>
        <vt:i4>0</vt:i4>
      </vt:variant>
      <vt:variant>
        <vt:i4>5</vt:i4>
      </vt:variant>
      <vt:variant>
        <vt:lpwstr>http://www.amnesty.org/en/library/info/EUR23/003/2008/en</vt:lpwstr>
      </vt:variant>
      <vt:variant>
        <vt:lpwstr/>
      </vt:variant>
      <vt:variant>
        <vt:i4>4915231</vt:i4>
      </vt:variant>
      <vt:variant>
        <vt:i4>378</vt:i4>
      </vt:variant>
      <vt:variant>
        <vt:i4>0</vt:i4>
      </vt:variant>
      <vt:variant>
        <vt:i4>5</vt:i4>
      </vt:variant>
      <vt:variant>
        <vt:lpwstr>http://www.amnesty.org/en/library/info/EUR15/001/2009/en</vt:lpwstr>
      </vt:variant>
      <vt:variant>
        <vt:lpwstr/>
      </vt:variant>
      <vt:variant>
        <vt:i4>5636171</vt:i4>
      </vt:variant>
      <vt:variant>
        <vt:i4>111</vt:i4>
      </vt:variant>
      <vt:variant>
        <vt:i4>0</vt:i4>
      </vt:variant>
      <vt:variant>
        <vt:i4>5</vt:i4>
      </vt:variant>
      <vt:variant>
        <vt:lpwstr>http://www.rcmp-grc.gc.ca/pubs/wc-cg-eng.htm</vt:lpwstr>
      </vt:variant>
      <vt:variant>
        <vt:lpwstr/>
      </vt:variant>
      <vt:variant>
        <vt:i4>3932160</vt:i4>
      </vt:variant>
      <vt:variant>
        <vt:i4>108</vt:i4>
      </vt:variant>
      <vt:variant>
        <vt:i4>0</vt:i4>
      </vt:variant>
      <vt:variant>
        <vt:i4>5</vt:i4>
      </vt:variant>
      <vt:variant>
        <vt:lpwstr>http://www.ppsc-sppc.gc.ca/eng/</vt:lpwstr>
      </vt:variant>
      <vt:variant>
        <vt:lpwstr/>
      </vt:variant>
      <vt:variant>
        <vt:i4>5505075</vt:i4>
      </vt:variant>
      <vt:variant>
        <vt:i4>105</vt:i4>
      </vt:variant>
      <vt:variant>
        <vt:i4>0</vt:i4>
      </vt:variant>
      <vt:variant>
        <vt:i4>5</vt:i4>
      </vt:variant>
      <vt:variant>
        <vt:lpwstr>http://www.isrcl.org/</vt:lpwstr>
      </vt:variant>
      <vt:variant>
        <vt:lpwstr/>
      </vt:variant>
      <vt:variant>
        <vt:i4>458756</vt:i4>
      </vt:variant>
      <vt:variant>
        <vt:i4>102</vt:i4>
      </vt:variant>
      <vt:variant>
        <vt:i4>0</vt:i4>
      </vt:variant>
      <vt:variant>
        <vt:i4>5</vt:i4>
      </vt:variant>
      <vt:variant>
        <vt:lpwstr>http://publications.gc.ca/collections/collection_2008/lop-bdp/ls/362-360E.pdf</vt:lpwstr>
      </vt:variant>
      <vt:variant>
        <vt:lpwstr/>
      </vt:variant>
      <vt:variant>
        <vt:i4>4456478</vt:i4>
      </vt:variant>
      <vt:variant>
        <vt:i4>99</vt:i4>
      </vt:variant>
      <vt:variant>
        <vt:i4>0</vt:i4>
      </vt:variant>
      <vt:variant>
        <vt:i4>5</vt:i4>
      </vt:variant>
      <vt:variant>
        <vt:lpwstr>http://www.amnesty.org/en/alfresco_asset/a50d5cdf-a508-11dc-a92d-271514ed133d/ior530012003en.html</vt:lpwstr>
      </vt:variant>
      <vt:variant>
        <vt:lpwstr/>
      </vt:variant>
      <vt:variant>
        <vt:i4>458756</vt:i4>
      </vt:variant>
      <vt:variant>
        <vt:i4>96</vt:i4>
      </vt:variant>
      <vt:variant>
        <vt:i4>0</vt:i4>
      </vt:variant>
      <vt:variant>
        <vt:i4>5</vt:i4>
      </vt:variant>
      <vt:variant>
        <vt:lpwstr>http://publications.gc.ca/collections/collection_2008/lop-bdp/ls/362-360E.pdf</vt:lpwstr>
      </vt:variant>
      <vt:variant>
        <vt:lpwstr/>
      </vt:variant>
      <vt:variant>
        <vt:i4>7536696</vt:i4>
      </vt:variant>
      <vt:variant>
        <vt:i4>93</vt:i4>
      </vt:variant>
      <vt:variant>
        <vt:i4>0</vt:i4>
      </vt:variant>
      <vt:variant>
        <vt:i4>5</vt:i4>
      </vt:variant>
      <vt:variant>
        <vt:lpwstr>http://daccess-dds-ny.un.org/doc/UNDOC/GEN/G09/431/65/PDF/G0943165.pdf?OpenElement</vt:lpwstr>
      </vt:variant>
      <vt:variant>
        <vt:lpwstr/>
      </vt:variant>
      <vt:variant>
        <vt:i4>131107</vt:i4>
      </vt:variant>
      <vt:variant>
        <vt:i4>90</vt:i4>
      </vt:variant>
      <vt:variant>
        <vt:i4>0</vt:i4>
      </vt:variant>
      <vt:variant>
        <vt:i4>5</vt:i4>
      </vt:variant>
      <vt:variant>
        <vt:lpwstr>http://www.unhchr.ch/tbs/doc.nsf/898586b1dc7b4043c1256a450044f331/a3bd1b89d20ea373c1257046004c1479/$FILE/G0542837.pdf</vt:lpwstr>
      </vt:variant>
      <vt:variant>
        <vt:lpwstr/>
      </vt:variant>
      <vt:variant>
        <vt:i4>2687010</vt:i4>
      </vt:variant>
      <vt:variant>
        <vt:i4>87</vt:i4>
      </vt:variant>
      <vt:variant>
        <vt:i4>0</vt:i4>
      </vt:variant>
      <vt:variant>
        <vt:i4>5</vt:i4>
      </vt:variant>
      <vt:variant>
        <vt:lpwstr>http://treaties.un.org/Pages/ViewDetails.aspx?src=UNTSONLINE&amp;tabid=2&amp;mtdsg_no=XXVI-6&amp;chapter=26&amp;lang=en</vt:lpwstr>
      </vt:variant>
      <vt:variant>
        <vt:lpwstr/>
      </vt:variant>
      <vt:variant>
        <vt:i4>4784143</vt:i4>
      </vt:variant>
      <vt:variant>
        <vt:i4>84</vt:i4>
      </vt:variant>
      <vt:variant>
        <vt:i4>0</vt:i4>
      </vt:variant>
      <vt:variant>
        <vt:i4>5</vt:i4>
      </vt:variant>
      <vt:variant>
        <vt:lpwstr>http://treaties.un.org/Pages/ViewDetails.aspx?src=UNTSONLINE&amp;tabid=2&amp;mtdsg_no=XXVI-2-d&amp;chapter=26&amp;lang=en</vt:lpwstr>
      </vt:variant>
      <vt:variant>
        <vt:lpwstr/>
      </vt:variant>
      <vt:variant>
        <vt:i4>69</vt:i4>
      </vt:variant>
      <vt:variant>
        <vt:i4>81</vt:i4>
      </vt:variant>
      <vt:variant>
        <vt:i4>0</vt:i4>
      </vt:variant>
      <vt:variant>
        <vt:i4>5</vt:i4>
      </vt:variant>
      <vt:variant>
        <vt:lpwstr>http://treaties.un.org/Pages/showDetails.aspx?objid=080000028003ac2c</vt:lpwstr>
      </vt:variant>
      <vt:variant>
        <vt:lpwstr/>
      </vt:variant>
      <vt:variant>
        <vt:i4>3407990</vt:i4>
      </vt:variant>
      <vt:variant>
        <vt:i4>78</vt:i4>
      </vt:variant>
      <vt:variant>
        <vt:i4>0</vt:i4>
      </vt:variant>
      <vt:variant>
        <vt:i4>5</vt:i4>
      </vt:variant>
      <vt:variant>
        <vt:lpwstr>http://treaties.un.org/Pages/ViewDetails.aspx?src=UNTSONLINE&amp;tabid=2&amp;mtdsg_no=IV-11-b&amp;chapter=4&amp;lang=en</vt:lpwstr>
      </vt:variant>
      <vt:variant>
        <vt:lpwstr/>
      </vt:variant>
      <vt:variant>
        <vt:i4>5374020</vt:i4>
      </vt:variant>
      <vt:variant>
        <vt:i4>75</vt:i4>
      </vt:variant>
      <vt:variant>
        <vt:i4>0</vt:i4>
      </vt:variant>
      <vt:variant>
        <vt:i4>5</vt:i4>
      </vt:variant>
      <vt:variant>
        <vt:lpwstr>http://treaties.un.org/Pages/showDetails.aspx?objid=0800000280076dd2</vt:lpwstr>
      </vt:variant>
      <vt:variant>
        <vt:lpwstr/>
      </vt:variant>
      <vt:variant>
        <vt:i4>5701654</vt:i4>
      </vt:variant>
      <vt:variant>
        <vt:i4>72</vt:i4>
      </vt:variant>
      <vt:variant>
        <vt:i4>0</vt:i4>
      </vt:variant>
      <vt:variant>
        <vt:i4>5</vt:i4>
      </vt:variant>
      <vt:variant>
        <vt:lpwstr>http://treaties.un.org/Pages/showDetails.aspx?objid=0800000280006d60</vt:lpwstr>
      </vt:variant>
      <vt:variant>
        <vt:lpwstr/>
      </vt:variant>
      <vt:variant>
        <vt:i4>131150</vt:i4>
      </vt:variant>
      <vt:variant>
        <vt:i4>69</vt:i4>
      </vt:variant>
      <vt:variant>
        <vt:i4>0</vt:i4>
      </vt:variant>
      <vt:variant>
        <vt:i4>5</vt:i4>
      </vt:variant>
      <vt:variant>
        <vt:lpwstr>http://treaties.un.org/Pages/showDetails.aspx?objid=080000028003af9d</vt:lpwstr>
      </vt:variant>
      <vt:variant>
        <vt:lpwstr/>
      </vt:variant>
      <vt:variant>
        <vt:i4>5242946</vt:i4>
      </vt:variant>
      <vt:variant>
        <vt:i4>66</vt:i4>
      </vt:variant>
      <vt:variant>
        <vt:i4>0</vt:i4>
      </vt:variant>
      <vt:variant>
        <vt:i4>5</vt:i4>
      </vt:variant>
      <vt:variant>
        <vt:lpwstr>http://treaties.un.org/Pages/showDetails.aspx?objid=080000028003ac53</vt:lpwstr>
      </vt:variant>
      <vt:variant>
        <vt:lpwstr/>
      </vt:variant>
      <vt:variant>
        <vt:i4>5374023</vt:i4>
      </vt:variant>
      <vt:variant>
        <vt:i4>63</vt:i4>
      </vt:variant>
      <vt:variant>
        <vt:i4>0</vt:i4>
      </vt:variant>
      <vt:variant>
        <vt:i4>5</vt:i4>
      </vt:variant>
      <vt:variant>
        <vt:lpwstr>http://treaties.un.org/Pages/showDetails.aspx?objid=08000002800276fe</vt:lpwstr>
      </vt:variant>
      <vt:variant>
        <vt:lpwstr/>
      </vt:variant>
      <vt:variant>
        <vt:i4>5242900</vt:i4>
      </vt:variant>
      <vt:variant>
        <vt:i4>60</vt:i4>
      </vt:variant>
      <vt:variant>
        <vt:i4>0</vt:i4>
      </vt:variant>
      <vt:variant>
        <vt:i4>5</vt:i4>
      </vt:variant>
      <vt:variant>
        <vt:lpwstr>http://treaties.un.org/Pages/showDetails.aspx?objid=080000028003a6cf</vt:lpwstr>
      </vt:variant>
      <vt:variant>
        <vt:lpwstr/>
      </vt:variant>
      <vt:variant>
        <vt:i4>5242900</vt:i4>
      </vt:variant>
      <vt:variant>
        <vt:i4>57</vt:i4>
      </vt:variant>
      <vt:variant>
        <vt:i4>0</vt:i4>
      </vt:variant>
      <vt:variant>
        <vt:i4>5</vt:i4>
      </vt:variant>
      <vt:variant>
        <vt:lpwstr>http://treaties.un.org/Pages/showDetails.aspx?objid=080000028003a6cf</vt:lpwstr>
      </vt:variant>
      <vt:variant>
        <vt:lpwstr/>
      </vt:variant>
      <vt:variant>
        <vt:i4>5242900</vt:i4>
      </vt:variant>
      <vt:variant>
        <vt:i4>54</vt:i4>
      </vt:variant>
      <vt:variant>
        <vt:i4>0</vt:i4>
      </vt:variant>
      <vt:variant>
        <vt:i4>5</vt:i4>
      </vt:variant>
      <vt:variant>
        <vt:lpwstr>http://treaties.un.org/Pages/showDetails.aspx?objid=080000028003a6cf</vt:lpwstr>
      </vt:variant>
      <vt:variant>
        <vt:lpwstr/>
      </vt:variant>
      <vt:variant>
        <vt:i4>786509</vt:i4>
      </vt:variant>
      <vt:variant>
        <vt:i4>51</vt:i4>
      </vt:variant>
      <vt:variant>
        <vt:i4>0</vt:i4>
      </vt:variant>
      <vt:variant>
        <vt:i4>5</vt:i4>
      </vt:variant>
      <vt:variant>
        <vt:lpwstr>http://treaties.un.org/Pages/showDetails.aspx?objid=08000002800385c9</vt:lpwstr>
      </vt:variant>
      <vt:variant>
        <vt:lpwstr/>
      </vt:variant>
      <vt:variant>
        <vt:i4>1114206</vt:i4>
      </vt:variant>
      <vt:variant>
        <vt:i4>48</vt:i4>
      </vt:variant>
      <vt:variant>
        <vt:i4>0</vt:i4>
      </vt:variant>
      <vt:variant>
        <vt:i4>5</vt:i4>
      </vt:variant>
      <vt:variant>
        <vt:lpwstr>http://www.international.gc.ca/arms-armes/non_nuclear-non_nucleaire/bio_legislation-bio_lois.aspx?view=d</vt:lpwstr>
      </vt:variant>
      <vt:variant>
        <vt:lpwstr/>
      </vt:variant>
      <vt:variant>
        <vt:i4>393235</vt:i4>
      </vt:variant>
      <vt:variant>
        <vt:i4>45</vt:i4>
      </vt:variant>
      <vt:variant>
        <vt:i4>0</vt:i4>
      </vt:variant>
      <vt:variant>
        <vt:i4>5</vt:i4>
      </vt:variant>
      <vt:variant>
        <vt:lpwstr>http://treaties.un.org/Pages/showDetails.aspx?objid=0800000280101653</vt:lpwstr>
      </vt:variant>
      <vt:variant>
        <vt:lpwstr/>
      </vt:variant>
      <vt:variant>
        <vt:i4>393283</vt:i4>
      </vt:variant>
      <vt:variant>
        <vt:i4>42</vt:i4>
      </vt:variant>
      <vt:variant>
        <vt:i4>0</vt:i4>
      </vt:variant>
      <vt:variant>
        <vt:i4>5</vt:i4>
      </vt:variant>
      <vt:variant>
        <vt:lpwstr>http://treaties.un.org/Pages/showDetails.aspx?objid=0800000280145bac</vt:lpwstr>
      </vt:variant>
      <vt:variant>
        <vt:lpwstr/>
      </vt:variant>
      <vt:variant>
        <vt:i4>3866667</vt:i4>
      </vt:variant>
      <vt:variant>
        <vt:i4>39</vt:i4>
      </vt:variant>
      <vt:variant>
        <vt:i4>0</vt:i4>
      </vt:variant>
      <vt:variant>
        <vt:i4>5</vt:i4>
      </vt:variant>
      <vt:variant>
        <vt:lpwstr>http://www.icrc.org/customary-ihl/eng/docs/v2_cou_ca_rule73</vt:lpwstr>
      </vt:variant>
      <vt:variant>
        <vt:lpwstr/>
      </vt:variant>
      <vt:variant>
        <vt:i4>6160449</vt:i4>
      </vt:variant>
      <vt:variant>
        <vt:i4>36</vt:i4>
      </vt:variant>
      <vt:variant>
        <vt:i4>0</vt:i4>
      </vt:variant>
      <vt:variant>
        <vt:i4>5</vt:i4>
      </vt:variant>
      <vt:variant>
        <vt:lpwstr>http://treaties.un.org/Pages/showDetails.aspx?objid=0800000280167ca8</vt:lpwstr>
      </vt:variant>
      <vt:variant>
        <vt:lpwstr/>
      </vt:variant>
      <vt:variant>
        <vt:i4>5439558</vt:i4>
      </vt:variant>
      <vt:variant>
        <vt:i4>33</vt:i4>
      </vt:variant>
      <vt:variant>
        <vt:i4>0</vt:i4>
      </vt:variant>
      <vt:variant>
        <vt:i4>5</vt:i4>
      </vt:variant>
      <vt:variant>
        <vt:lpwstr>http://treaties.un.org/Pages/showDetails.aspx?objid=0800000280061ca5</vt:lpwstr>
      </vt:variant>
      <vt:variant>
        <vt:lpwstr/>
      </vt:variant>
      <vt:variant>
        <vt:i4>917575</vt:i4>
      </vt:variant>
      <vt:variant>
        <vt:i4>30</vt:i4>
      </vt:variant>
      <vt:variant>
        <vt:i4>0</vt:i4>
      </vt:variant>
      <vt:variant>
        <vt:i4>5</vt:i4>
      </vt:variant>
      <vt:variant>
        <vt:lpwstr>http://treaties.un.org/Pages/showDetails.aspx?objid=08000002800f3cb8</vt:lpwstr>
      </vt:variant>
      <vt:variant>
        <vt:lpwstr/>
      </vt:variant>
      <vt:variant>
        <vt:i4>5636125</vt:i4>
      </vt:variant>
      <vt:variant>
        <vt:i4>27</vt:i4>
      </vt:variant>
      <vt:variant>
        <vt:i4>0</vt:i4>
      </vt:variant>
      <vt:variant>
        <vt:i4>5</vt:i4>
      </vt:variant>
      <vt:variant>
        <vt:lpwstr>http://treaties.un.org/Pages/showDetails.aspx?objid=08000002800f3586</vt:lpwstr>
      </vt:variant>
      <vt:variant>
        <vt:lpwstr/>
      </vt:variant>
      <vt:variant>
        <vt:i4>327710</vt:i4>
      </vt:variant>
      <vt:variant>
        <vt:i4>24</vt:i4>
      </vt:variant>
      <vt:variant>
        <vt:i4>0</vt:i4>
      </vt:variant>
      <vt:variant>
        <vt:i4>5</vt:i4>
      </vt:variant>
      <vt:variant>
        <vt:lpwstr>http://treaties.un.org/Pages/showDetails.aspx?objid=0800000280158b1a</vt:lpwstr>
      </vt:variant>
      <vt:variant>
        <vt:lpwstr/>
      </vt:variant>
      <vt:variant>
        <vt:i4>458781</vt:i4>
      </vt:variant>
      <vt:variant>
        <vt:i4>21</vt:i4>
      </vt:variant>
      <vt:variant>
        <vt:i4>0</vt:i4>
      </vt:variant>
      <vt:variant>
        <vt:i4>5</vt:i4>
      </vt:variant>
      <vt:variant>
        <vt:lpwstr>http://treaties.un.org/Pages/showDetails.aspx?objid=0800000280159839</vt:lpwstr>
      </vt:variant>
      <vt:variant>
        <vt:lpwstr/>
      </vt:variant>
      <vt:variant>
        <vt:i4>458828</vt:i4>
      </vt:variant>
      <vt:variant>
        <vt:i4>18</vt:i4>
      </vt:variant>
      <vt:variant>
        <vt:i4>0</vt:i4>
      </vt:variant>
      <vt:variant>
        <vt:i4>5</vt:i4>
      </vt:variant>
      <vt:variant>
        <vt:lpwstr>http://treaties.un.org/Pages/showDetails.aspx?objid=08000002801591b0</vt:lpwstr>
      </vt:variant>
      <vt:variant>
        <vt:lpwstr/>
      </vt:variant>
      <vt:variant>
        <vt:i4>327710</vt:i4>
      </vt:variant>
      <vt:variant>
        <vt:i4>15</vt:i4>
      </vt:variant>
      <vt:variant>
        <vt:i4>0</vt:i4>
      </vt:variant>
      <vt:variant>
        <vt:i4>5</vt:i4>
      </vt:variant>
      <vt:variant>
        <vt:lpwstr>http://treaties.un.org/Pages/showDetails.aspx?objid=0800000280158b1a</vt:lpwstr>
      </vt:variant>
      <vt:variant>
        <vt:lpwstr/>
      </vt:variant>
      <vt:variant>
        <vt:i4>3801106</vt:i4>
      </vt:variant>
      <vt:variant>
        <vt:i4>12</vt:i4>
      </vt:variant>
      <vt:variant>
        <vt:i4>0</vt:i4>
      </vt:variant>
      <vt:variant>
        <vt:i4>5</vt:i4>
      </vt:variant>
      <vt:variant>
        <vt:lpwstr>http://www.ppsc-sppc.gc.ca/eng/fps-sfp/fpd/toc.html</vt:lpwstr>
      </vt:variant>
      <vt:variant>
        <vt:lpwstr/>
      </vt:variant>
      <vt:variant>
        <vt:i4>7077911</vt:i4>
      </vt:variant>
      <vt:variant>
        <vt:i4>9</vt:i4>
      </vt:variant>
      <vt:variant>
        <vt:i4>0</vt:i4>
      </vt:variant>
      <vt:variant>
        <vt:i4>5</vt:i4>
      </vt:variant>
      <vt:variant>
        <vt:lpwstr>http://www.rcmp-grc.gc.ca/about-ausujet/mod-eng.htm</vt:lpwstr>
      </vt:variant>
      <vt:variant>
        <vt:lpwstr/>
      </vt:variant>
      <vt:variant>
        <vt:i4>1507446</vt:i4>
      </vt:variant>
      <vt:variant>
        <vt:i4>6</vt:i4>
      </vt:variant>
      <vt:variant>
        <vt:i4>0</vt:i4>
      </vt:variant>
      <vt:variant>
        <vt:i4>5</vt:i4>
      </vt:variant>
      <vt:variant>
        <vt:lpwstr>http://treaties.un.org/Pages/ViewDetailsIII.aspx?&amp;src=TREATY&amp;mtdsg_no=XXIII~1&amp;chapter=23&amp;Temp=mtdsg3&amp;lang=en</vt:lpwstr>
      </vt:variant>
      <vt:variant>
        <vt:lpwstr/>
      </vt:variant>
      <vt:variant>
        <vt:i4>327719</vt:i4>
      </vt:variant>
      <vt:variant>
        <vt:i4>3</vt:i4>
      </vt:variant>
      <vt:variant>
        <vt:i4>0</vt:i4>
      </vt:variant>
      <vt:variant>
        <vt:i4>5</vt:i4>
      </vt:variant>
      <vt:variant>
        <vt:lpwstr>http://www.amnesty.org/en/library</vt:lpwstr>
      </vt:variant>
      <vt:variant>
        <vt:lpwstr/>
      </vt:variant>
      <vt:variant>
        <vt:i4>7733312</vt:i4>
      </vt:variant>
      <vt:variant>
        <vt:i4>0</vt:i4>
      </vt:variant>
      <vt:variant>
        <vt:i4>0</vt:i4>
      </vt:variant>
      <vt:variant>
        <vt:i4>5</vt:i4>
      </vt:variant>
      <vt:variant>
        <vt:lpwstr>mailto:ijp@amnesty.org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chall</dc:creator>
  <cp:lastModifiedBy>Alex Neve</cp:lastModifiedBy>
  <cp:revision>2</cp:revision>
  <cp:lastPrinted>2020-06-18T19:25:00Z</cp:lastPrinted>
  <dcterms:created xsi:type="dcterms:W3CDTF">2020-08-27T19:23:00Z</dcterms:created>
  <dcterms:modified xsi:type="dcterms:W3CDTF">2020-08-27T19:23:00Z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ter">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http://www.zotero.org/styles/bluebook-law-review</vt:lpwstr>
  </property>
  <property fmtid="{D5CDD505-2E9C-101B-9397-08002B2CF9AE}" pid="10" name="Mendeley Recent Style Name 3_1">
    <vt:lpwstr>Bluebook Law Review</vt:lpwstr>
  </property>
  <property fmtid="{D5CDD505-2E9C-101B-9397-08002B2CF9AE}" pid="11" name="Mendeley Recent Style Id 4_1">
    <vt:lpwstr>http://www.zotero.org/styles/mcgill-en</vt:lpwstr>
  </property>
  <property fmtid="{D5CDD505-2E9C-101B-9397-08002B2CF9AE}" pid="12" name="Mendeley Recent Style Name 4_1">
    <vt:lpwstr>Canadian Guide to Uniform Legal Citation 7th edition (McGill Guide)</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http://www.zotero.org/styles/oscola</vt:lpwstr>
  </property>
  <property fmtid="{D5CDD505-2E9C-101B-9397-08002B2CF9AE}" pid="22" name="Mendeley Recent Style Name 9_1">
    <vt:lpwstr>OSCOLA (Oxford University Standard for Citation of Legal Authorities)</vt:lpwstr>
  </property>
</Properties>
</file>