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E39F1" w14:textId="77777777" w:rsidR="00CF71BA" w:rsidRPr="00496EB7" w:rsidRDefault="00CF71BA" w:rsidP="00496EB7">
      <w:pPr>
        <w:tabs>
          <w:tab w:val="left" w:pos="4950"/>
        </w:tabs>
        <w:spacing w:line="240" w:lineRule="auto"/>
        <w:rPr>
          <w:rFonts w:ascii="Amnesty Trade Gothic" w:hAnsi="Amnesty Trade Gothic"/>
        </w:rPr>
      </w:pPr>
      <w:bookmarkStart w:id="0" w:name="_GoBack"/>
      <w:bookmarkEnd w:id="0"/>
    </w:p>
    <w:p w14:paraId="635FB5D3" w14:textId="54EFFF4B" w:rsidR="003F4FD3" w:rsidRPr="00496EB7" w:rsidRDefault="003F4FD3" w:rsidP="00496EB7">
      <w:pPr>
        <w:tabs>
          <w:tab w:val="center" w:pos="4680"/>
          <w:tab w:val="left" w:pos="4950"/>
          <w:tab w:val="right" w:pos="9360"/>
        </w:tabs>
        <w:spacing w:line="240" w:lineRule="auto"/>
        <w:rPr>
          <w:rFonts w:ascii="Amnesty Trade Gothic" w:hAnsi="Amnesty Trade Gothic"/>
        </w:rPr>
      </w:pPr>
    </w:p>
    <w:p w14:paraId="4DD7583B" w14:textId="77777777" w:rsidR="004546DA" w:rsidRPr="00496EB7" w:rsidRDefault="004546DA" w:rsidP="00496EB7">
      <w:pPr>
        <w:tabs>
          <w:tab w:val="left" w:pos="4950"/>
        </w:tabs>
        <w:spacing w:after="0" w:line="240" w:lineRule="auto"/>
        <w:rPr>
          <w:rFonts w:ascii="Amnesty Trade Gothic" w:hAnsi="Amnesty Trade Gothic"/>
        </w:rPr>
      </w:pPr>
      <w:r w:rsidRPr="00496EB7">
        <w:rPr>
          <w:rFonts w:ascii="Amnesty Trade Gothic" w:hAnsi="Amnesty Trade Gothic"/>
        </w:rPr>
        <w:t>Kyle McGowan</w:t>
      </w:r>
    </w:p>
    <w:p w14:paraId="5960A06E" w14:textId="77777777" w:rsidR="004546DA" w:rsidRPr="00496EB7" w:rsidRDefault="004546DA" w:rsidP="00496EB7">
      <w:pPr>
        <w:tabs>
          <w:tab w:val="left" w:pos="4950"/>
        </w:tabs>
        <w:spacing w:after="0" w:line="240" w:lineRule="auto"/>
        <w:rPr>
          <w:rFonts w:ascii="Amnesty Trade Gothic" w:hAnsi="Amnesty Trade Gothic"/>
        </w:rPr>
      </w:pPr>
      <w:r w:rsidRPr="00496EB7">
        <w:rPr>
          <w:rFonts w:ascii="Amnesty Trade Gothic" w:hAnsi="Amnesty Trade Gothic"/>
        </w:rPr>
        <w:t>Office of the Chief of Staff</w:t>
      </w:r>
    </w:p>
    <w:p w14:paraId="6AF7835C" w14:textId="77777777" w:rsidR="004546DA" w:rsidRPr="00496EB7" w:rsidRDefault="004546DA" w:rsidP="00496EB7">
      <w:pPr>
        <w:tabs>
          <w:tab w:val="left" w:pos="4950"/>
        </w:tabs>
        <w:spacing w:after="0" w:line="240" w:lineRule="auto"/>
        <w:rPr>
          <w:rFonts w:ascii="Amnesty Trade Gothic" w:hAnsi="Amnesty Trade Gothic"/>
        </w:rPr>
      </w:pPr>
      <w:r w:rsidRPr="00496EB7">
        <w:rPr>
          <w:rFonts w:ascii="Amnesty Trade Gothic" w:hAnsi="Amnesty Trade Gothic"/>
        </w:rPr>
        <w:t>Centers for Disease Control and Prevention</w:t>
      </w:r>
    </w:p>
    <w:p w14:paraId="347753BD" w14:textId="77777777" w:rsidR="004546DA" w:rsidRPr="00496EB7" w:rsidRDefault="004546DA" w:rsidP="00496EB7">
      <w:pPr>
        <w:tabs>
          <w:tab w:val="left" w:pos="4950"/>
        </w:tabs>
        <w:spacing w:after="0" w:line="240" w:lineRule="auto"/>
        <w:rPr>
          <w:rFonts w:ascii="Amnesty Trade Gothic" w:hAnsi="Amnesty Trade Gothic"/>
        </w:rPr>
      </w:pPr>
      <w:r w:rsidRPr="00496EB7">
        <w:rPr>
          <w:rFonts w:ascii="Amnesty Trade Gothic" w:hAnsi="Amnesty Trade Gothic"/>
        </w:rPr>
        <w:t>1600 Clifton Road NE, MS H21-10</w:t>
      </w:r>
    </w:p>
    <w:p w14:paraId="60D4421D" w14:textId="77777777" w:rsidR="004546DA" w:rsidRPr="00496EB7" w:rsidRDefault="004546DA" w:rsidP="00496EB7">
      <w:pPr>
        <w:tabs>
          <w:tab w:val="left" w:pos="4950"/>
        </w:tabs>
        <w:spacing w:after="0" w:line="240" w:lineRule="auto"/>
        <w:rPr>
          <w:rFonts w:ascii="Amnesty Trade Gothic" w:hAnsi="Amnesty Trade Gothic"/>
        </w:rPr>
      </w:pPr>
      <w:r w:rsidRPr="00496EB7">
        <w:rPr>
          <w:rFonts w:ascii="Amnesty Trade Gothic" w:hAnsi="Amnesty Trade Gothic"/>
        </w:rPr>
        <w:t>Atlanta, GA 30329</w:t>
      </w:r>
    </w:p>
    <w:p w14:paraId="49F9452D" w14:textId="77777777" w:rsidR="004546DA" w:rsidRPr="00496EB7" w:rsidRDefault="004546DA" w:rsidP="00496EB7">
      <w:pPr>
        <w:tabs>
          <w:tab w:val="left" w:pos="4950"/>
        </w:tabs>
        <w:spacing w:after="0" w:line="240" w:lineRule="auto"/>
        <w:rPr>
          <w:rFonts w:ascii="Amnesty Trade Gothic" w:hAnsi="Amnesty Trade Gothic"/>
        </w:rPr>
      </w:pPr>
      <w:r w:rsidRPr="00496EB7">
        <w:rPr>
          <w:rFonts w:ascii="Amnesty Trade Gothic" w:hAnsi="Amnesty Trade Gothic"/>
        </w:rPr>
        <w:t>Telephone: 404-498-7000</w:t>
      </w:r>
    </w:p>
    <w:p w14:paraId="7ADFA5BD" w14:textId="77777777" w:rsidR="004546DA" w:rsidRPr="00496EB7" w:rsidRDefault="004546DA" w:rsidP="00496EB7">
      <w:pPr>
        <w:tabs>
          <w:tab w:val="left" w:pos="4950"/>
        </w:tabs>
        <w:spacing w:after="0" w:line="240" w:lineRule="auto"/>
        <w:rPr>
          <w:rFonts w:ascii="Amnesty Trade Gothic" w:hAnsi="Amnesty Trade Gothic"/>
        </w:rPr>
      </w:pPr>
      <w:r w:rsidRPr="00496EB7">
        <w:rPr>
          <w:rFonts w:ascii="Amnesty Trade Gothic" w:hAnsi="Amnesty Trade Gothic"/>
        </w:rPr>
        <w:t xml:space="preserve">cdcregulations@cdc.gov </w:t>
      </w:r>
    </w:p>
    <w:p w14:paraId="70E62E0E" w14:textId="77777777" w:rsidR="004546DA" w:rsidRPr="00496EB7" w:rsidRDefault="004546DA" w:rsidP="00496EB7">
      <w:pPr>
        <w:tabs>
          <w:tab w:val="left" w:pos="4950"/>
        </w:tabs>
        <w:spacing w:after="0" w:line="240" w:lineRule="auto"/>
        <w:rPr>
          <w:rFonts w:ascii="Amnesty Trade Gothic" w:hAnsi="Amnesty Trade Gothic"/>
        </w:rPr>
      </w:pPr>
    </w:p>
    <w:p w14:paraId="4981CC97" w14:textId="77777777" w:rsidR="004546DA" w:rsidRPr="00496EB7" w:rsidRDefault="004546DA" w:rsidP="00496EB7">
      <w:pPr>
        <w:tabs>
          <w:tab w:val="left" w:pos="4950"/>
        </w:tabs>
        <w:spacing w:after="0" w:line="240" w:lineRule="auto"/>
        <w:rPr>
          <w:rFonts w:ascii="Amnesty Trade Gothic" w:hAnsi="Amnesty Trade Gothic"/>
        </w:rPr>
      </w:pPr>
      <w:r w:rsidRPr="00496EB7">
        <w:rPr>
          <w:rFonts w:ascii="Amnesty Trade Gothic" w:hAnsi="Amnesty Trade Gothic"/>
        </w:rPr>
        <w:t>HHS Docket No. CDC-2020-0033</w:t>
      </w:r>
    </w:p>
    <w:p w14:paraId="1392A04A" w14:textId="77777777" w:rsidR="004546DA" w:rsidRPr="00496EB7" w:rsidRDefault="004546DA" w:rsidP="00496EB7">
      <w:pPr>
        <w:tabs>
          <w:tab w:val="left" w:pos="4950"/>
        </w:tabs>
        <w:spacing w:after="0" w:line="240" w:lineRule="auto"/>
        <w:rPr>
          <w:rFonts w:ascii="Amnesty Trade Gothic" w:hAnsi="Amnesty Trade Gothic"/>
        </w:rPr>
      </w:pPr>
      <w:r w:rsidRPr="00496EB7">
        <w:rPr>
          <w:rFonts w:ascii="Amnesty Trade Gothic" w:hAnsi="Amnesty Trade Gothic"/>
        </w:rPr>
        <w:t>85 FR 16559</w:t>
      </w:r>
    </w:p>
    <w:p w14:paraId="7B1BEBC7" w14:textId="77777777" w:rsidR="004546DA" w:rsidRPr="00496EB7" w:rsidRDefault="004546DA" w:rsidP="00496EB7">
      <w:pPr>
        <w:tabs>
          <w:tab w:val="left" w:pos="4950"/>
        </w:tabs>
        <w:spacing w:after="0" w:line="240" w:lineRule="auto"/>
        <w:rPr>
          <w:rFonts w:ascii="Amnesty Trade Gothic" w:hAnsi="Amnesty Trade Gothic"/>
        </w:rPr>
      </w:pPr>
    </w:p>
    <w:p w14:paraId="3426FAF5" w14:textId="50FFF72B" w:rsidR="006E1DEA" w:rsidRPr="00496EB7" w:rsidRDefault="004546DA" w:rsidP="00496EB7">
      <w:pPr>
        <w:tabs>
          <w:tab w:val="left" w:pos="4950"/>
        </w:tabs>
        <w:spacing w:after="0" w:line="240" w:lineRule="auto"/>
        <w:rPr>
          <w:rFonts w:ascii="Amnesty Trade Gothic" w:hAnsi="Amnesty Trade Gothic"/>
        </w:rPr>
      </w:pPr>
      <w:r w:rsidRPr="00496EB7">
        <w:rPr>
          <w:rFonts w:ascii="Amnesty Trade Gothic" w:hAnsi="Amnesty Trade Gothic"/>
        </w:rPr>
        <w:t>April 23, 2020</w:t>
      </w:r>
    </w:p>
    <w:p w14:paraId="06BA027E" w14:textId="77777777" w:rsidR="004546DA" w:rsidRPr="00496EB7" w:rsidRDefault="004546DA" w:rsidP="00496EB7">
      <w:pPr>
        <w:tabs>
          <w:tab w:val="left" w:pos="4950"/>
        </w:tabs>
        <w:spacing w:after="0" w:line="240" w:lineRule="auto"/>
        <w:rPr>
          <w:rFonts w:ascii="Amnesty Trade Gothic" w:hAnsi="Amnesty Trade Gothic"/>
        </w:rPr>
      </w:pPr>
    </w:p>
    <w:p w14:paraId="4F8F9129" w14:textId="5EF3CED1" w:rsidR="006E1DEA" w:rsidRPr="00496EB7" w:rsidRDefault="006E1DEA" w:rsidP="00496EB7">
      <w:pPr>
        <w:tabs>
          <w:tab w:val="left" w:pos="4950"/>
        </w:tabs>
        <w:spacing w:after="0" w:line="240" w:lineRule="auto"/>
        <w:rPr>
          <w:rFonts w:ascii="Amnesty Trade Gothic" w:hAnsi="Amnesty Trade Gothic"/>
          <w:i/>
        </w:rPr>
      </w:pPr>
      <w:r w:rsidRPr="00496EB7">
        <w:rPr>
          <w:rFonts w:ascii="Amnesty Trade Gothic" w:hAnsi="Amnesty Trade Gothic"/>
          <w:i/>
        </w:rPr>
        <w:t xml:space="preserve">Via electronic submission </w:t>
      </w:r>
      <w:r w:rsidR="00AC2875" w:rsidRPr="00496EB7">
        <w:rPr>
          <w:rFonts w:ascii="Amnesty Trade Gothic" w:hAnsi="Amnesty Trade Gothic"/>
          <w:i/>
        </w:rPr>
        <w:t xml:space="preserve">to </w:t>
      </w:r>
      <w:proofErr w:type="spellStart"/>
      <w:r w:rsidR="00AC2875" w:rsidRPr="00496EB7">
        <w:rPr>
          <w:rFonts w:ascii="Amnesty Trade Gothic" w:hAnsi="Amnesty Trade Gothic"/>
          <w:i/>
        </w:rPr>
        <w:t>eRulemaking</w:t>
      </w:r>
      <w:proofErr w:type="spellEnd"/>
      <w:r w:rsidR="00AC2875" w:rsidRPr="00496EB7">
        <w:rPr>
          <w:rFonts w:ascii="Amnesty Trade Gothic" w:hAnsi="Amnesty Trade Gothic"/>
          <w:i/>
        </w:rPr>
        <w:t xml:space="preserve"> Portal</w:t>
      </w:r>
    </w:p>
    <w:p w14:paraId="4A521459" w14:textId="77777777" w:rsidR="00AC2875" w:rsidRPr="00496EB7" w:rsidRDefault="00AC2875" w:rsidP="00496EB7">
      <w:pPr>
        <w:tabs>
          <w:tab w:val="left" w:pos="4950"/>
        </w:tabs>
        <w:spacing w:after="0" w:line="240" w:lineRule="auto"/>
        <w:rPr>
          <w:rFonts w:ascii="Amnesty Trade Gothic" w:hAnsi="Amnesty Trade Gothic"/>
          <w:i/>
        </w:rPr>
      </w:pPr>
    </w:p>
    <w:p w14:paraId="34F838A6" w14:textId="4C4FAC98" w:rsidR="00AC2875" w:rsidRPr="00496EB7" w:rsidRDefault="00AC2875" w:rsidP="00496EB7">
      <w:pPr>
        <w:tabs>
          <w:tab w:val="left" w:pos="4950"/>
        </w:tabs>
        <w:spacing w:after="0" w:line="240" w:lineRule="auto"/>
        <w:rPr>
          <w:rFonts w:ascii="Amnesty Trade Gothic" w:hAnsi="Amnesty Trade Gothic"/>
          <w:b/>
        </w:rPr>
      </w:pPr>
      <w:r w:rsidRPr="00496EB7">
        <w:rPr>
          <w:rFonts w:ascii="Amnesty Trade Gothic" w:hAnsi="Amnesty Trade Gothic"/>
          <w:b/>
        </w:rPr>
        <w:t xml:space="preserve">RE: </w:t>
      </w:r>
      <w:r w:rsidR="00EC5F1E" w:rsidRPr="00496EB7">
        <w:rPr>
          <w:rFonts w:ascii="Amnesty Trade Gothic" w:hAnsi="Amnesty Trade Gothic"/>
          <w:b/>
        </w:rPr>
        <w:t>Amnesty International</w:t>
      </w:r>
      <w:r w:rsidR="00360894" w:rsidRPr="00496EB7">
        <w:rPr>
          <w:rFonts w:ascii="Amnesty Trade Gothic" w:hAnsi="Amnesty Trade Gothic"/>
          <w:b/>
        </w:rPr>
        <w:t xml:space="preserve"> USA</w:t>
      </w:r>
      <w:r w:rsidR="00EC5F1E" w:rsidRPr="00496EB7">
        <w:rPr>
          <w:rFonts w:ascii="Amnesty Trade Gothic" w:hAnsi="Amnesty Trade Gothic"/>
          <w:b/>
        </w:rPr>
        <w:t xml:space="preserve"> Comment</w:t>
      </w:r>
      <w:r w:rsidR="001B7955" w:rsidRPr="00496EB7">
        <w:rPr>
          <w:rFonts w:ascii="Amnesty Trade Gothic" w:hAnsi="Amnesty Trade Gothic"/>
          <w:b/>
        </w:rPr>
        <w:t>s</w:t>
      </w:r>
      <w:r w:rsidR="00EC5F1E" w:rsidRPr="00496EB7">
        <w:rPr>
          <w:rFonts w:ascii="Amnesty Trade Gothic" w:hAnsi="Amnesty Trade Gothic"/>
          <w:b/>
        </w:rPr>
        <w:t xml:space="preserve"> </w:t>
      </w:r>
      <w:r w:rsidR="008D1B0D" w:rsidRPr="00496EB7">
        <w:rPr>
          <w:rFonts w:ascii="Amnesty Trade Gothic" w:hAnsi="Amnesty Trade Gothic"/>
          <w:b/>
        </w:rPr>
        <w:t xml:space="preserve">on </w:t>
      </w:r>
      <w:r w:rsidR="004546DA" w:rsidRPr="00496EB7">
        <w:rPr>
          <w:rFonts w:ascii="Amnesty Trade Gothic" w:hAnsi="Amnesty Trade Gothic"/>
          <w:b/>
        </w:rPr>
        <w:t xml:space="preserve">“Suspension of Introduction of Persons into United States from Designated Foreign Countries or Places for Public Health Purposes” </w:t>
      </w:r>
    </w:p>
    <w:p w14:paraId="4366F4E3" w14:textId="77777777" w:rsidR="00076F8E" w:rsidRPr="00496EB7" w:rsidRDefault="00076F8E" w:rsidP="00496EB7">
      <w:pPr>
        <w:tabs>
          <w:tab w:val="left" w:pos="4950"/>
        </w:tabs>
        <w:spacing w:after="0" w:line="240" w:lineRule="auto"/>
        <w:rPr>
          <w:rFonts w:ascii="Amnesty Trade Gothic" w:hAnsi="Amnesty Trade Gothic"/>
        </w:rPr>
      </w:pPr>
    </w:p>
    <w:p w14:paraId="21779631" w14:textId="153D5AA7" w:rsidR="00926A22" w:rsidRPr="00496EB7" w:rsidRDefault="00360894" w:rsidP="00496EB7">
      <w:pPr>
        <w:tabs>
          <w:tab w:val="left" w:pos="4950"/>
        </w:tabs>
        <w:spacing w:after="0" w:line="240" w:lineRule="auto"/>
        <w:rPr>
          <w:rFonts w:ascii="Amnesty Trade Gothic" w:hAnsi="Amnesty Trade Gothic"/>
        </w:rPr>
      </w:pPr>
      <w:r w:rsidRPr="00496EB7">
        <w:rPr>
          <w:rFonts w:ascii="Amnesty Trade Gothic" w:hAnsi="Amnesty Trade Gothic"/>
        </w:rPr>
        <w:t xml:space="preserve">Amnesty International USA submits the following </w:t>
      </w:r>
      <w:r w:rsidR="001B7955" w:rsidRPr="00496EB7">
        <w:rPr>
          <w:rFonts w:ascii="Amnesty Trade Gothic" w:hAnsi="Amnesty Trade Gothic"/>
        </w:rPr>
        <w:t>comment</w:t>
      </w:r>
      <w:r w:rsidR="004546DA" w:rsidRPr="00496EB7">
        <w:rPr>
          <w:rFonts w:ascii="Amnesty Trade Gothic" w:hAnsi="Amnesty Trade Gothic"/>
        </w:rPr>
        <w:t xml:space="preserve"> in response to the</w:t>
      </w:r>
      <w:r w:rsidR="00994F36">
        <w:rPr>
          <w:rFonts w:ascii="Amnesty Trade Gothic" w:hAnsi="Amnesty Trade Gothic"/>
        </w:rPr>
        <w:t xml:space="preserve"> U</w:t>
      </w:r>
      <w:r w:rsidR="007045B6">
        <w:rPr>
          <w:rFonts w:ascii="Amnesty Trade Gothic" w:hAnsi="Amnesty Trade Gothic"/>
        </w:rPr>
        <w:t>.</w:t>
      </w:r>
      <w:r w:rsidR="00994F36">
        <w:rPr>
          <w:rFonts w:ascii="Amnesty Trade Gothic" w:hAnsi="Amnesty Trade Gothic"/>
        </w:rPr>
        <w:t>S</w:t>
      </w:r>
      <w:r w:rsidR="007045B6">
        <w:rPr>
          <w:rFonts w:ascii="Amnesty Trade Gothic" w:hAnsi="Amnesty Trade Gothic"/>
        </w:rPr>
        <w:t>.</w:t>
      </w:r>
      <w:r w:rsidR="004546DA" w:rsidRPr="00496EB7">
        <w:rPr>
          <w:rFonts w:ascii="Amnesty Trade Gothic" w:hAnsi="Amnesty Trade Gothic"/>
        </w:rPr>
        <w:t xml:space="preserve"> Department of Health and Human Services’ </w:t>
      </w:r>
      <w:r w:rsidR="00994F36">
        <w:rPr>
          <w:rFonts w:ascii="Amnesty Trade Gothic" w:hAnsi="Amnesty Trade Gothic"/>
        </w:rPr>
        <w:t xml:space="preserve">(HHS) </w:t>
      </w:r>
      <w:r w:rsidR="004546DA" w:rsidRPr="00496EB7">
        <w:rPr>
          <w:rFonts w:ascii="Amnesty Trade Gothic" w:hAnsi="Amnesty Trade Gothic"/>
        </w:rPr>
        <w:t>interim final rule providing for the suspension of persons into the United States for public health purposes,</w:t>
      </w:r>
      <w:r w:rsidR="004A05CC" w:rsidRPr="00496EB7">
        <w:rPr>
          <w:rFonts w:ascii="Amnesty Trade Gothic" w:hAnsi="Amnesty Trade Gothic"/>
        </w:rPr>
        <w:t xml:space="preserve"> which was</w:t>
      </w:r>
      <w:r w:rsidR="004546DA" w:rsidRPr="00496EB7">
        <w:rPr>
          <w:rFonts w:ascii="Amnesty Trade Gothic" w:hAnsi="Amnesty Trade Gothic"/>
        </w:rPr>
        <w:t xml:space="preserve"> issued </w:t>
      </w:r>
      <w:r w:rsidR="004A05CC" w:rsidRPr="00496EB7">
        <w:rPr>
          <w:rFonts w:ascii="Amnesty Trade Gothic" w:hAnsi="Amnesty Trade Gothic"/>
        </w:rPr>
        <w:t xml:space="preserve">on </w:t>
      </w:r>
      <w:r w:rsidR="004546DA" w:rsidRPr="00496EB7">
        <w:rPr>
          <w:rFonts w:ascii="Amnesty Trade Gothic" w:hAnsi="Amnesty Trade Gothic"/>
        </w:rPr>
        <w:t xml:space="preserve">March 20, 2020. </w:t>
      </w:r>
      <w:r w:rsidR="004546DA" w:rsidRPr="00CE7D00">
        <w:rPr>
          <w:rFonts w:ascii="Amnesty Trade Gothic" w:hAnsi="Amnesty Trade Gothic"/>
          <w:b/>
          <w:bCs/>
        </w:rPr>
        <w:t xml:space="preserve">As implemented, this rule has </w:t>
      </w:r>
      <w:r w:rsidR="00415F0D" w:rsidRPr="00CE7D00">
        <w:rPr>
          <w:rFonts w:ascii="Amnesty Trade Gothic" w:hAnsi="Amnesty Trade Gothic"/>
          <w:b/>
          <w:bCs/>
        </w:rPr>
        <w:t xml:space="preserve">empowered </w:t>
      </w:r>
      <w:r w:rsidR="00E81544" w:rsidRPr="00CE7D00">
        <w:rPr>
          <w:rFonts w:ascii="Amnesty Trade Gothic" w:hAnsi="Amnesty Trade Gothic"/>
          <w:b/>
          <w:bCs/>
        </w:rPr>
        <w:t xml:space="preserve">the Trump administration to </w:t>
      </w:r>
      <w:r w:rsidR="0078174B" w:rsidRPr="00CE7D00">
        <w:rPr>
          <w:rFonts w:ascii="Amnesty Trade Gothic" w:hAnsi="Amnesty Trade Gothic"/>
          <w:b/>
          <w:bCs/>
        </w:rPr>
        <w:t xml:space="preserve">radically rewrite </w:t>
      </w:r>
      <w:r w:rsidR="00496EB7" w:rsidRPr="00CE7D00">
        <w:rPr>
          <w:rFonts w:ascii="Amnesty Trade Gothic" w:hAnsi="Amnesty Trade Gothic"/>
          <w:b/>
          <w:bCs/>
        </w:rPr>
        <w:t xml:space="preserve">the </w:t>
      </w:r>
      <w:r w:rsidR="0078174B" w:rsidRPr="00CE7D00">
        <w:rPr>
          <w:rFonts w:ascii="Amnesty Trade Gothic" w:hAnsi="Amnesty Trade Gothic"/>
          <w:b/>
          <w:bCs/>
        </w:rPr>
        <w:t>humanitarian protection</w:t>
      </w:r>
      <w:r w:rsidR="00496EB7" w:rsidRPr="00CE7D00">
        <w:rPr>
          <w:rFonts w:ascii="Amnesty Trade Gothic" w:hAnsi="Amnesty Trade Gothic"/>
          <w:b/>
          <w:bCs/>
        </w:rPr>
        <w:t xml:space="preserve"> system</w:t>
      </w:r>
      <w:r w:rsidR="0078174B" w:rsidRPr="00CE7D00">
        <w:rPr>
          <w:rFonts w:ascii="Amnesty Trade Gothic" w:hAnsi="Amnesty Trade Gothic"/>
          <w:b/>
          <w:bCs/>
        </w:rPr>
        <w:t xml:space="preserve"> at the U.S. </w:t>
      </w:r>
      <w:r w:rsidR="00496EB7" w:rsidRPr="00CE7D00">
        <w:rPr>
          <w:rFonts w:ascii="Amnesty Trade Gothic" w:hAnsi="Amnesty Trade Gothic"/>
          <w:b/>
          <w:bCs/>
        </w:rPr>
        <w:t xml:space="preserve">border </w:t>
      </w:r>
      <w:r w:rsidR="0078174B" w:rsidRPr="00CE7D00">
        <w:rPr>
          <w:rFonts w:ascii="Amnesty Trade Gothic" w:hAnsi="Amnesty Trade Gothic"/>
          <w:b/>
          <w:bCs/>
        </w:rPr>
        <w:t xml:space="preserve">in a manner that violates our legal obligations to asylum-seekers and unaccompanied children while failing to </w:t>
      </w:r>
      <w:r w:rsidR="00E81544" w:rsidRPr="00CE7D00">
        <w:rPr>
          <w:rFonts w:ascii="Amnesty Trade Gothic" w:hAnsi="Amnesty Trade Gothic"/>
          <w:b/>
          <w:bCs/>
        </w:rPr>
        <w:t>promote public health.</w:t>
      </w:r>
      <w:r w:rsidR="00E81544" w:rsidRPr="00496EB7">
        <w:rPr>
          <w:rFonts w:ascii="Amnesty Trade Gothic" w:hAnsi="Amnesty Trade Gothic"/>
        </w:rPr>
        <w:t xml:space="preserve"> </w:t>
      </w:r>
    </w:p>
    <w:p w14:paraId="68FFB3CB" w14:textId="77777777" w:rsidR="00926A22" w:rsidRPr="00496EB7" w:rsidRDefault="00926A22" w:rsidP="00496EB7">
      <w:pPr>
        <w:tabs>
          <w:tab w:val="left" w:pos="4950"/>
        </w:tabs>
        <w:spacing w:after="0" w:line="240" w:lineRule="auto"/>
        <w:rPr>
          <w:rFonts w:ascii="Amnesty Trade Gothic" w:hAnsi="Amnesty Trade Gothic"/>
        </w:rPr>
      </w:pPr>
    </w:p>
    <w:p w14:paraId="5BF2B139" w14:textId="30DD6A6D" w:rsidR="004A05CC" w:rsidRPr="00496EB7" w:rsidRDefault="00661B51" w:rsidP="00496EB7">
      <w:pPr>
        <w:tabs>
          <w:tab w:val="left" w:pos="4950"/>
        </w:tabs>
        <w:spacing w:after="0" w:line="240" w:lineRule="auto"/>
        <w:rPr>
          <w:rFonts w:ascii="Amnesty Trade Gothic" w:hAnsi="Amnesty Trade Gothic" w:cs="Times New Roman"/>
        </w:rPr>
      </w:pPr>
      <w:r w:rsidRPr="00496EB7">
        <w:rPr>
          <w:rFonts w:ascii="Amnesty Trade Gothic" w:hAnsi="Amnesty Trade Gothic"/>
        </w:rPr>
        <w:t xml:space="preserve">Amnesty International is the world’s largest grassroots human rights organization, comprising a global support base of </w:t>
      </w:r>
      <w:r w:rsidR="008D1B0D" w:rsidRPr="00496EB7">
        <w:rPr>
          <w:rFonts w:ascii="Amnesty Trade Gothic" w:hAnsi="Amnesty Trade Gothic"/>
        </w:rPr>
        <w:t xml:space="preserve">millions of </w:t>
      </w:r>
      <w:r w:rsidR="00E24B76" w:rsidRPr="00496EB7">
        <w:rPr>
          <w:rFonts w:ascii="Amnesty Trade Gothic" w:hAnsi="Amnesty Trade Gothic" w:cs="Times New Roman"/>
        </w:rPr>
        <w:t xml:space="preserve">individual members, supporters, and activists in more than 150 countries and territories. </w:t>
      </w:r>
      <w:r w:rsidRPr="00496EB7">
        <w:rPr>
          <w:rFonts w:ascii="Amnesty Trade Gothic" w:hAnsi="Amnesty Trade Gothic" w:cs="Times New Roman"/>
        </w:rPr>
        <w:t xml:space="preserve">A </w:t>
      </w:r>
      <w:r w:rsidR="00E24B76" w:rsidRPr="00496EB7">
        <w:rPr>
          <w:rFonts w:ascii="Amnesty Trade Gothic" w:hAnsi="Amnesty Trade Gothic" w:cs="Times New Roman"/>
        </w:rPr>
        <w:t>top priority for the U.S. section of Amnesty International</w:t>
      </w:r>
      <w:r w:rsidR="003506B5" w:rsidRPr="00496EB7">
        <w:rPr>
          <w:rFonts w:ascii="Amnesty Trade Gothic" w:hAnsi="Amnesty Trade Gothic" w:cs="Times New Roman"/>
        </w:rPr>
        <w:t xml:space="preserve"> for the past several years has been</w:t>
      </w:r>
      <w:r w:rsidR="00E24B76" w:rsidRPr="00496EB7">
        <w:rPr>
          <w:rFonts w:ascii="Amnesty Trade Gothic" w:hAnsi="Amnesty Trade Gothic" w:cs="Times New Roman"/>
        </w:rPr>
        <w:t xml:space="preserve"> the protection of the right to seek asylum. </w:t>
      </w:r>
      <w:r w:rsidR="004458A3" w:rsidRPr="00496EB7">
        <w:rPr>
          <w:rFonts w:ascii="Amnesty Trade Gothic" w:hAnsi="Amnesty Trade Gothic" w:cs="Times New Roman"/>
        </w:rPr>
        <w:t xml:space="preserve">Our opposition to the </w:t>
      </w:r>
      <w:r w:rsidR="003506B5" w:rsidRPr="00496EB7">
        <w:rPr>
          <w:rFonts w:ascii="Amnesty Trade Gothic" w:hAnsi="Amnesty Trade Gothic" w:cs="Times New Roman"/>
        </w:rPr>
        <w:t>rule</w:t>
      </w:r>
      <w:r w:rsidR="004458A3" w:rsidRPr="00496EB7">
        <w:rPr>
          <w:rFonts w:ascii="Amnesty Trade Gothic" w:hAnsi="Amnesty Trade Gothic" w:cs="Times New Roman"/>
        </w:rPr>
        <w:t xml:space="preserve"> </w:t>
      </w:r>
      <w:r w:rsidR="008D1B0D" w:rsidRPr="00496EB7">
        <w:rPr>
          <w:rFonts w:ascii="Amnesty Trade Gothic" w:hAnsi="Amnesty Trade Gothic" w:cs="Times New Roman"/>
        </w:rPr>
        <w:t>at hand is</w:t>
      </w:r>
      <w:r w:rsidR="004458A3" w:rsidRPr="00496EB7">
        <w:rPr>
          <w:rFonts w:ascii="Amnesty Trade Gothic" w:hAnsi="Amnesty Trade Gothic" w:cs="Times New Roman"/>
        </w:rPr>
        <w:t xml:space="preserve"> rooted in our</w:t>
      </w:r>
      <w:r w:rsidR="008A3A92" w:rsidRPr="00496EB7">
        <w:rPr>
          <w:rFonts w:ascii="Amnesty Trade Gothic" w:hAnsi="Amnesty Trade Gothic" w:cs="Times New Roman"/>
        </w:rPr>
        <w:t xml:space="preserve"> expertise in the international human rights standards governing asylum law</w:t>
      </w:r>
      <w:r w:rsidR="00415F0D" w:rsidRPr="00496EB7">
        <w:rPr>
          <w:rFonts w:ascii="Amnesty Trade Gothic" w:hAnsi="Amnesty Trade Gothic" w:cs="Times New Roman"/>
        </w:rPr>
        <w:t xml:space="preserve"> and our past engagement in research, policy, and litigation related to access to asylum in the United States and the wider region. </w:t>
      </w:r>
    </w:p>
    <w:p w14:paraId="3948B6AF" w14:textId="77777777" w:rsidR="004A05CC" w:rsidRPr="00496EB7" w:rsidRDefault="004A05CC" w:rsidP="00496EB7">
      <w:pPr>
        <w:tabs>
          <w:tab w:val="left" w:pos="4950"/>
        </w:tabs>
        <w:spacing w:after="0" w:line="240" w:lineRule="auto"/>
        <w:rPr>
          <w:rFonts w:ascii="Amnesty Trade Gothic" w:hAnsi="Amnesty Trade Gothic" w:cs="Times New Roman"/>
        </w:rPr>
      </w:pPr>
    </w:p>
    <w:p w14:paraId="3257CAB2" w14:textId="62FE54C2" w:rsidR="00E81544" w:rsidRPr="00496EB7" w:rsidRDefault="0078174B" w:rsidP="00496EB7">
      <w:pPr>
        <w:tabs>
          <w:tab w:val="left" w:pos="4950"/>
        </w:tabs>
        <w:spacing w:after="0" w:line="240" w:lineRule="auto"/>
        <w:rPr>
          <w:rFonts w:ascii="Amnesty Trade Gothic" w:hAnsi="Amnesty Trade Gothic"/>
        </w:rPr>
      </w:pPr>
      <w:r w:rsidRPr="00496EB7">
        <w:rPr>
          <w:rFonts w:ascii="Amnesty Trade Gothic" w:hAnsi="Amnesty Trade Gothic"/>
        </w:rPr>
        <w:t xml:space="preserve">Amnesty International </w:t>
      </w:r>
      <w:r w:rsidR="00E81544" w:rsidRPr="00496EB7">
        <w:rPr>
          <w:rFonts w:ascii="Amnesty Trade Gothic" w:hAnsi="Amnesty Trade Gothic"/>
        </w:rPr>
        <w:t>is deeply concerned about the impact of this interim final rule</w:t>
      </w:r>
      <w:r w:rsidRPr="00496EB7">
        <w:rPr>
          <w:rFonts w:ascii="Amnesty Trade Gothic" w:hAnsi="Amnesty Trade Gothic"/>
        </w:rPr>
        <w:t xml:space="preserve">, </w:t>
      </w:r>
      <w:r w:rsidR="00E81544" w:rsidRPr="00496EB7">
        <w:rPr>
          <w:rFonts w:ascii="Amnesty Trade Gothic" w:hAnsi="Amnesty Trade Gothic"/>
        </w:rPr>
        <w:t>which authorizes the Director of the Centers for Disease Control and Prevention (CDC) to “prohibit the introduction into the United States of persons from designated foreign countries (or one or more political subdivisions and regions thereof), only for such period of time that the Director deems necessary for the public health,” through issuance of an order.</w:t>
      </w:r>
    </w:p>
    <w:p w14:paraId="6D07E055" w14:textId="77777777" w:rsidR="00E81544" w:rsidRPr="00496EB7" w:rsidRDefault="00E81544" w:rsidP="00496EB7">
      <w:pPr>
        <w:tabs>
          <w:tab w:val="left" w:pos="4950"/>
        </w:tabs>
        <w:spacing w:after="0" w:line="240" w:lineRule="auto"/>
        <w:rPr>
          <w:rFonts w:ascii="Amnesty Trade Gothic" w:hAnsi="Amnesty Trade Gothic"/>
        </w:rPr>
      </w:pPr>
    </w:p>
    <w:p w14:paraId="57011E6A" w14:textId="418BC9AD" w:rsidR="004A05CC" w:rsidRPr="00496EB7" w:rsidRDefault="00E81544" w:rsidP="00496EB7">
      <w:pPr>
        <w:tabs>
          <w:tab w:val="left" w:pos="4950"/>
        </w:tabs>
        <w:spacing w:after="0" w:line="240" w:lineRule="auto"/>
        <w:rPr>
          <w:rFonts w:ascii="Amnesty Trade Gothic" w:hAnsi="Amnesty Trade Gothic"/>
        </w:rPr>
      </w:pPr>
      <w:r w:rsidRPr="00496EB7">
        <w:rPr>
          <w:rFonts w:ascii="Amnesty Trade Gothic" w:hAnsi="Amnesty Trade Gothic"/>
        </w:rPr>
        <w:t xml:space="preserve">On the same day the rule was issued, CDC issued an order invoking its authority under the </w:t>
      </w:r>
      <w:r w:rsidR="0078174B" w:rsidRPr="00496EB7">
        <w:rPr>
          <w:rFonts w:ascii="Amnesty Trade Gothic" w:hAnsi="Amnesty Trade Gothic"/>
        </w:rPr>
        <w:t xml:space="preserve">interim final </w:t>
      </w:r>
      <w:r w:rsidRPr="00496EB7">
        <w:rPr>
          <w:rFonts w:ascii="Amnesty Trade Gothic" w:hAnsi="Amnesty Trade Gothic"/>
        </w:rPr>
        <w:t>rule to suspend the introduction of persons without documentation who seek to enter the United States via Mexico or Canada</w:t>
      </w:r>
      <w:r w:rsidR="004A05CC" w:rsidRPr="00496EB7">
        <w:rPr>
          <w:rFonts w:ascii="Amnesty Trade Gothic" w:hAnsi="Amnesty Trade Gothic"/>
        </w:rPr>
        <w:t xml:space="preserve">, </w:t>
      </w:r>
      <w:r w:rsidR="009E46BF" w:rsidRPr="00496EB7">
        <w:rPr>
          <w:rFonts w:ascii="Amnesty Trade Gothic" w:hAnsi="Amnesty Trade Gothic"/>
        </w:rPr>
        <w:t xml:space="preserve">purportedly based on concerns of transmission of </w:t>
      </w:r>
      <w:r w:rsidR="004A05CC" w:rsidRPr="00496EB7">
        <w:rPr>
          <w:rFonts w:ascii="Amnesty Trade Gothic" w:hAnsi="Amnesty Trade Gothic"/>
        </w:rPr>
        <w:t xml:space="preserve">COVID-19. </w:t>
      </w:r>
      <w:r w:rsidR="009E46BF" w:rsidRPr="00496EB7">
        <w:rPr>
          <w:rFonts w:ascii="Amnesty Trade Gothic" w:hAnsi="Amnesty Trade Gothic"/>
        </w:rPr>
        <w:t xml:space="preserve">Far from </w:t>
      </w:r>
      <w:r w:rsidR="00436E1D" w:rsidRPr="00496EB7">
        <w:rPr>
          <w:rFonts w:ascii="Amnesty Trade Gothic" w:hAnsi="Amnesty Trade Gothic"/>
        </w:rPr>
        <w:t>promoting</w:t>
      </w:r>
      <w:r w:rsidR="009E46BF" w:rsidRPr="00496EB7">
        <w:rPr>
          <w:rFonts w:ascii="Amnesty Trade Gothic" w:hAnsi="Amnesty Trade Gothic"/>
        </w:rPr>
        <w:t xml:space="preserve"> public health, the rule</w:t>
      </w:r>
      <w:r w:rsidR="00436E1D" w:rsidRPr="00496EB7">
        <w:rPr>
          <w:rFonts w:ascii="Amnesty Trade Gothic" w:hAnsi="Amnesty Trade Gothic"/>
        </w:rPr>
        <w:t xml:space="preserve"> as implemented is empowering</w:t>
      </w:r>
      <w:r w:rsidR="00536982" w:rsidRPr="00496EB7">
        <w:rPr>
          <w:rFonts w:ascii="Amnesty Trade Gothic" w:hAnsi="Amnesty Trade Gothic"/>
        </w:rPr>
        <w:t xml:space="preserve"> what one expert has described as</w:t>
      </w:r>
      <w:r w:rsidR="00436E1D" w:rsidRPr="00496EB7">
        <w:rPr>
          <w:rFonts w:ascii="Amnesty Trade Gothic" w:hAnsi="Amnesty Trade Gothic"/>
        </w:rPr>
        <w:t xml:space="preserve"> “medical gerrymandering</w:t>
      </w:r>
      <w:r w:rsidR="00536982" w:rsidRPr="00496EB7">
        <w:rPr>
          <w:rFonts w:ascii="Amnesty Trade Gothic" w:hAnsi="Amnesty Trade Gothic"/>
        </w:rPr>
        <w:t xml:space="preserve">,” allowing the Trump administration to </w:t>
      </w:r>
      <w:r w:rsidR="00536982" w:rsidRPr="00496EB7">
        <w:rPr>
          <w:rFonts w:ascii="Amnesty Trade Gothic" w:hAnsi="Amnesty Trade Gothic"/>
        </w:rPr>
        <w:lastRenderedPageBreak/>
        <w:t>unilaterally excise protections for asylum-seekers and unaccompanied children.</w:t>
      </w:r>
      <w:r w:rsidR="00536982" w:rsidRPr="00496EB7">
        <w:rPr>
          <w:rStyle w:val="FootnoteReference"/>
          <w:rFonts w:ascii="Amnesty Trade Gothic" w:hAnsi="Amnesty Trade Gothic"/>
        </w:rPr>
        <w:footnoteReference w:id="1"/>
      </w:r>
      <w:r w:rsidR="00436E1D" w:rsidRPr="00496EB7">
        <w:rPr>
          <w:rFonts w:ascii="Amnesty Trade Gothic" w:hAnsi="Amnesty Trade Gothic"/>
        </w:rPr>
        <w:t xml:space="preserve"> </w:t>
      </w:r>
      <w:r w:rsidR="00756BBE" w:rsidRPr="00496EB7">
        <w:rPr>
          <w:rFonts w:ascii="Amnesty Trade Gothic" w:hAnsi="Amnesty Trade Gothic"/>
        </w:rPr>
        <w:t xml:space="preserve">It has served as the engine for mass, unlawful expulsions across the southwest border: over 10,000 individuals, including hundreds of unaccompanied children, were reportedly expelled in just the first two weeks </w:t>
      </w:r>
      <w:r w:rsidR="00DB4ED9">
        <w:rPr>
          <w:rFonts w:ascii="Amnesty Trade Gothic" w:hAnsi="Amnesty Trade Gothic"/>
        </w:rPr>
        <w:t>after the rule went into</w:t>
      </w:r>
      <w:r w:rsidR="00756BBE" w:rsidRPr="00496EB7">
        <w:rPr>
          <w:rFonts w:ascii="Amnesty Trade Gothic" w:hAnsi="Amnesty Trade Gothic"/>
        </w:rPr>
        <w:t xml:space="preserve"> effect.</w:t>
      </w:r>
      <w:r w:rsidR="00756BBE" w:rsidRPr="00496EB7">
        <w:rPr>
          <w:rStyle w:val="FootnoteReference"/>
          <w:rFonts w:ascii="Amnesty Trade Gothic" w:hAnsi="Amnesty Trade Gothic"/>
        </w:rPr>
        <w:footnoteReference w:id="2"/>
      </w:r>
      <w:r w:rsidR="00756BBE" w:rsidRPr="00496EB7">
        <w:rPr>
          <w:rFonts w:ascii="Amnesty Trade Gothic" w:hAnsi="Amnesty Trade Gothic"/>
        </w:rPr>
        <w:t xml:space="preserve"> </w:t>
      </w:r>
    </w:p>
    <w:p w14:paraId="0A2D113D" w14:textId="2B6B87A8" w:rsidR="00536982" w:rsidRPr="00496EB7" w:rsidRDefault="00536982" w:rsidP="00496EB7">
      <w:pPr>
        <w:tabs>
          <w:tab w:val="left" w:pos="4950"/>
        </w:tabs>
        <w:spacing w:after="0" w:line="240" w:lineRule="auto"/>
        <w:rPr>
          <w:rFonts w:ascii="Amnesty Trade Gothic" w:hAnsi="Amnesty Trade Gothic"/>
        </w:rPr>
      </w:pPr>
    </w:p>
    <w:p w14:paraId="4DE9817B" w14:textId="326A92A1" w:rsidR="00185849" w:rsidRPr="00496EB7" w:rsidRDefault="00185849" w:rsidP="00496EB7">
      <w:pPr>
        <w:tabs>
          <w:tab w:val="left" w:pos="4950"/>
        </w:tabs>
        <w:spacing w:after="0" w:line="240" w:lineRule="auto"/>
        <w:rPr>
          <w:rFonts w:ascii="Amnesty Trade Gothic" w:hAnsi="Amnesty Trade Gothic"/>
          <w:b/>
          <w:bCs/>
          <w:u w:val="single"/>
        </w:rPr>
      </w:pPr>
      <w:r w:rsidRPr="00496EB7">
        <w:rPr>
          <w:rFonts w:ascii="Amnesty Trade Gothic" w:hAnsi="Amnesty Trade Gothic"/>
          <w:b/>
          <w:bCs/>
          <w:u w:val="single"/>
        </w:rPr>
        <w:t xml:space="preserve">The interim final rule fails to </w:t>
      </w:r>
      <w:r w:rsidR="00496EB7" w:rsidRPr="00496EB7">
        <w:rPr>
          <w:rFonts w:ascii="Amnesty Trade Gothic" w:hAnsi="Amnesty Trade Gothic"/>
          <w:b/>
          <w:bCs/>
          <w:u w:val="single"/>
        </w:rPr>
        <w:t>meaningfully address public health concerns</w:t>
      </w:r>
    </w:p>
    <w:p w14:paraId="12191C16" w14:textId="77777777" w:rsidR="00185849" w:rsidRPr="00496EB7" w:rsidRDefault="00185849" w:rsidP="00496EB7">
      <w:pPr>
        <w:pStyle w:val="NormalWeb"/>
        <w:tabs>
          <w:tab w:val="left" w:pos="4950"/>
        </w:tabs>
        <w:spacing w:before="0" w:beforeAutospacing="0" w:after="0" w:afterAutospacing="0"/>
        <w:rPr>
          <w:rFonts w:ascii="Amnesty Trade Gothic" w:hAnsi="Amnesty Trade Gothic" w:cs="Arial"/>
          <w:color w:val="000000"/>
          <w:sz w:val="22"/>
          <w:szCs w:val="22"/>
        </w:rPr>
      </w:pPr>
    </w:p>
    <w:p w14:paraId="685727A5" w14:textId="570CD665" w:rsidR="00185849" w:rsidRPr="00496EB7" w:rsidRDefault="00185849" w:rsidP="00496EB7">
      <w:pPr>
        <w:pStyle w:val="NormalWeb"/>
        <w:tabs>
          <w:tab w:val="left" w:pos="4950"/>
        </w:tabs>
        <w:spacing w:before="0" w:beforeAutospacing="0" w:after="0" w:afterAutospacing="0"/>
        <w:rPr>
          <w:rFonts w:ascii="Amnesty Trade Gothic" w:hAnsi="Amnesty Trade Gothic" w:cs="Arial"/>
          <w:color w:val="000000"/>
          <w:sz w:val="22"/>
          <w:szCs w:val="22"/>
        </w:rPr>
      </w:pPr>
      <w:r w:rsidRPr="00496EB7">
        <w:rPr>
          <w:rFonts w:ascii="Amnesty Trade Gothic" w:hAnsi="Amnesty Trade Gothic" w:cs="Arial"/>
          <w:color w:val="000000"/>
          <w:sz w:val="22"/>
          <w:szCs w:val="22"/>
        </w:rPr>
        <w:t xml:space="preserve">While the rule is ostensibly grounded in </w:t>
      </w:r>
      <w:r w:rsidR="00880899" w:rsidRPr="00496EB7">
        <w:rPr>
          <w:rFonts w:ascii="Amnesty Trade Gothic" w:hAnsi="Amnesty Trade Gothic" w:cs="Arial"/>
          <w:color w:val="000000"/>
          <w:sz w:val="22"/>
          <w:szCs w:val="22"/>
        </w:rPr>
        <w:t>concerns about disease transmission</w:t>
      </w:r>
      <w:r w:rsidRPr="00496EB7">
        <w:rPr>
          <w:rFonts w:ascii="Amnesty Trade Gothic" w:hAnsi="Amnesty Trade Gothic" w:cs="Arial"/>
          <w:color w:val="000000"/>
          <w:sz w:val="22"/>
          <w:szCs w:val="22"/>
        </w:rPr>
        <w:t xml:space="preserve">, </w:t>
      </w:r>
      <w:r w:rsidR="00350D1D" w:rsidRPr="00496EB7">
        <w:rPr>
          <w:rFonts w:ascii="Amnesty Trade Gothic" w:hAnsi="Amnesty Trade Gothic" w:cs="Arial"/>
          <w:color w:val="000000"/>
          <w:sz w:val="22"/>
          <w:szCs w:val="22"/>
        </w:rPr>
        <w:t>as implemented, it</w:t>
      </w:r>
      <w:r w:rsidRPr="00496EB7">
        <w:rPr>
          <w:rFonts w:ascii="Amnesty Trade Gothic" w:hAnsi="Amnesty Trade Gothic" w:cs="Arial"/>
          <w:color w:val="000000"/>
          <w:sz w:val="22"/>
          <w:szCs w:val="22"/>
        </w:rPr>
        <w:t xml:space="preserve"> fails to meaningfully address the</w:t>
      </w:r>
      <w:r w:rsidR="00350D1D" w:rsidRPr="00496EB7">
        <w:rPr>
          <w:rFonts w:ascii="Amnesty Trade Gothic" w:hAnsi="Amnesty Trade Gothic" w:cs="Arial"/>
          <w:color w:val="000000"/>
          <w:sz w:val="22"/>
          <w:szCs w:val="22"/>
        </w:rPr>
        <w:t>se concerns</w:t>
      </w:r>
      <w:r w:rsidRPr="00496EB7">
        <w:rPr>
          <w:rFonts w:ascii="Amnesty Trade Gothic" w:hAnsi="Amnesty Trade Gothic" w:cs="Arial"/>
          <w:color w:val="000000"/>
          <w:sz w:val="22"/>
          <w:szCs w:val="22"/>
        </w:rPr>
        <w:t>.</w:t>
      </w:r>
      <w:r w:rsidR="004B484C">
        <w:rPr>
          <w:rFonts w:ascii="Amnesty Trade Gothic" w:hAnsi="Amnesty Trade Gothic" w:cs="Arial"/>
          <w:color w:val="000000"/>
          <w:sz w:val="22"/>
          <w:szCs w:val="22"/>
        </w:rPr>
        <w:t xml:space="preserve"> </w:t>
      </w:r>
    </w:p>
    <w:p w14:paraId="68A53376" w14:textId="57BBEE26" w:rsidR="00185849" w:rsidRPr="00496EB7" w:rsidRDefault="00185849" w:rsidP="00496EB7">
      <w:pPr>
        <w:pStyle w:val="NormalWeb"/>
        <w:tabs>
          <w:tab w:val="left" w:pos="4950"/>
        </w:tabs>
        <w:spacing w:before="0" w:beforeAutospacing="0" w:after="0" w:afterAutospacing="0"/>
        <w:rPr>
          <w:rFonts w:ascii="Amnesty Trade Gothic" w:hAnsi="Amnesty Trade Gothic" w:cs="Arial"/>
          <w:color w:val="000000"/>
          <w:sz w:val="22"/>
          <w:szCs w:val="22"/>
        </w:rPr>
      </w:pPr>
    </w:p>
    <w:p w14:paraId="57B13005" w14:textId="2DA258DB" w:rsidR="00185849" w:rsidRDefault="00185849" w:rsidP="00496EB7">
      <w:pPr>
        <w:tabs>
          <w:tab w:val="left" w:pos="4950"/>
        </w:tabs>
        <w:spacing w:after="0" w:line="240" w:lineRule="auto"/>
        <w:rPr>
          <w:rFonts w:ascii="Amnesty Trade Gothic" w:hAnsi="Amnesty Trade Gothic" w:cs="Arial"/>
          <w:color w:val="000000"/>
        </w:rPr>
      </w:pPr>
      <w:r w:rsidRPr="00496EB7">
        <w:rPr>
          <w:rFonts w:ascii="Amnesty Trade Gothic" w:hAnsi="Amnesty Trade Gothic"/>
        </w:rPr>
        <w:t xml:space="preserve">For one, </w:t>
      </w:r>
      <w:r w:rsidR="00350D1D" w:rsidRPr="00496EB7">
        <w:rPr>
          <w:rFonts w:ascii="Amnesty Trade Gothic" w:hAnsi="Amnesty Trade Gothic"/>
        </w:rPr>
        <w:t xml:space="preserve">while </w:t>
      </w:r>
      <w:r w:rsidRPr="00496EB7">
        <w:rPr>
          <w:rFonts w:ascii="Amnesty Trade Gothic" w:hAnsi="Amnesty Trade Gothic"/>
        </w:rPr>
        <w:t xml:space="preserve">the rule is aimed at preventing the introduction of individuals </w:t>
      </w:r>
      <w:r w:rsidR="00496EB7">
        <w:rPr>
          <w:rFonts w:ascii="Amnesty Trade Gothic" w:hAnsi="Amnesty Trade Gothic" w:cs="Arial"/>
          <w:color w:val="000000"/>
        </w:rPr>
        <w:t>who</w:t>
      </w:r>
      <w:r w:rsidR="00350D1D" w:rsidRPr="00496EB7">
        <w:rPr>
          <w:rFonts w:ascii="Amnesty Trade Gothic" w:hAnsi="Amnesty Trade Gothic" w:cs="Arial"/>
          <w:color w:val="000000"/>
        </w:rPr>
        <w:t xml:space="preserve"> have previously been </w:t>
      </w:r>
      <w:r w:rsidRPr="00496EB7">
        <w:rPr>
          <w:rFonts w:ascii="Amnesty Trade Gothic" w:hAnsi="Amnesty Trade Gothic" w:cs="Arial"/>
          <w:color w:val="000000"/>
        </w:rPr>
        <w:t>in congregate settings</w:t>
      </w:r>
      <w:r w:rsidR="00496EB7">
        <w:rPr>
          <w:rFonts w:ascii="Amnesty Trade Gothic" w:hAnsi="Amnesty Trade Gothic" w:cs="Arial"/>
          <w:color w:val="000000"/>
        </w:rPr>
        <w:t xml:space="preserve"> or who cannot quarantine or self-isolate</w:t>
      </w:r>
      <w:r w:rsidRPr="00496EB7">
        <w:rPr>
          <w:rFonts w:ascii="Amnesty Trade Gothic" w:hAnsi="Amnesty Trade Gothic" w:cs="Arial"/>
          <w:color w:val="000000"/>
        </w:rPr>
        <w:t xml:space="preserve">, </w:t>
      </w:r>
      <w:r w:rsidR="00350D1D" w:rsidRPr="00496EB7">
        <w:rPr>
          <w:rFonts w:ascii="Amnesty Trade Gothic" w:hAnsi="Amnesty Trade Gothic" w:cs="Arial"/>
          <w:color w:val="000000"/>
        </w:rPr>
        <w:t xml:space="preserve">it </w:t>
      </w:r>
      <w:r w:rsidRPr="00496EB7">
        <w:rPr>
          <w:rFonts w:ascii="Amnesty Trade Gothic" w:hAnsi="Amnesty Trade Gothic" w:cs="Arial"/>
          <w:color w:val="000000"/>
        </w:rPr>
        <w:t xml:space="preserve">does not actually apply to such individuals universally. For example, </w:t>
      </w:r>
      <w:r w:rsidR="00350D1D" w:rsidRPr="00496EB7">
        <w:rPr>
          <w:rFonts w:ascii="Amnesty Trade Gothic" w:hAnsi="Amnesty Trade Gothic" w:cs="Arial"/>
          <w:color w:val="000000"/>
        </w:rPr>
        <w:t xml:space="preserve">the rule </w:t>
      </w:r>
      <w:r w:rsidRPr="00496EB7">
        <w:rPr>
          <w:rFonts w:ascii="Amnesty Trade Gothic" w:hAnsi="Amnesty Trade Gothic" w:cs="Arial"/>
          <w:color w:val="000000"/>
        </w:rPr>
        <w:t>exempts U.S. citizens and permanent residents, even if these individuals lack places to self-isolate or have previously been in congregate settings, like cruise ships, where significant outbreaks of COVID-19 have already occurred.</w:t>
      </w:r>
      <w:r w:rsidR="004B484C">
        <w:rPr>
          <w:rFonts w:ascii="Amnesty Trade Gothic" w:hAnsi="Amnesty Trade Gothic" w:cs="Arial"/>
          <w:color w:val="000000"/>
        </w:rPr>
        <w:t xml:space="preserve"> </w:t>
      </w:r>
    </w:p>
    <w:p w14:paraId="4169D5C2" w14:textId="77777777" w:rsidR="00496EB7" w:rsidRPr="00496EB7" w:rsidRDefault="00496EB7" w:rsidP="00496EB7">
      <w:pPr>
        <w:tabs>
          <w:tab w:val="left" w:pos="4950"/>
        </w:tabs>
        <w:spacing w:after="0" w:line="240" w:lineRule="auto"/>
        <w:rPr>
          <w:rFonts w:ascii="Amnesty Trade Gothic" w:hAnsi="Amnesty Trade Gothic" w:cs="Arial"/>
          <w:color w:val="000000"/>
        </w:rPr>
      </w:pPr>
    </w:p>
    <w:p w14:paraId="20C07DAD" w14:textId="63B0D533" w:rsidR="00185849" w:rsidRPr="00CE7D00" w:rsidRDefault="00185849" w:rsidP="00496EB7">
      <w:pPr>
        <w:tabs>
          <w:tab w:val="left" w:pos="4950"/>
        </w:tabs>
        <w:spacing w:after="0" w:line="240" w:lineRule="auto"/>
        <w:rPr>
          <w:rFonts w:eastAsia="Times New Roman"/>
        </w:rPr>
      </w:pPr>
      <w:r w:rsidRPr="00496EB7">
        <w:rPr>
          <w:rFonts w:ascii="Amnesty Trade Gothic" w:hAnsi="Amnesty Trade Gothic" w:cs="Arial"/>
          <w:color w:val="000000"/>
        </w:rPr>
        <w:t xml:space="preserve">Furthermore, </w:t>
      </w:r>
      <w:r w:rsidR="00350D1D" w:rsidRPr="00496EB7">
        <w:rPr>
          <w:rFonts w:ascii="Amnesty Trade Gothic" w:hAnsi="Amnesty Trade Gothic" w:cs="Arial"/>
          <w:color w:val="000000"/>
        </w:rPr>
        <w:t xml:space="preserve">in the case of COVID-19, the rule is being applied to restrict only certain travelers at land borders – </w:t>
      </w:r>
      <w:r w:rsidRPr="00496EB7">
        <w:rPr>
          <w:rFonts w:ascii="Amnesty Trade Gothic" w:hAnsi="Amnesty Trade Gothic" w:cs="Arial"/>
          <w:color w:val="000000"/>
        </w:rPr>
        <w:t>even though</w:t>
      </w:r>
      <w:r w:rsidR="00350D1D" w:rsidRPr="00496EB7">
        <w:rPr>
          <w:rFonts w:ascii="Amnesty Trade Gothic" w:hAnsi="Amnesty Trade Gothic" w:cs="Arial"/>
          <w:color w:val="000000"/>
        </w:rPr>
        <w:t xml:space="preserve"> </w:t>
      </w:r>
      <w:r w:rsidRPr="00496EB7">
        <w:rPr>
          <w:rFonts w:ascii="Amnesty Trade Gothic" w:hAnsi="Amnesty Trade Gothic" w:cs="Arial"/>
          <w:color w:val="000000"/>
        </w:rPr>
        <w:t xml:space="preserve">transportation hubs, like airports and cruise terminals, </w:t>
      </w:r>
      <w:r w:rsidR="00350D1D" w:rsidRPr="00496EB7">
        <w:rPr>
          <w:rFonts w:ascii="Amnesty Trade Gothic" w:hAnsi="Amnesty Trade Gothic" w:cs="Arial"/>
          <w:color w:val="000000"/>
        </w:rPr>
        <w:t>are also</w:t>
      </w:r>
      <w:r w:rsidRPr="00496EB7">
        <w:rPr>
          <w:rFonts w:ascii="Amnesty Trade Gothic" w:hAnsi="Amnesty Trade Gothic" w:cs="Arial"/>
          <w:color w:val="000000"/>
        </w:rPr>
        <w:t xml:space="preserve"> “conducive to disease transmission</w:t>
      </w:r>
      <w:r w:rsidR="00350D1D" w:rsidRPr="00496EB7">
        <w:rPr>
          <w:rFonts w:ascii="Amnesty Trade Gothic" w:hAnsi="Amnesty Trade Gothic" w:cs="Arial"/>
          <w:color w:val="000000"/>
        </w:rPr>
        <w:t>,</w:t>
      </w:r>
      <w:r w:rsidRPr="00496EB7">
        <w:rPr>
          <w:rFonts w:ascii="Amnesty Trade Gothic" w:hAnsi="Amnesty Trade Gothic" w:cs="Arial"/>
          <w:color w:val="000000"/>
        </w:rPr>
        <w:t>”</w:t>
      </w:r>
      <w:r w:rsidR="00350D1D" w:rsidRPr="00496EB7">
        <w:rPr>
          <w:rFonts w:ascii="Amnesty Trade Gothic" w:hAnsi="Amnesty Trade Gothic" w:cs="Arial"/>
          <w:color w:val="000000"/>
        </w:rPr>
        <w:t xml:space="preserve"> as the text accompanying the rule notes.</w:t>
      </w:r>
      <w:r w:rsidR="00350D1D" w:rsidRPr="00496EB7">
        <w:rPr>
          <w:rStyle w:val="FootnoteReference"/>
          <w:rFonts w:ascii="Amnesty Trade Gothic" w:hAnsi="Amnesty Trade Gothic" w:cs="Arial"/>
          <w:color w:val="000000"/>
        </w:rPr>
        <w:footnoteReference w:id="3"/>
      </w:r>
      <w:r w:rsidR="00350D1D" w:rsidRPr="00496EB7">
        <w:rPr>
          <w:rFonts w:ascii="Amnesty Trade Gothic" w:hAnsi="Amnesty Trade Gothic" w:cs="Arial"/>
          <w:color w:val="000000"/>
        </w:rPr>
        <w:t xml:space="preserve"> The rule is not being used to bar</w:t>
      </w:r>
      <w:r w:rsidRPr="00496EB7">
        <w:rPr>
          <w:rFonts w:ascii="Amnesty Trade Gothic" w:hAnsi="Amnesty Trade Gothic" w:cs="Arial"/>
          <w:color w:val="000000"/>
        </w:rPr>
        <w:t xml:space="preserve"> travel by tourists arriving by plane or ship, even though these modes of transportation are explicitly listed </w:t>
      </w:r>
      <w:r w:rsidR="00350D1D" w:rsidRPr="00496EB7">
        <w:rPr>
          <w:rFonts w:ascii="Amnesty Trade Gothic" w:hAnsi="Amnesty Trade Gothic" w:cs="Arial"/>
          <w:color w:val="000000"/>
        </w:rPr>
        <w:t xml:space="preserve">by HHS </w:t>
      </w:r>
      <w:r w:rsidRPr="00496EB7">
        <w:rPr>
          <w:rFonts w:ascii="Amnesty Trade Gothic" w:hAnsi="Amnesty Trade Gothic" w:cs="Arial"/>
          <w:color w:val="000000"/>
        </w:rPr>
        <w:t>as congregate settings with higher risk of disease transmission than land travel. </w:t>
      </w:r>
      <w:r w:rsidR="00350D1D" w:rsidRPr="00496EB7">
        <w:rPr>
          <w:rFonts w:ascii="Amnesty Trade Gothic" w:hAnsi="Amnesty Trade Gothic" w:cs="Arial"/>
          <w:color w:val="000000"/>
        </w:rPr>
        <w:t xml:space="preserve">A travel restriction issued the same day as the rule </w:t>
      </w:r>
      <w:r w:rsidR="00880899" w:rsidRPr="00496EB7">
        <w:rPr>
          <w:rFonts w:ascii="Amnesty Trade Gothic" w:hAnsi="Amnesty Trade Gothic" w:cs="Arial"/>
          <w:color w:val="000000"/>
        </w:rPr>
        <w:t>limits border travel to “essential” travel only</w:t>
      </w:r>
      <w:r w:rsidR="00350D1D" w:rsidRPr="00496EB7">
        <w:rPr>
          <w:rFonts w:ascii="Amnesty Trade Gothic" w:hAnsi="Amnesty Trade Gothic" w:cs="Arial"/>
          <w:color w:val="000000"/>
        </w:rPr>
        <w:t>, but still provides broad exceptions for travel related to education, trade and commerce.</w:t>
      </w:r>
      <w:r w:rsidR="00350D1D" w:rsidRPr="00496EB7">
        <w:rPr>
          <w:rStyle w:val="FootnoteReference"/>
          <w:rFonts w:ascii="Amnesty Trade Gothic" w:hAnsi="Amnesty Trade Gothic" w:cs="Arial"/>
          <w:color w:val="000000"/>
        </w:rPr>
        <w:footnoteReference w:id="4"/>
      </w:r>
      <w:r w:rsidR="00350D1D" w:rsidRPr="00496EB7">
        <w:rPr>
          <w:rFonts w:ascii="Amnesty Trade Gothic" w:hAnsi="Amnesty Trade Gothic" w:cs="Arial"/>
          <w:color w:val="000000"/>
        </w:rPr>
        <w:t xml:space="preserve"> </w:t>
      </w:r>
      <w:r w:rsidR="00496EB7" w:rsidRPr="00496EB7">
        <w:rPr>
          <w:rFonts w:ascii="Amnesty Trade Gothic" w:hAnsi="Amnesty Trade Gothic" w:cs="Arial"/>
          <w:color w:val="000000"/>
        </w:rPr>
        <w:t xml:space="preserve">The rule is thus being used to target certain classes of noncitizens in a manner unrelated to </w:t>
      </w:r>
      <w:r w:rsidR="00496EB7">
        <w:rPr>
          <w:rFonts w:ascii="Amnesty Trade Gothic" w:hAnsi="Amnesty Trade Gothic" w:cs="Arial"/>
          <w:color w:val="000000"/>
        </w:rPr>
        <w:t xml:space="preserve">potential </w:t>
      </w:r>
      <w:r w:rsidR="00496EB7" w:rsidRPr="00496EB7">
        <w:rPr>
          <w:rFonts w:ascii="Amnesty Trade Gothic" w:hAnsi="Amnesty Trade Gothic" w:cs="Arial"/>
          <w:color w:val="000000"/>
        </w:rPr>
        <w:t>public health risks.</w:t>
      </w:r>
      <w:r w:rsidR="004B484C">
        <w:rPr>
          <w:rFonts w:ascii="Amnesty Trade Gothic" w:hAnsi="Amnesty Trade Gothic" w:cs="Arial"/>
          <w:color w:val="000000"/>
        </w:rPr>
        <w:t xml:space="preserve"> </w:t>
      </w:r>
      <w:r w:rsidR="00496EB7" w:rsidRPr="00496EB7">
        <w:rPr>
          <w:rFonts w:ascii="Amnesty Trade Gothic" w:hAnsi="Amnesty Trade Gothic" w:cs="Arial"/>
          <w:color w:val="000000"/>
        </w:rPr>
        <w:t xml:space="preserve"> </w:t>
      </w:r>
    </w:p>
    <w:p w14:paraId="1BA3AEE0" w14:textId="77777777" w:rsidR="00496EB7" w:rsidRPr="00496EB7" w:rsidRDefault="00496EB7" w:rsidP="00496EB7">
      <w:pPr>
        <w:tabs>
          <w:tab w:val="left" w:pos="4950"/>
        </w:tabs>
        <w:spacing w:after="0" w:line="240" w:lineRule="auto"/>
        <w:rPr>
          <w:rFonts w:ascii="Amnesty Trade Gothic" w:hAnsi="Amnesty Trade Gothic" w:cs="Arial"/>
          <w:color w:val="000000"/>
        </w:rPr>
      </w:pPr>
    </w:p>
    <w:p w14:paraId="5FF511ED" w14:textId="485550B0" w:rsidR="00185849" w:rsidRPr="00496EB7" w:rsidRDefault="00496EB7"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r w:rsidRPr="00496EB7">
        <w:rPr>
          <w:rFonts w:ascii="Amnesty Trade Gothic" w:hAnsi="Amnesty Trade Gothic" w:cs="Arial"/>
          <w:color w:val="000000"/>
          <w:sz w:val="22"/>
          <w:szCs w:val="22"/>
        </w:rPr>
        <w:t xml:space="preserve">While the order on which the rule is based assumes that noncitizens without documentation must be barred from entry because </w:t>
      </w:r>
      <w:r>
        <w:rPr>
          <w:rFonts w:ascii="Amnesty Trade Gothic" w:hAnsi="Amnesty Trade Gothic" w:cs="Arial"/>
          <w:color w:val="000000"/>
          <w:sz w:val="22"/>
          <w:szCs w:val="22"/>
        </w:rPr>
        <w:t>t</w:t>
      </w:r>
      <w:r w:rsidRPr="00496EB7">
        <w:rPr>
          <w:rFonts w:ascii="Amnesty Trade Gothic" w:hAnsi="Amnesty Trade Gothic" w:cs="Arial"/>
          <w:color w:val="000000"/>
          <w:sz w:val="22"/>
          <w:szCs w:val="22"/>
        </w:rPr>
        <w:t xml:space="preserve">hey </w:t>
      </w:r>
      <w:r>
        <w:rPr>
          <w:rFonts w:ascii="Amnesty Trade Gothic" w:hAnsi="Amnesty Trade Gothic" w:cs="Arial"/>
          <w:color w:val="000000"/>
          <w:sz w:val="22"/>
          <w:szCs w:val="22"/>
        </w:rPr>
        <w:t xml:space="preserve">otherwise </w:t>
      </w:r>
      <w:r w:rsidRPr="00496EB7">
        <w:rPr>
          <w:rFonts w:ascii="Amnesty Trade Gothic" w:hAnsi="Amnesty Trade Gothic" w:cs="Arial"/>
          <w:color w:val="000000"/>
          <w:sz w:val="22"/>
          <w:szCs w:val="22"/>
        </w:rPr>
        <w:t xml:space="preserve">will be introduced into congregate settings such as detention centers, this is simply not true. </w:t>
      </w:r>
      <w:r w:rsidR="00994F36">
        <w:rPr>
          <w:rFonts w:ascii="Amnesty Trade Gothic" w:hAnsi="Amnesty Trade Gothic" w:cs="Arial"/>
          <w:color w:val="000000"/>
          <w:sz w:val="22"/>
          <w:szCs w:val="22"/>
        </w:rPr>
        <w:t>The U</w:t>
      </w:r>
      <w:r w:rsidR="007045B6">
        <w:rPr>
          <w:rFonts w:ascii="Amnesty Trade Gothic" w:hAnsi="Amnesty Trade Gothic" w:cs="Arial"/>
          <w:color w:val="000000"/>
          <w:sz w:val="22"/>
          <w:szCs w:val="22"/>
        </w:rPr>
        <w:t>.</w:t>
      </w:r>
      <w:r w:rsidR="00994F36">
        <w:rPr>
          <w:rFonts w:ascii="Amnesty Trade Gothic" w:hAnsi="Amnesty Trade Gothic" w:cs="Arial"/>
          <w:color w:val="000000"/>
          <w:sz w:val="22"/>
          <w:szCs w:val="22"/>
        </w:rPr>
        <w:t>S</w:t>
      </w:r>
      <w:r w:rsidR="007045B6">
        <w:rPr>
          <w:rFonts w:ascii="Amnesty Trade Gothic" w:hAnsi="Amnesty Trade Gothic" w:cs="Arial"/>
          <w:color w:val="000000"/>
          <w:sz w:val="22"/>
          <w:szCs w:val="22"/>
        </w:rPr>
        <w:t>.</w:t>
      </w:r>
      <w:r w:rsidR="00994F36">
        <w:rPr>
          <w:rFonts w:ascii="Amnesty Trade Gothic" w:hAnsi="Amnesty Trade Gothic" w:cs="Arial"/>
          <w:color w:val="000000"/>
          <w:sz w:val="22"/>
          <w:szCs w:val="22"/>
        </w:rPr>
        <w:t xml:space="preserve"> Department of Homeland Security (</w:t>
      </w:r>
      <w:r w:rsidRPr="00496EB7">
        <w:rPr>
          <w:rFonts w:ascii="Amnesty Trade Gothic" w:hAnsi="Amnesty Trade Gothic" w:cs="Arial"/>
          <w:color w:val="000000"/>
          <w:sz w:val="22"/>
          <w:szCs w:val="22"/>
        </w:rPr>
        <w:t>DHS</w:t>
      </w:r>
      <w:r w:rsidR="00994F36">
        <w:rPr>
          <w:rFonts w:ascii="Amnesty Trade Gothic" w:hAnsi="Amnesty Trade Gothic" w:cs="Arial"/>
          <w:color w:val="000000"/>
          <w:sz w:val="22"/>
          <w:szCs w:val="22"/>
        </w:rPr>
        <w:t>)</w:t>
      </w:r>
      <w:r w:rsidRPr="00496EB7">
        <w:rPr>
          <w:rFonts w:ascii="Amnesty Trade Gothic" w:hAnsi="Amnesty Trade Gothic" w:cs="Arial"/>
          <w:color w:val="000000"/>
          <w:sz w:val="22"/>
          <w:szCs w:val="22"/>
        </w:rPr>
        <w:t xml:space="preserve"> is not required to hold asylum-seekers in congregate settings; it has lega</w:t>
      </w:r>
      <w:r w:rsidR="00DB4ED9">
        <w:rPr>
          <w:rFonts w:ascii="Amnesty Trade Gothic" w:hAnsi="Amnesty Trade Gothic" w:cs="Arial"/>
          <w:color w:val="000000"/>
          <w:sz w:val="22"/>
          <w:szCs w:val="22"/>
        </w:rPr>
        <w:t>l authority</w:t>
      </w:r>
      <w:r w:rsidRPr="00496EB7">
        <w:rPr>
          <w:rFonts w:ascii="Amnesty Trade Gothic" w:hAnsi="Amnesty Trade Gothic" w:cs="Arial"/>
          <w:color w:val="000000"/>
          <w:sz w:val="22"/>
          <w:szCs w:val="22"/>
        </w:rPr>
        <w:t xml:space="preserve"> to expeditiously parole asylum-seekers into the United States to await their asylum proceedings in U.S. immigration courts.</w:t>
      </w:r>
      <w:r w:rsidR="00DB4ED9">
        <w:rPr>
          <w:rStyle w:val="FootnoteReference"/>
          <w:rFonts w:ascii="Amnesty Trade Gothic" w:hAnsi="Amnesty Trade Gothic" w:cs="Arial"/>
          <w:color w:val="000000"/>
          <w:sz w:val="22"/>
          <w:szCs w:val="22"/>
        </w:rPr>
        <w:footnoteReference w:id="5"/>
      </w:r>
      <w:r w:rsidRPr="00496EB7">
        <w:rPr>
          <w:rFonts w:ascii="Amnesty Trade Gothic" w:hAnsi="Amnesty Trade Gothic" w:cs="Arial"/>
          <w:color w:val="000000"/>
          <w:sz w:val="22"/>
          <w:szCs w:val="22"/>
        </w:rPr>
        <w:t xml:space="preserve"> And th</w:t>
      </w:r>
      <w:r w:rsidR="00185849" w:rsidRPr="00496EB7">
        <w:rPr>
          <w:rFonts w:ascii="Amnesty Trade Gothic" w:hAnsi="Amnesty Trade Gothic" w:cs="Arial"/>
          <w:color w:val="000000"/>
          <w:sz w:val="22"/>
          <w:szCs w:val="22"/>
        </w:rPr>
        <w:t xml:space="preserve">e vast majority of asylum-seekers have homes in the United States where they could safely practice self-isolation, when needed. For example, an October 2019 study of 607 asylum-seekers subject to the </w:t>
      </w:r>
      <w:r w:rsidR="00994F36">
        <w:rPr>
          <w:rFonts w:ascii="Amnesty Trade Gothic" w:hAnsi="Amnesty Trade Gothic" w:cs="Arial"/>
          <w:color w:val="000000"/>
          <w:sz w:val="22"/>
          <w:szCs w:val="22"/>
        </w:rPr>
        <w:t>Migrant Protection Protocols, otherwise known as the “</w:t>
      </w:r>
      <w:r w:rsidR="00185849" w:rsidRPr="00496EB7">
        <w:rPr>
          <w:rFonts w:ascii="Amnesty Trade Gothic" w:hAnsi="Amnesty Trade Gothic" w:cs="Arial"/>
          <w:color w:val="000000"/>
          <w:sz w:val="22"/>
          <w:szCs w:val="22"/>
        </w:rPr>
        <w:t>Remain in Mexico</w:t>
      </w:r>
      <w:r w:rsidR="007045B6">
        <w:rPr>
          <w:rFonts w:ascii="Amnesty Trade Gothic" w:hAnsi="Amnesty Trade Gothic" w:cs="Arial"/>
          <w:color w:val="000000"/>
          <w:sz w:val="22"/>
          <w:szCs w:val="22"/>
        </w:rPr>
        <w:t xml:space="preserve">” </w:t>
      </w:r>
      <w:r w:rsidR="00185849" w:rsidRPr="00496EB7">
        <w:rPr>
          <w:rFonts w:ascii="Amnesty Trade Gothic" w:hAnsi="Amnesty Trade Gothic" w:cs="Arial"/>
          <w:color w:val="000000"/>
          <w:sz w:val="22"/>
          <w:szCs w:val="22"/>
        </w:rPr>
        <w:t>program</w:t>
      </w:r>
      <w:r w:rsidR="007045B6">
        <w:rPr>
          <w:rFonts w:ascii="Amnesty Trade Gothic" w:hAnsi="Amnesty Trade Gothic" w:cs="Arial"/>
          <w:color w:val="000000"/>
          <w:sz w:val="22"/>
          <w:szCs w:val="22"/>
        </w:rPr>
        <w:t>,</w:t>
      </w:r>
      <w:r w:rsidR="00185849" w:rsidRPr="00496EB7">
        <w:rPr>
          <w:rFonts w:ascii="Amnesty Trade Gothic" w:hAnsi="Amnesty Trade Gothic" w:cs="Arial"/>
          <w:color w:val="000000"/>
          <w:sz w:val="22"/>
          <w:szCs w:val="22"/>
        </w:rPr>
        <w:t xml:space="preserve"> found that </w:t>
      </w:r>
      <w:r w:rsidRPr="00496EB7">
        <w:rPr>
          <w:rFonts w:ascii="Amnesty Trade Gothic" w:hAnsi="Amnesty Trade Gothic" w:cs="Arial"/>
          <w:color w:val="000000"/>
          <w:sz w:val="22"/>
          <w:szCs w:val="22"/>
        </w:rPr>
        <w:t>nearly 92 percent</w:t>
      </w:r>
      <w:r w:rsidR="00185849" w:rsidRPr="00496EB7">
        <w:rPr>
          <w:rFonts w:ascii="Amnesty Trade Gothic" w:hAnsi="Amnesty Trade Gothic" w:cs="Arial"/>
          <w:color w:val="000000"/>
          <w:sz w:val="22"/>
          <w:szCs w:val="22"/>
        </w:rPr>
        <w:t xml:space="preserve"> had family or close friends in the United States.</w:t>
      </w:r>
      <w:r w:rsidR="00880899" w:rsidRPr="00496EB7">
        <w:rPr>
          <w:rStyle w:val="FootnoteReference"/>
          <w:rFonts w:ascii="Amnesty Trade Gothic" w:hAnsi="Amnesty Trade Gothic" w:cs="Arial"/>
          <w:color w:val="000000"/>
          <w:sz w:val="22"/>
          <w:szCs w:val="22"/>
        </w:rPr>
        <w:footnoteReference w:id="6"/>
      </w:r>
    </w:p>
    <w:p w14:paraId="31FABA4E" w14:textId="51546F4C" w:rsidR="00496EB7" w:rsidRDefault="00496EB7"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p>
    <w:p w14:paraId="5EA4A401" w14:textId="58657BDF" w:rsidR="00496EB7" w:rsidRDefault="00496EB7"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p>
    <w:p w14:paraId="6046F95D" w14:textId="34701478" w:rsidR="0078174B" w:rsidRPr="00496EB7" w:rsidRDefault="0078174B" w:rsidP="00496EB7">
      <w:pPr>
        <w:tabs>
          <w:tab w:val="left" w:pos="4950"/>
        </w:tabs>
        <w:spacing w:after="0" w:line="240" w:lineRule="auto"/>
        <w:rPr>
          <w:rFonts w:ascii="Amnesty Trade Gothic" w:hAnsi="Amnesty Trade Gothic"/>
          <w:b/>
          <w:bCs/>
        </w:rPr>
      </w:pPr>
      <w:r w:rsidRPr="00496EB7">
        <w:rPr>
          <w:rFonts w:ascii="Amnesty Trade Gothic" w:hAnsi="Amnesty Trade Gothic"/>
          <w:b/>
          <w:bCs/>
          <w:u w:val="single"/>
        </w:rPr>
        <w:lastRenderedPageBreak/>
        <w:t>The</w:t>
      </w:r>
      <w:r w:rsidR="009E46BF" w:rsidRPr="00496EB7">
        <w:rPr>
          <w:rFonts w:ascii="Amnesty Trade Gothic" w:hAnsi="Amnesty Trade Gothic"/>
          <w:b/>
          <w:bCs/>
          <w:u w:val="single"/>
        </w:rPr>
        <w:t xml:space="preserve"> interim final</w:t>
      </w:r>
      <w:r w:rsidRPr="00496EB7">
        <w:rPr>
          <w:rFonts w:ascii="Amnesty Trade Gothic" w:hAnsi="Amnesty Trade Gothic"/>
          <w:b/>
          <w:bCs/>
          <w:u w:val="single"/>
        </w:rPr>
        <w:t xml:space="preserve"> rule</w:t>
      </w:r>
      <w:r w:rsidR="009E46BF" w:rsidRPr="00496EB7">
        <w:rPr>
          <w:rFonts w:ascii="Amnesty Trade Gothic" w:hAnsi="Amnesty Trade Gothic"/>
          <w:b/>
          <w:bCs/>
          <w:u w:val="single"/>
        </w:rPr>
        <w:t xml:space="preserve"> has </w:t>
      </w:r>
      <w:r w:rsidRPr="00496EB7">
        <w:rPr>
          <w:rFonts w:ascii="Amnesty Trade Gothic" w:hAnsi="Amnesty Trade Gothic"/>
          <w:b/>
          <w:bCs/>
          <w:u w:val="single"/>
        </w:rPr>
        <w:t>empower</w:t>
      </w:r>
      <w:r w:rsidR="009E46BF" w:rsidRPr="00496EB7">
        <w:rPr>
          <w:rFonts w:ascii="Amnesty Trade Gothic" w:hAnsi="Amnesty Trade Gothic"/>
          <w:b/>
          <w:bCs/>
          <w:u w:val="single"/>
        </w:rPr>
        <w:t>ed</w:t>
      </w:r>
      <w:r w:rsidRPr="00496EB7">
        <w:rPr>
          <w:rFonts w:ascii="Amnesty Trade Gothic" w:hAnsi="Amnesty Trade Gothic"/>
          <w:b/>
          <w:bCs/>
          <w:u w:val="single"/>
        </w:rPr>
        <w:t xml:space="preserve"> mass violations of the right to seek asylum</w:t>
      </w:r>
    </w:p>
    <w:p w14:paraId="6732DC89" w14:textId="7961F5CA" w:rsidR="0078174B" w:rsidRPr="00496EB7" w:rsidRDefault="0078174B" w:rsidP="00496EB7">
      <w:pPr>
        <w:tabs>
          <w:tab w:val="left" w:pos="4950"/>
        </w:tabs>
        <w:spacing w:after="0" w:line="240" w:lineRule="auto"/>
        <w:rPr>
          <w:rFonts w:ascii="Amnesty Trade Gothic" w:hAnsi="Amnesty Trade Gothic"/>
          <w:b/>
          <w:bCs/>
        </w:rPr>
      </w:pPr>
    </w:p>
    <w:p w14:paraId="0CED4FA2" w14:textId="5B8256BE" w:rsidR="009E46BF" w:rsidRPr="00496EB7" w:rsidRDefault="009E46BF" w:rsidP="00496EB7">
      <w:pPr>
        <w:tabs>
          <w:tab w:val="left" w:pos="4950"/>
        </w:tabs>
        <w:spacing w:after="0" w:line="240" w:lineRule="auto"/>
        <w:rPr>
          <w:rFonts w:ascii="Amnesty Trade Gothic" w:hAnsi="Amnesty Trade Gothic"/>
        </w:rPr>
      </w:pPr>
      <w:r w:rsidRPr="00496EB7">
        <w:rPr>
          <w:rFonts w:ascii="Amnesty Trade Gothic" w:hAnsi="Amnesty Trade Gothic"/>
        </w:rPr>
        <w:t xml:space="preserve">The new rule grants the United State expansive powers to expel individuals without affording them access to an asylum procedure, as domestic and international law require. </w:t>
      </w:r>
    </w:p>
    <w:p w14:paraId="10899FA3" w14:textId="77777777" w:rsidR="009E46BF" w:rsidRPr="00496EB7" w:rsidRDefault="009E46BF" w:rsidP="00496EB7">
      <w:pPr>
        <w:tabs>
          <w:tab w:val="left" w:pos="4950"/>
        </w:tabs>
        <w:spacing w:after="0" w:line="240" w:lineRule="auto"/>
        <w:rPr>
          <w:rFonts w:ascii="Amnesty Trade Gothic" w:hAnsi="Amnesty Trade Gothic"/>
        </w:rPr>
      </w:pPr>
      <w:r w:rsidRPr="00496EB7">
        <w:rPr>
          <w:rFonts w:ascii="Amnesty Trade Gothic" w:hAnsi="Amnesty Trade Gothic"/>
        </w:rPr>
        <w:t xml:space="preserve"> </w:t>
      </w:r>
    </w:p>
    <w:p w14:paraId="544D3A4A" w14:textId="585B3A5D" w:rsidR="009E46BF" w:rsidRPr="00496EB7" w:rsidRDefault="009E46BF" w:rsidP="00496EB7">
      <w:pPr>
        <w:tabs>
          <w:tab w:val="left" w:pos="4950"/>
        </w:tabs>
        <w:spacing w:after="0" w:line="240" w:lineRule="auto"/>
        <w:rPr>
          <w:rFonts w:ascii="Amnesty Trade Gothic" w:hAnsi="Amnesty Trade Gothic"/>
        </w:rPr>
      </w:pPr>
      <w:r w:rsidRPr="00496EB7">
        <w:rPr>
          <w:rFonts w:ascii="Amnesty Trade Gothic" w:hAnsi="Amnesty Trade Gothic"/>
        </w:rPr>
        <w:t xml:space="preserve">Although the text accompanying the interim final rule states that the CDC will “coordinate with the Secretary of State in order to ensure compliance with the international legal obligations of the United States,” the rule, as implemented, demonstrates no such compliance. In practice, the rule has empowered potential mass </w:t>
      </w:r>
      <w:r w:rsidRPr="00496EB7">
        <w:rPr>
          <w:rFonts w:ascii="Amnesty Trade Gothic" w:hAnsi="Amnesty Trade Gothic"/>
          <w:i/>
          <w:iCs/>
        </w:rPr>
        <w:t xml:space="preserve">refoulement </w:t>
      </w:r>
      <w:r w:rsidRPr="00496EB7">
        <w:rPr>
          <w:rFonts w:ascii="Amnesty Trade Gothic" w:hAnsi="Amnesty Trade Gothic"/>
        </w:rPr>
        <w:t xml:space="preserve">of people seeking safety at U.S. borders. </w:t>
      </w:r>
    </w:p>
    <w:p w14:paraId="7BCF7ACA" w14:textId="77777777" w:rsidR="009E46BF" w:rsidRPr="00496EB7" w:rsidRDefault="009E46BF" w:rsidP="00496EB7">
      <w:pPr>
        <w:tabs>
          <w:tab w:val="left" w:pos="4950"/>
        </w:tabs>
        <w:spacing w:after="0" w:line="240" w:lineRule="auto"/>
        <w:rPr>
          <w:rFonts w:ascii="Amnesty Trade Gothic" w:hAnsi="Amnesty Trade Gothic"/>
        </w:rPr>
      </w:pPr>
    </w:p>
    <w:p w14:paraId="59A163CB" w14:textId="3F10868F" w:rsidR="009E46BF" w:rsidRPr="00496EB7" w:rsidRDefault="009E46BF" w:rsidP="00496EB7">
      <w:pPr>
        <w:tabs>
          <w:tab w:val="left" w:pos="4950"/>
        </w:tabs>
        <w:spacing w:after="0" w:line="240" w:lineRule="auto"/>
        <w:rPr>
          <w:rFonts w:ascii="Amnesty Trade Gothic" w:hAnsi="Amnesty Trade Gothic"/>
        </w:rPr>
      </w:pPr>
      <w:r w:rsidRPr="00496EB7">
        <w:rPr>
          <w:rFonts w:ascii="Amnesty Trade Gothic" w:hAnsi="Amnesty Trade Gothic"/>
        </w:rPr>
        <w:t>A core legal obligation of the United States is the duty not to return individuals to places where they may face persecution or torture (otherwise known as the principle of non-</w:t>
      </w:r>
      <w:r w:rsidRPr="00496EB7">
        <w:rPr>
          <w:rFonts w:ascii="Amnesty Trade Gothic" w:hAnsi="Amnesty Trade Gothic"/>
          <w:i/>
          <w:iCs/>
        </w:rPr>
        <w:t>refoulement</w:t>
      </w:r>
      <w:r w:rsidRPr="00496EB7">
        <w:rPr>
          <w:rFonts w:ascii="Amnesty Trade Gothic" w:hAnsi="Amnesty Trade Gothic"/>
        </w:rPr>
        <w:t>). To comply with non-</w:t>
      </w:r>
      <w:r w:rsidRPr="00496EB7">
        <w:rPr>
          <w:rFonts w:ascii="Amnesty Trade Gothic" w:hAnsi="Amnesty Trade Gothic"/>
          <w:i/>
          <w:iCs/>
        </w:rPr>
        <w:t>refoulement</w:t>
      </w:r>
      <w:r w:rsidRPr="00496EB7">
        <w:rPr>
          <w:rFonts w:ascii="Amnesty Trade Gothic" w:hAnsi="Amnesty Trade Gothic"/>
        </w:rPr>
        <w:t>, states must screen individuals for fear of possible persecution or torture prior to transferring or returning them. Failure to do so contradicts U.S. international treaty obligations under the</w:t>
      </w:r>
      <w:r w:rsidR="00536982" w:rsidRPr="00496EB7">
        <w:rPr>
          <w:rFonts w:ascii="Amnesty Trade Gothic" w:hAnsi="Amnesty Trade Gothic"/>
        </w:rPr>
        <w:t xml:space="preserve"> </w:t>
      </w:r>
      <w:r w:rsidR="00BE19BB">
        <w:rPr>
          <w:rFonts w:ascii="Amnesty Trade Gothic" w:hAnsi="Amnesty Trade Gothic"/>
        </w:rPr>
        <w:t xml:space="preserve">1951 Convention </w:t>
      </w:r>
      <w:r w:rsidR="0082602F">
        <w:rPr>
          <w:rFonts w:ascii="Amnesty Trade Gothic" w:hAnsi="Amnesty Trade Gothic"/>
        </w:rPr>
        <w:t>Relating to</w:t>
      </w:r>
      <w:r w:rsidR="00BE19BB">
        <w:rPr>
          <w:rFonts w:ascii="Amnesty Trade Gothic" w:hAnsi="Amnesty Trade Gothic"/>
        </w:rPr>
        <w:t xml:space="preserve"> the Status of Refugees</w:t>
      </w:r>
      <w:r w:rsidR="007045B6">
        <w:rPr>
          <w:rFonts w:ascii="Amnesty Trade Gothic" w:hAnsi="Amnesty Trade Gothic"/>
        </w:rPr>
        <w:t xml:space="preserve"> and</w:t>
      </w:r>
      <w:r w:rsidR="00CE7D00">
        <w:rPr>
          <w:rFonts w:ascii="Amnesty Trade Gothic" w:hAnsi="Amnesty Trade Gothic"/>
        </w:rPr>
        <w:t xml:space="preserve"> its accompanying </w:t>
      </w:r>
      <w:r w:rsidR="00072301" w:rsidRPr="00496EB7">
        <w:rPr>
          <w:rFonts w:ascii="Amnesty Trade Gothic" w:hAnsi="Amnesty Trade Gothic"/>
        </w:rPr>
        <w:t>Protocol</w:t>
      </w:r>
      <w:r w:rsidR="007045B6">
        <w:rPr>
          <w:rFonts w:ascii="Amnesty Trade Gothic" w:hAnsi="Amnesty Trade Gothic"/>
        </w:rPr>
        <w:t>,</w:t>
      </w:r>
      <w:r w:rsidR="00072301" w:rsidRPr="00496EB7">
        <w:rPr>
          <w:rFonts w:ascii="Amnesty Trade Gothic" w:hAnsi="Amnesty Trade Gothic"/>
        </w:rPr>
        <w:t xml:space="preserve"> </w:t>
      </w:r>
      <w:r w:rsidR="00CE7D00">
        <w:rPr>
          <w:rFonts w:ascii="Amnesty Trade Gothic" w:hAnsi="Amnesty Trade Gothic"/>
        </w:rPr>
        <w:t>as well as</w:t>
      </w:r>
      <w:r w:rsidR="00072301" w:rsidRPr="00496EB7">
        <w:rPr>
          <w:rFonts w:ascii="Amnesty Trade Gothic" w:hAnsi="Amnesty Trade Gothic"/>
        </w:rPr>
        <w:t xml:space="preserve"> the </w:t>
      </w:r>
      <w:r w:rsidR="00BE19BB" w:rsidRPr="00BE19BB">
        <w:rPr>
          <w:rFonts w:ascii="Amnesty Trade Gothic" w:hAnsi="Amnesty Trade Gothic"/>
        </w:rPr>
        <w:t xml:space="preserve"> </w:t>
      </w:r>
      <w:r w:rsidR="00BE19BB">
        <w:rPr>
          <w:rFonts w:ascii="Amnesty Trade Gothic" w:hAnsi="Amnesty Trade Gothic"/>
        </w:rPr>
        <w:t>U</w:t>
      </w:r>
      <w:r w:rsidR="00B1624C">
        <w:rPr>
          <w:rFonts w:ascii="Amnesty Trade Gothic" w:hAnsi="Amnesty Trade Gothic"/>
        </w:rPr>
        <w:t xml:space="preserve">nited </w:t>
      </w:r>
      <w:r w:rsidR="00BE19BB">
        <w:rPr>
          <w:rFonts w:ascii="Amnesty Trade Gothic" w:hAnsi="Amnesty Trade Gothic"/>
        </w:rPr>
        <w:t>N</w:t>
      </w:r>
      <w:r w:rsidR="00B1624C">
        <w:rPr>
          <w:rFonts w:ascii="Amnesty Trade Gothic" w:hAnsi="Amnesty Trade Gothic"/>
        </w:rPr>
        <w:t>ations</w:t>
      </w:r>
      <w:r w:rsidR="00BE19BB">
        <w:rPr>
          <w:rFonts w:ascii="Amnesty Trade Gothic" w:hAnsi="Amnesty Trade Gothic"/>
        </w:rPr>
        <w:t xml:space="preserve"> </w:t>
      </w:r>
      <w:r w:rsidR="00BE19BB" w:rsidRPr="00BE19BB">
        <w:rPr>
          <w:rFonts w:ascii="Amnesty Trade Gothic" w:hAnsi="Amnesty Trade Gothic"/>
        </w:rPr>
        <w:t>Convention against Torture and Other Cruel, Inhuman or Degrading Treatment or Punishment</w:t>
      </w:r>
      <w:r w:rsidR="00072301" w:rsidRPr="00496EB7">
        <w:rPr>
          <w:rFonts w:ascii="Amnesty Trade Gothic" w:hAnsi="Amnesty Trade Gothic"/>
        </w:rPr>
        <w:t>,</w:t>
      </w:r>
      <w:r w:rsidRPr="00496EB7">
        <w:rPr>
          <w:rFonts w:ascii="Amnesty Trade Gothic" w:hAnsi="Amnesty Trade Gothic"/>
        </w:rPr>
        <w:t xml:space="preserve"> which require the United States not to send individuals to places where they may face serious harm amounting to persecution</w:t>
      </w:r>
      <w:r w:rsidR="00072301" w:rsidRPr="00496EB7">
        <w:rPr>
          <w:rFonts w:ascii="Amnesty Trade Gothic" w:hAnsi="Amnesty Trade Gothic"/>
        </w:rPr>
        <w:t xml:space="preserve"> or torture</w:t>
      </w:r>
      <w:r w:rsidRPr="00496EB7">
        <w:rPr>
          <w:rFonts w:ascii="Amnesty Trade Gothic" w:hAnsi="Amnesty Trade Gothic"/>
        </w:rPr>
        <w:t>.</w:t>
      </w:r>
      <w:r w:rsidR="00CE7D00">
        <w:rPr>
          <w:rStyle w:val="FootnoteReference"/>
          <w:rFonts w:ascii="Amnesty Trade Gothic" w:hAnsi="Amnesty Trade Gothic"/>
        </w:rPr>
        <w:footnoteReference w:id="7"/>
      </w:r>
      <w:r w:rsidRPr="00496EB7">
        <w:rPr>
          <w:rFonts w:ascii="Amnesty Trade Gothic" w:hAnsi="Amnesty Trade Gothic"/>
        </w:rPr>
        <w:t xml:space="preserve"> Those obligations are reflected in domestic law, which explicitly guarantee individuals an opportunity to request protection at ports of entry or after crossing into the United States.</w:t>
      </w:r>
      <w:r w:rsidRPr="00496EB7">
        <w:rPr>
          <w:rStyle w:val="FootnoteReference"/>
          <w:rFonts w:ascii="Amnesty Trade Gothic" w:hAnsi="Amnesty Trade Gothic"/>
        </w:rPr>
        <w:footnoteReference w:id="8"/>
      </w:r>
      <w:r w:rsidRPr="00496EB7">
        <w:rPr>
          <w:rFonts w:ascii="Amnesty Trade Gothic" w:hAnsi="Amnesty Trade Gothic"/>
        </w:rPr>
        <w:t xml:space="preserve"> </w:t>
      </w:r>
    </w:p>
    <w:p w14:paraId="2878FFF3" w14:textId="44FFC387" w:rsidR="009E46BF" w:rsidRPr="00496EB7" w:rsidRDefault="009E46BF" w:rsidP="00496EB7">
      <w:pPr>
        <w:tabs>
          <w:tab w:val="left" w:pos="4950"/>
        </w:tabs>
        <w:spacing w:after="0" w:line="240" w:lineRule="auto"/>
        <w:rPr>
          <w:rFonts w:ascii="Amnesty Trade Gothic" w:hAnsi="Amnesty Trade Gothic"/>
        </w:rPr>
      </w:pPr>
    </w:p>
    <w:p w14:paraId="6B3EB28E" w14:textId="7807031F" w:rsidR="009E46BF" w:rsidRPr="00496EB7" w:rsidRDefault="009E46BF"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r w:rsidRPr="00496EB7">
        <w:rPr>
          <w:rFonts w:ascii="Amnesty Trade Gothic" w:hAnsi="Amnesty Trade Gothic" w:cs="Arial"/>
          <w:color w:val="000000"/>
          <w:sz w:val="22"/>
          <w:szCs w:val="22"/>
        </w:rPr>
        <w:t xml:space="preserve">The United Nations High Commissioner for Refugees, which interprets states’ legal obligations under the Refugee Convention and Protocol, has clarified </w:t>
      </w:r>
      <w:r w:rsidR="00072301" w:rsidRPr="00496EB7">
        <w:rPr>
          <w:rFonts w:ascii="Amnesty Trade Gothic" w:hAnsi="Amnesty Trade Gothic" w:cs="Arial"/>
          <w:color w:val="000000"/>
          <w:sz w:val="22"/>
          <w:szCs w:val="22"/>
        </w:rPr>
        <w:t>in recent guidance</w:t>
      </w:r>
      <w:r w:rsidRPr="00496EB7">
        <w:rPr>
          <w:rFonts w:ascii="Amnesty Trade Gothic" w:hAnsi="Amnesty Trade Gothic" w:cs="Arial"/>
          <w:color w:val="000000"/>
          <w:sz w:val="22"/>
          <w:szCs w:val="22"/>
        </w:rPr>
        <w:t xml:space="preserve"> that states cannot impose “blanket measure[s] to preclude the admission of refugees or asylum-seekers” in response to the COVID-19 pandemic.</w:t>
      </w:r>
      <w:r w:rsidRPr="00496EB7">
        <w:rPr>
          <w:rStyle w:val="FootnoteReference"/>
          <w:rFonts w:ascii="Amnesty Trade Gothic" w:hAnsi="Amnesty Trade Gothic" w:cs="Arial"/>
          <w:color w:val="000000"/>
          <w:sz w:val="22"/>
          <w:szCs w:val="22"/>
        </w:rPr>
        <w:footnoteReference w:id="9"/>
      </w:r>
      <w:r w:rsidRPr="00496EB7">
        <w:rPr>
          <w:rFonts w:ascii="Amnesty Trade Gothic" w:hAnsi="Amnesty Trade Gothic" w:cs="Arial"/>
          <w:color w:val="000000"/>
          <w:sz w:val="22"/>
          <w:szCs w:val="22"/>
        </w:rPr>
        <w:t xml:space="preserve"> Yet the rule, as implemented through the order, has </w:t>
      </w:r>
      <w:r w:rsidR="00072301" w:rsidRPr="00496EB7">
        <w:rPr>
          <w:rFonts w:ascii="Amnesty Trade Gothic" w:hAnsi="Amnesty Trade Gothic" w:cs="Arial"/>
          <w:color w:val="000000"/>
          <w:sz w:val="22"/>
          <w:szCs w:val="22"/>
        </w:rPr>
        <w:t>proved to be</w:t>
      </w:r>
      <w:r w:rsidRPr="00496EB7">
        <w:rPr>
          <w:rFonts w:ascii="Amnesty Trade Gothic" w:hAnsi="Amnesty Trade Gothic" w:cs="Arial"/>
          <w:color w:val="000000"/>
          <w:sz w:val="22"/>
          <w:szCs w:val="22"/>
        </w:rPr>
        <w:t xml:space="preserve"> exactly that: a blanket measure that effectively bans all asylum-seekers from protection. </w:t>
      </w:r>
    </w:p>
    <w:p w14:paraId="5939DF37" w14:textId="77777777" w:rsidR="009E46BF" w:rsidRPr="00496EB7" w:rsidRDefault="009E46BF"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p>
    <w:p w14:paraId="6943A744" w14:textId="15A376B0" w:rsidR="00436E1D" w:rsidRPr="00496EB7" w:rsidRDefault="00CE7D00"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r>
        <w:rPr>
          <w:rFonts w:ascii="Amnesty Trade Gothic" w:hAnsi="Amnesty Trade Gothic" w:cs="Arial"/>
          <w:color w:val="000000"/>
          <w:sz w:val="22"/>
          <w:szCs w:val="22"/>
        </w:rPr>
        <w:t>G</w:t>
      </w:r>
      <w:r w:rsidR="009E46BF" w:rsidRPr="00496EB7">
        <w:rPr>
          <w:rFonts w:ascii="Amnesty Trade Gothic" w:hAnsi="Amnesty Trade Gothic" w:cs="Arial"/>
          <w:color w:val="000000"/>
          <w:sz w:val="22"/>
          <w:szCs w:val="22"/>
        </w:rPr>
        <w:t xml:space="preserve">uidance </w:t>
      </w:r>
      <w:r w:rsidR="00072301" w:rsidRPr="00496EB7">
        <w:rPr>
          <w:rFonts w:ascii="Amnesty Trade Gothic" w:hAnsi="Amnesty Trade Gothic" w:cs="Arial"/>
          <w:color w:val="000000"/>
          <w:sz w:val="22"/>
          <w:szCs w:val="22"/>
        </w:rPr>
        <w:t xml:space="preserve">reportedly provided </w:t>
      </w:r>
      <w:r w:rsidR="009E46BF" w:rsidRPr="00496EB7">
        <w:rPr>
          <w:rFonts w:ascii="Amnesty Trade Gothic" w:hAnsi="Amnesty Trade Gothic" w:cs="Arial"/>
          <w:color w:val="000000"/>
          <w:sz w:val="22"/>
          <w:szCs w:val="22"/>
        </w:rPr>
        <w:t xml:space="preserve">to the U.S. Border Patrol instructing agents to expel individuals under the authority provided by this </w:t>
      </w:r>
      <w:r w:rsidR="00072301" w:rsidRPr="00496EB7">
        <w:rPr>
          <w:rFonts w:ascii="Amnesty Trade Gothic" w:hAnsi="Amnesty Trade Gothic" w:cs="Arial"/>
          <w:color w:val="000000"/>
          <w:sz w:val="22"/>
          <w:szCs w:val="22"/>
        </w:rPr>
        <w:t>r</w:t>
      </w:r>
      <w:r w:rsidR="009E46BF" w:rsidRPr="00496EB7">
        <w:rPr>
          <w:rFonts w:ascii="Amnesty Trade Gothic" w:hAnsi="Amnesty Trade Gothic" w:cs="Arial"/>
          <w:color w:val="000000"/>
          <w:sz w:val="22"/>
          <w:szCs w:val="22"/>
        </w:rPr>
        <w:t xml:space="preserve">ule also </w:t>
      </w:r>
      <w:r>
        <w:rPr>
          <w:rFonts w:ascii="Amnesty Trade Gothic" w:hAnsi="Amnesty Trade Gothic" w:cs="Arial"/>
          <w:color w:val="000000"/>
          <w:sz w:val="22"/>
          <w:szCs w:val="22"/>
        </w:rPr>
        <w:t>fails to make</w:t>
      </w:r>
      <w:r w:rsidR="009E46BF" w:rsidRPr="00496EB7">
        <w:rPr>
          <w:rFonts w:ascii="Amnesty Trade Gothic" w:hAnsi="Amnesty Trade Gothic" w:cs="Arial"/>
          <w:color w:val="000000"/>
          <w:sz w:val="22"/>
          <w:szCs w:val="22"/>
        </w:rPr>
        <w:t xml:space="preserve"> reference to protections for asylum-seekers under the Refugee Protocol</w:t>
      </w:r>
      <w:r>
        <w:rPr>
          <w:rFonts w:ascii="Amnesty Trade Gothic" w:hAnsi="Amnesty Trade Gothic" w:cs="Arial"/>
          <w:color w:val="000000"/>
          <w:sz w:val="22"/>
          <w:szCs w:val="22"/>
        </w:rPr>
        <w:t xml:space="preserve"> or domestic law</w:t>
      </w:r>
      <w:r w:rsidR="009E46BF" w:rsidRPr="00496EB7">
        <w:rPr>
          <w:rFonts w:ascii="Amnesty Trade Gothic" w:hAnsi="Amnesty Trade Gothic" w:cs="Arial"/>
          <w:color w:val="000000"/>
          <w:sz w:val="22"/>
          <w:szCs w:val="22"/>
        </w:rPr>
        <w:t>.</w:t>
      </w:r>
      <w:r w:rsidR="00072301" w:rsidRPr="00496EB7">
        <w:rPr>
          <w:rStyle w:val="FootnoteReference"/>
          <w:rFonts w:ascii="Amnesty Trade Gothic" w:hAnsi="Amnesty Trade Gothic" w:cs="Arial"/>
          <w:color w:val="000000"/>
          <w:sz w:val="22"/>
          <w:szCs w:val="22"/>
        </w:rPr>
        <w:footnoteReference w:id="10"/>
      </w:r>
      <w:r w:rsidR="009E46BF" w:rsidRPr="00496EB7">
        <w:rPr>
          <w:rFonts w:ascii="Amnesty Trade Gothic" w:hAnsi="Amnesty Trade Gothic" w:cs="Arial"/>
          <w:color w:val="000000"/>
          <w:sz w:val="22"/>
          <w:szCs w:val="22"/>
        </w:rPr>
        <w:t xml:space="preserve"> Alarmingly, the guidance demonstrates that the administration is interpreting its authority under the rule as superseding its mandatory</w:t>
      </w:r>
      <w:r w:rsidR="009E46BF" w:rsidRPr="00496EB7">
        <w:rPr>
          <w:rFonts w:ascii="Amnesty Trade Gothic" w:hAnsi="Amnesty Trade Gothic" w:cs="Arial"/>
          <w:i/>
          <w:iCs/>
          <w:color w:val="000000"/>
          <w:sz w:val="22"/>
          <w:szCs w:val="22"/>
        </w:rPr>
        <w:t xml:space="preserve"> </w:t>
      </w:r>
      <w:r w:rsidR="009E46BF" w:rsidRPr="00496EB7">
        <w:rPr>
          <w:rFonts w:ascii="Amnesty Trade Gothic" w:hAnsi="Amnesty Trade Gothic" w:cs="Arial"/>
          <w:color w:val="000000"/>
          <w:sz w:val="22"/>
          <w:szCs w:val="22"/>
        </w:rPr>
        <w:t xml:space="preserve">duty of </w:t>
      </w:r>
      <w:r w:rsidR="009E46BF" w:rsidRPr="00496EB7">
        <w:rPr>
          <w:rFonts w:ascii="Amnesty Trade Gothic" w:hAnsi="Amnesty Trade Gothic" w:cs="Arial"/>
          <w:i/>
          <w:iCs/>
          <w:color w:val="000000"/>
          <w:sz w:val="22"/>
          <w:szCs w:val="22"/>
        </w:rPr>
        <w:t>non-refoulement</w:t>
      </w:r>
      <w:r w:rsidR="009E46BF" w:rsidRPr="00496EB7">
        <w:rPr>
          <w:rFonts w:ascii="Amnesty Trade Gothic" w:hAnsi="Amnesty Trade Gothic" w:cs="Arial"/>
          <w:color w:val="000000"/>
          <w:sz w:val="22"/>
          <w:szCs w:val="22"/>
        </w:rPr>
        <w:t>.</w:t>
      </w:r>
      <w:r w:rsidR="00072301" w:rsidRPr="00496EB7">
        <w:rPr>
          <w:rStyle w:val="FootnoteReference"/>
          <w:rFonts w:ascii="Amnesty Trade Gothic" w:hAnsi="Amnesty Trade Gothic" w:cs="Arial"/>
          <w:color w:val="000000"/>
          <w:sz w:val="22"/>
          <w:szCs w:val="22"/>
        </w:rPr>
        <w:footnoteReference w:id="11"/>
      </w:r>
      <w:r w:rsidR="009E46BF" w:rsidRPr="00496EB7">
        <w:rPr>
          <w:rFonts w:ascii="Amnesty Trade Gothic" w:hAnsi="Amnesty Trade Gothic" w:cs="Arial"/>
          <w:color w:val="000000"/>
          <w:sz w:val="22"/>
          <w:szCs w:val="22"/>
        </w:rPr>
        <w:t xml:space="preserve"> </w:t>
      </w:r>
      <w:r w:rsidR="00436E1D" w:rsidRPr="00496EB7">
        <w:rPr>
          <w:rFonts w:ascii="Amnesty Trade Gothic" w:hAnsi="Amnesty Trade Gothic" w:cs="Arial"/>
          <w:color w:val="000000"/>
          <w:sz w:val="22"/>
          <w:szCs w:val="22"/>
        </w:rPr>
        <w:t xml:space="preserve">Instead, </w:t>
      </w:r>
      <w:r w:rsidR="00072301" w:rsidRPr="00496EB7">
        <w:rPr>
          <w:rFonts w:ascii="Amnesty Trade Gothic" w:hAnsi="Amnesty Trade Gothic" w:cs="Arial"/>
          <w:color w:val="000000"/>
          <w:sz w:val="22"/>
          <w:szCs w:val="22"/>
        </w:rPr>
        <w:t>asylum</w:t>
      </w:r>
      <w:r w:rsidR="00436E1D" w:rsidRPr="00496EB7">
        <w:rPr>
          <w:rFonts w:ascii="Amnesty Trade Gothic" w:hAnsi="Amnesty Trade Gothic" w:cs="Arial"/>
          <w:color w:val="000000"/>
          <w:sz w:val="22"/>
          <w:szCs w:val="22"/>
        </w:rPr>
        <w:t>-</w:t>
      </w:r>
      <w:r w:rsidR="00072301" w:rsidRPr="00496EB7">
        <w:rPr>
          <w:rFonts w:ascii="Amnesty Trade Gothic" w:hAnsi="Amnesty Trade Gothic" w:cs="Arial"/>
          <w:color w:val="000000"/>
          <w:sz w:val="22"/>
          <w:szCs w:val="22"/>
        </w:rPr>
        <w:t xml:space="preserve">seekers </w:t>
      </w:r>
      <w:r w:rsidR="00436E1D" w:rsidRPr="00496EB7">
        <w:rPr>
          <w:rFonts w:ascii="Amnesty Trade Gothic" w:hAnsi="Amnesty Trade Gothic" w:cs="Arial"/>
          <w:color w:val="000000"/>
          <w:sz w:val="22"/>
          <w:szCs w:val="22"/>
        </w:rPr>
        <w:t xml:space="preserve">are referred to asylum officers only if they </w:t>
      </w:r>
      <w:r w:rsidR="00072301" w:rsidRPr="00496EB7">
        <w:rPr>
          <w:rFonts w:ascii="Amnesty Trade Gothic" w:hAnsi="Amnesty Trade Gothic" w:cs="Arial"/>
          <w:color w:val="000000"/>
          <w:sz w:val="22"/>
          <w:szCs w:val="22"/>
        </w:rPr>
        <w:t>make</w:t>
      </w:r>
      <w:r w:rsidR="00436E1D" w:rsidRPr="00496EB7">
        <w:rPr>
          <w:rFonts w:ascii="Amnesty Trade Gothic" w:hAnsi="Amnesty Trade Gothic" w:cs="Arial"/>
          <w:color w:val="000000"/>
          <w:sz w:val="22"/>
          <w:szCs w:val="22"/>
        </w:rPr>
        <w:t xml:space="preserve"> </w:t>
      </w:r>
      <w:r w:rsidR="00072301" w:rsidRPr="00496EB7">
        <w:rPr>
          <w:rFonts w:ascii="Amnesty Trade Gothic" w:hAnsi="Amnesty Trade Gothic" w:cs="Arial"/>
          <w:color w:val="000000"/>
          <w:sz w:val="22"/>
          <w:szCs w:val="22"/>
        </w:rPr>
        <w:t>an “affirmative, spontaneous, and reasonably believable claim” they might be tortured</w:t>
      </w:r>
      <w:r w:rsidR="00436E1D" w:rsidRPr="00496EB7">
        <w:rPr>
          <w:rFonts w:ascii="Amnesty Trade Gothic" w:hAnsi="Amnesty Trade Gothic" w:cs="Arial"/>
          <w:color w:val="000000"/>
          <w:sz w:val="22"/>
          <w:szCs w:val="22"/>
        </w:rPr>
        <w:t xml:space="preserve">. </w:t>
      </w:r>
      <w:r w:rsidR="00436E1D" w:rsidRPr="00496EB7">
        <w:rPr>
          <w:rFonts w:ascii="Amnesty Trade Gothic" w:hAnsi="Amnesty Trade Gothic" w:cs="Arial"/>
          <w:color w:val="000000"/>
          <w:sz w:val="22"/>
          <w:szCs w:val="22"/>
        </w:rPr>
        <w:lastRenderedPageBreak/>
        <w:t>This woefully inadequate “screening” is unlikely to offer any meaningful protection</w:t>
      </w:r>
      <w:r w:rsidR="00536982" w:rsidRPr="00496EB7">
        <w:rPr>
          <w:rFonts w:ascii="Amnesty Trade Gothic" w:hAnsi="Amnesty Trade Gothic" w:cs="Arial"/>
          <w:color w:val="000000"/>
          <w:sz w:val="22"/>
          <w:szCs w:val="22"/>
        </w:rPr>
        <w:t xml:space="preserve"> in practice</w:t>
      </w:r>
      <w:r w:rsidR="00436E1D" w:rsidRPr="00496EB7">
        <w:rPr>
          <w:rFonts w:ascii="Amnesty Trade Gothic" w:hAnsi="Amnesty Trade Gothic" w:cs="Arial"/>
          <w:color w:val="000000"/>
          <w:sz w:val="22"/>
          <w:szCs w:val="22"/>
        </w:rPr>
        <w:t xml:space="preserve">: </w:t>
      </w:r>
      <w:r w:rsidR="00536982" w:rsidRPr="00496EB7">
        <w:rPr>
          <w:rFonts w:ascii="Amnesty Trade Gothic" w:hAnsi="Amnesty Trade Gothic" w:cs="Arial"/>
          <w:color w:val="000000"/>
          <w:sz w:val="22"/>
          <w:szCs w:val="22"/>
        </w:rPr>
        <w:t xml:space="preserve">a person who </w:t>
      </w:r>
      <w:r w:rsidR="00436E1D" w:rsidRPr="00496EB7">
        <w:rPr>
          <w:rFonts w:ascii="Amnesty Trade Gothic" w:hAnsi="Amnesty Trade Gothic" w:cs="Arial"/>
          <w:color w:val="000000"/>
          <w:sz w:val="22"/>
          <w:szCs w:val="22"/>
        </w:rPr>
        <w:t>ha</w:t>
      </w:r>
      <w:r w:rsidR="00536982" w:rsidRPr="00496EB7">
        <w:rPr>
          <w:rFonts w:ascii="Amnesty Trade Gothic" w:hAnsi="Amnesty Trade Gothic" w:cs="Arial"/>
          <w:color w:val="000000"/>
          <w:sz w:val="22"/>
          <w:szCs w:val="22"/>
        </w:rPr>
        <w:t>s f</w:t>
      </w:r>
      <w:r w:rsidR="00436E1D" w:rsidRPr="00496EB7">
        <w:rPr>
          <w:rFonts w:ascii="Amnesty Trade Gothic" w:hAnsi="Amnesty Trade Gothic" w:cs="Arial"/>
          <w:color w:val="000000"/>
          <w:sz w:val="22"/>
          <w:szCs w:val="22"/>
        </w:rPr>
        <w:t xml:space="preserve">aced or </w:t>
      </w:r>
      <w:r w:rsidR="00536982" w:rsidRPr="00496EB7">
        <w:rPr>
          <w:rFonts w:ascii="Amnesty Trade Gothic" w:hAnsi="Amnesty Trade Gothic" w:cs="Arial"/>
          <w:color w:val="000000"/>
          <w:sz w:val="22"/>
          <w:szCs w:val="22"/>
        </w:rPr>
        <w:t xml:space="preserve">who </w:t>
      </w:r>
      <w:r w:rsidR="00436E1D" w:rsidRPr="00496EB7">
        <w:rPr>
          <w:rFonts w:ascii="Amnesty Trade Gothic" w:hAnsi="Amnesty Trade Gothic" w:cs="Arial"/>
          <w:color w:val="000000"/>
          <w:sz w:val="22"/>
          <w:szCs w:val="22"/>
        </w:rPr>
        <w:t xml:space="preserve">fears facing torture would </w:t>
      </w:r>
      <w:r w:rsidR="00536982" w:rsidRPr="00496EB7">
        <w:rPr>
          <w:rFonts w:ascii="Amnesty Trade Gothic" w:hAnsi="Amnesty Trade Gothic" w:cs="Arial"/>
          <w:color w:val="000000"/>
          <w:sz w:val="22"/>
          <w:szCs w:val="22"/>
        </w:rPr>
        <w:t xml:space="preserve">be unlikely to </w:t>
      </w:r>
      <w:r w:rsidR="00436E1D" w:rsidRPr="00496EB7">
        <w:rPr>
          <w:rFonts w:ascii="Amnesty Trade Gothic" w:hAnsi="Amnesty Trade Gothic" w:cs="Arial"/>
          <w:color w:val="000000"/>
          <w:sz w:val="22"/>
          <w:szCs w:val="22"/>
        </w:rPr>
        <w:t>spontaneously</w:t>
      </w:r>
      <w:r w:rsidR="00072301" w:rsidRPr="00496EB7">
        <w:rPr>
          <w:rFonts w:ascii="Amnesty Trade Gothic" w:hAnsi="Amnesty Trade Gothic" w:cs="Arial"/>
          <w:color w:val="000000"/>
          <w:sz w:val="22"/>
          <w:szCs w:val="22"/>
        </w:rPr>
        <w:t xml:space="preserve"> communicate </w:t>
      </w:r>
      <w:r w:rsidR="00536982" w:rsidRPr="00496EB7">
        <w:rPr>
          <w:rFonts w:ascii="Amnesty Trade Gothic" w:hAnsi="Amnesty Trade Gothic" w:cs="Arial"/>
          <w:color w:val="000000"/>
          <w:sz w:val="22"/>
          <w:szCs w:val="22"/>
        </w:rPr>
        <w:t xml:space="preserve">this fact, </w:t>
      </w:r>
      <w:r w:rsidR="00072301" w:rsidRPr="00496EB7">
        <w:rPr>
          <w:rFonts w:ascii="Amnesty Trade Gothic" w:hAnsi="Amnesty Trade Gothic" w:cs="Arial"/>
          <w:color w:val="000000"/>
          <w:sz w:val="22"/>
          <w:szCs w:val="22"/>
        </w:rPr>
        <w:t>without any prompting</w:t>
      </w:r>
      <w:r w:rsidR="00536982" w:rsidRPr="00496EB7">
        <w:rPr>
          <w:rFonts w:ascii="Amnesty Trade Gothic" w:hAnsi="Amnesty Trade Gothic" w:cs="Arial"/>
          <w:color w:val="000000"/>
          <w:sz w:val="22"/>
          <w:szCs w:val="22"/>
        </w:rPr>
        <w:t>,</w:t>
      </w:r>
      <w:r w:rsidR="00072301" w:rsidRPr="00496EB7">
        <w:rPr>
          <w:rFonts w:ascii="Amnesty Trade Gothic" w:hAnsi="Amnesty Trade Gothic" w:cs="Arial"/>
          <w:color w:val="000000"/>
          <w:sz w:val="22"/>
          <w:szCs w:val="22"/>
        </w:rPr>
        <w:t xml:space="preserve"> to a uniformed</w:t>
      </w:r>
      <w:r>
        <w:rPr>
          <w:rFonts w:ascii="Amnesty Trade Gothic" w:hAnsi="Amnesty Trade Gothic" w:cs="Arial"/>
          <w:color w:val="000000"/>
          <w:sz w:val="22"/>
          <w:szCs w:val="22"/>
        </w:rPr>
        <w:t xml:space="preserve"> </w:t>
      </w:r>
      <w:r w:rsidR="00436E1D" w:rsidRPr="00496EB7">
        <w:rPr>
          <w:rFonts w:ascii="Amnesty Trade Gothic" w:hAnsi="Amnesty Trade Gothic" w:cs="Arial"/>
          <w:color w:val="000000"/>
          <w:sz w:val="22"/>
          <w:szCs w:val="22"/>
        </w:rPr>
        <w:t>border agent.</w:t>
      </w:r>
    </w:p>
    <w:p w14:paraId="551F82B6" w14:textId="77777777" w:rsidR="00436E1D" w:rsidRPr="00496EB7" w:rsidRDefault="00436E1D"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p>
    <w:p w14:paraId="26047D4E" w14:textId="385933DA" w:rsidR="0078174B" w:rsidRPr="00496EB7" w:rsidRDefault="0078174B" w:rsidP="00496EB7">
      <w:pPr>
        <w:tabs>
          <w:tab w:val="left" w:pos="4950"/>
        </w:tabs>
        <w:spacing w:after="0" w:line="240" w:lineRule="auto"/>
        <w:rPr>
          <w:rFonts w:ascii="Amnesty Trade Gothic" w:hAnsi="Amnesty Trade Gothic"/>
          <w:b/>
          <w:bCs/>
        </w:rPr>
      </w:pPr>
      <w:r w:rsidRPr="00496EB7">
        <w:rPr>
          <w:rFonts w:ascii="Amnesty Trade Gothic" w:hAnsi="Amnesty Trade Gothic"/>
          <w:b/>
          <w:bCs/>
          <w:u w:val="single"/>
        </w:rPr>
        <w:t>The</w:t>
      </w:r>
      <w:r w:rsidR="009E46BF" w:rsidRPr="00496EB7">
        <w:rPr>
          <w:rFonts w:ascii="Amnesty Trade Gothic" w:hAnsi="Amnesty Trade Gothic"/>
          <w:b/>
          <w:bCs/>
          <w:u w:val="single"/>
        </w:rPr>
        <w:t xml:space="preserve"> interim final</w:t>
      </w:r>
      <w:r w:rsidRPr="00496EB7">
        <w:rPr>
          <w:rFonts w:ascii="Amnesty Trade Gothic" w:hAnsi="Amnesty Trade Gothic"/>
          <w:b/>
          <w:bCs/>
          <w:u w:val="single"/>
        </w:rPr>
        <w:t xml:space="preserve"> </w:t>
      </w:r>
      <w:r w:rsidR="009E46BF" w:rsidRPr="00496EB7">
        <w:rPr>
          <w:rFonts w:ascii="Amnesty Trade Gothic" w:hAnsi="Amnesty Trade Gothic"/>
          <w:b/>
          <w:bCs/>
          <w:u w:val="single"/>
        </w:rPr>
        <w:t xml:space="preserve">rule is </w:t>
      </w:r>
      <w:r w:rsidR="00436E1D" w:rsidRPr="00496EB7">
        <w:rPr>
          <w:rFonts w:ascii="Amnesty Trade Gothic" w:hAnsi="Amnesty Trade Gothic"/>
          <w:b/>
          <w:bCs/>
          <w:u w:val="single"/>
        </w:rPr>
        <w:t>eviscerating vital protections for unaccompanied children</w:t>
      </w:r>
    </w:p>
    <w:p w14:paraId="57AB0E97" w14:textId="58237BFA" w:rsidR="00436E1D" w:rsidRPr="00496EB7" w:rsidRDefault="00436E1D" w:rsidP="00496EB7">
      <w:pPr>
        <w:tabs>
          <w:tab w:val="left" w:pos="4950"/>
        </w:tabs>
        <w:spacing w:after="0" w:line="240" w:lineRule="auto"/>
        <w:rPr>
          <w:rFonts w:ascii="Amnesty Trade Gothic" w:hAnsi="Amnesty Trade Gothic"/>
        </w:rPr>
      </w:pPr>
    </w:p>
    <w:p w14:paraId="733C6E09" w14:textId="00C5B85D" w:rsidR="00536982" w:rsidRPr="00496EB7" w:rsidRDefault="00536982" w:rsidP="00496EB7">
      <w:pPr>
        <w:tabs>
          <w:tab w:val="left" w:pos="4950"/>
        </w:tabs>
        <w:spacing w:after="0" w:line="240" w:lineRule="auto"/>
        <w:rPr>
          <w:rFonts w:ascii="Amnesty Trade Gothic" w:hAnsi="Amnesty Trade Gothic"/>
        </w:rPr>
      </w:pPr>
      <w:r w:rsidRPr="00496EB7">
        <w:rPr>
          <w:rFonts w:ascii="Amnesty Trade Gothic" w:hAnsi="Amnesty Trade Gothic"/>
        </w:rPr>
        <w:t>The new rule has also allowed the Trump administration to overwrite congressionally mandated protections for unaccompanied children</w:t>
      </w:r>
      <w:r w:rsidR="00756BBE" w:rsidRPr="00496EB7">
        <w:rPr>
          <w:rFonts w:ascii="Amnesty Trade Gothic" w:hAnsi="Amnesty Trade Gothic"/>
        </w:rPr>
        <w:t xml:space="preserve"> that are vital to their safety and wellbeing.</w:t>
      </w:r>
    </w:p>
    <w:p w14:paraId="46B701A6" w14:textId="73E24336" w:rsidR="00536982" w:rsidRPr="00496EB7" w:rsidRDefault="00536982" w:rsidP="00496EB7">
      <w:pPr>
        <w:tabs>
          <w:tab w:val="left" w:pos="4950"/>
        </w:tabs>
        <w:spacing w:after="0" w:line="240" w:lineRule="auto"/>
        <w:rPr>
          <w:rFonts w:ascii="Amnesty Trade Gothic" w:hAnsi="Amnesty Trade Gothic"/>
        </w:rPr>
      </w:pPr>
    </w:p>
    <w:p w14:paraId="2AEF8182" w14:textId="376D4B04" w:rsidR="00756BBE" w:rsidRPr="00496EB7" w:rsidRDefault="00756BBE"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r w:rsidRPr="00496EB7">
        <w:rPr>
          <w:rFonts w:ascii="Amnesty Trade Gothic" w:hAnsi="Amnesty Trade Gothic"/>
          <w:sz w:val="22"/>
          <w:szCs w:val="22"/>
        </w:rPr>
        <w:t xml:space="preserve">The rule itself is </w:t>
      </w:r>
      <w:r w:rsidR="00536982" w:rsidRPr="00496EB7">
        <w:rPr>
          <w:rFonts w:ascii="Amnesty Trade Gothic" w:hAnsi="Amnesty Trade Gothic"/>
          <w:sz w:val="22"/>
          <w:szCs w:val="22"/>
        </w:rPr>
        <w:t xml:space="preserve">alarmingly silent on safeguards for unaccompanied children. </w:t>
      </w:r>
      <w:r w:rsidRPr="00496EB7">
        <w:rPr>
          <w:rFonts w:ascii="Amnesty Trade Gothic" w:hAnsi="Amnesty Trade Gothic"/>
          <w:sz w:val="22"/>
          <w:szCs w:val="22"/>
        </w:rPr>
        <w:t xml:space="preserve">The implementation of the rule has exploited that silence, empowering </w:t>
      </w:r>
      <w:r w:rsidR="00536982" w:rsidRPr="00496EB7">
        <w:rPr>
          <w:rFonts w:ascii="Amnesty Trade Gothic" w:hAnsi="Amnesty Trade Gothic"/>
          <w:sz w:val="22"/>
          <w:szCs w:val="22"/>
        </w:rPr>
        <w:t xml:space="preserve">DHS to bar and expel </w:t>
      </w:r>
      <w:r w:rsidR="004B484C">
        <w:rPr>
          <w:rFonts w:ascii="Amnesty Trade Gothic" w:hAnsi="Amnesty Trade Gothic"/>
          <w:sz w:val="22"/>
          <w:szCs w:val="22"/>
        </w:rPr>
        <w:t xml:space="preserve">children </w:t>
      </w:r>
      <w:r w:rsidR="00536982" w:rsidRPr="00496EB7">
        <w:rPr>
          <w:rFonts w:ascii="Amnesty Trade Gothic" w:hAnsi="Amnesty Trade Gothic"/>
          <w:sz w:val="22"/>
          <w:szCs w:val="22"/>
        </w:rPr>
        <w:t xml:space="preserve">at the U.S. border, in direct violation of the </w:t>
      </w:r>
      <w:r w:rsidR="00536982" w:rsidRPr="00496EB7">
        <w:rPr>
          <w:rFonts w:ascii="Amnesty Trade Gothic" w:hAnsi="Amnesty Trade Gothic" w:cs="Arial"/>
          <w:color w:val="000000"/>
          <w:sz w:val="22"/>
          <w:szCs w:val="22"/>
        </w:rPr>
        <w:t xml:space="preserve">Trafficking Victims Protection Reauthorization Act of 2008 (TVPRA), a federal law designed to protect </w:t>
      </w:r>
      <w:r w:rsidRPr="00496EB7">
        <w:rPr>
          <w:rFonts w:ascii="Amnesty Trade Gothic" w:hAnsi="Amnesty Trade Gothic" w:cs="Arial"/>
          <w:color w:val="000000"/>
          <w:sz w:val="22"/>
          <w:szCs w:val="22"/>
        </w:rPr>
        <w:t>unaccompanied</w:t>
      </w:r>
      <w:r w:rsidR="00536982" w:rsidRPr="00496EB7">
        <w:rPr>
          <w:rFonts w:ascii="Amnesty Trade Gothic" w:hAnsi="Amnesty Trade Gothic" w:cs="Arial"/>
          <w:color w:val="000000"/>
          <w:sz w:val="22"/>
          <w:szCs w:val="22"/>
        </w:rPr>
        <w:t xml:space="preserve"> children from human trafficking and other harm</w:t>
      </w:r>
      <w:r w:rsidRPr="00496EB7">
        <w:rPr>
          <w:rFonts w:ascii="Amnesty Trade Gothic" w:hAnsi="Amnesty Trade Gothic" w:cs="Arial"/>
          <w:color w:val="000000"/>
          <w:sz w:val="22"/>
          <w:szCs w:val="22"/>
        </w:rPr>
        <w:t>.</w:t>
      </w:r>
      <w:r w:rsidRPr="00496EB7">
        <w:rPr>
          <w:rStyle w:val="FootnoteReference"/>
          <w:rFonts w:ascii="Amnesty Trade Gothic" w:hAnsi="Amnesty Trade Gothic" w:cs="Arial"/>
          <w:color w:val="000000"/>
          <w:sz w:val="22"/>
          <w:szCs w:val="22"/>
        </w:rPr>
        <w:footnoteReference w:id="12"/>
      </w:r>
      <w:r w:rsidRPr="00496EB7">
        <w:rPr>
          <w:rFonts w:ascii="Amnesty Trade Gothic" w:hAnsi="Amnesty Trade Gothic" w:cs="Arial"/>
          <w:color w:val="000000"/>
          <w:sz w:val="22"/>
          <w:szCs w:val="22"/>
        </w:rPr>
        <w:t xml:space="preserve"> Neither the rule nor the CDC order issued based on powers granted by the rule provide any explanation or legal justification for failure to comply with these mandatory legal obligations.</w:t>
      </w:r>
    </w:p>
    <w:p w14:paraId="062EF076" w14:textId="77777777" w:rsidR="00756BBE" w:rsidRPr="00496EB7" w:rsidRDefault="00756BBE"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p>
    <w:p w14:paraId="42152CFE" w14:textId="13913C40" w:rsidR="00536982" w:rsidRPr="00496EB7" w:rsidRDefault="00756BBE"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r w:rsidRPr="00496EB7">
        <w:rPr>
          <w:rFonts w:ascii="Amnesty Trade Gothic" w:hAnsi="Amnesty Trade Gothic" w:cs="Arial"/>
          <w:color w:val="000000"/>
          <w:sz w:val="22"/>
          <w:szCs w:val="22"/>
        </w:rPr>
        <w:t xml:space="preserve">While unaccompanied children make up </w:t>
      </w:r>
      <w:r w:rsidR="004B484C">
        <w:rPr>
          <w:rFonts w:ascii="Amnesty Trade Gothic" w:hAnsi="Amnesty Trade Gothic" w:cs="Arial"/>
          <w:color w:val="000000"/>
          <w:sz w:val="22"/>
          <w:szCs w:val="22"/>
        </w:rPr>
        <w:t>fewer t</w:t>
      </w:r>
      <w:r w:rsidRPr="00496EB7">
        <w:rPr>
          <w:rFonts w:ascii="Amnesty Trade Gothic" w:hAnsi="Amnesty Trade Gothic" w:cs="Arial"/>
          <w:color w:val="000000"/>
          <w:sz w:val="22"/>
          <w:szCs w:val="22"/>
        </w:rPr>
        <w:t>han 10% of people encountered at the southern border, they are among the most at-risk groups seeking protection in the United States.</w:t>
      </w:r>
      <w:r w:rsidR="00185849" w:rsidRPr="00496EB7">
        <w:rPr>
          <w:rStyle w:val="FootnoteReference"/>
          <w:rFonts w:ascii="Amnesty Trade Gothic" w:hAnsi="Amnesty Trade Gothic" w:cs="Arial"/>
          <w:color w:val="000000"/>
          <w:sz w:val="22"/>
          <w:szCs w:val="22"/>
        </w:rPr>
        <w:footnoteReference w:id="13"/>
      </w:r>
      <w:r w:rsidRPr="00496EB7">
        <w:rPr>
          <w:rFonts w:ascii="Amnesty Trade Gothic" w:hAnsi="Amnesty Trade Gothic" w:cs="Arial"/>
          <w:color w:val="000000"/>
          <w:sz w:val="22"/>
          <w:szCs w:val="22"/>
        </w:rPr>
        <w:t xml:space="preserve"> Prior to the passage of the TVPRA, </w:t>
      </w:r>
      <w:r w:rsidR="00536982" w:rsidRPr="00496EB7">
        <w:rPr>
          <w:rFonts w:ascii="Amnesty Trade Gothic" w:hAnsi="Amnesty Trade Gothic" w:cs="Arial"/>
          <w:color w:val="000000"/>
          <w:sz w:val="22"/>
          <w:szCs w:val="22"/>
        </w:rPr>
        <w:t xml:space="preserve">unaccompanied children were summarily turned away at the U.S.-Mexico border, leading many to end up in the hands of smugglers and traffickers seeking to exploit or </w:t>
      </w:r>
      <w:r w:rsidRPr="00496EB7">
        <w:rPr>
          <w:rFonts w:ascii="Amnesty Trade Gothic" w:hAnsi="Amnesty Trade Gothic" w:cs="Arial"/>
          <w:color w:val="000000"/>
          <w:sz w:val="22"/>
          <w:szCs w:val="22"/>
        </w:rPr>
        <w:t xml:space="preserve">otherwise </w:t>
      </w:r>
      <w:r w:rsidR="00536982" w:rsidRPr="00496EB7">
        <w:rPr>
          <w:rFonts w:ascii="Amnesty Trade Gothic" w:hAnsi="Amnesty Trade Gothic" w:cs="Arial"/>
          <w:color w:val="000000"/>
          <w:sz w:val="22"/>
          <w:szCs w:val="22"/>
        </w:rPr>
        <w:t>harm them.</w:t>
      </w:r>
      <w:r w:rsidR="00DB4ED9">
        <w:rPr>
          <w:rStyle w:val="FootnoteReference"/>
          <w:rFonts w:ascii="Amnesty Trade Gothic" w:hAnsi="Amnesty Trade Gothic" w:cs="Arial"/>
          <w:color w:val="000000"/>
          <w:sz w:val="22"/>
          <w:szCs w:val="22"/>
        </w:rPr>
        <w:footnoteReference w:id="14"/>
      </w:r>
      <w:r w:rsidR="00536982" w:rsidRPr="00496EB7">
        <w:rPr>
          <w:rFonts w:ascii="Amnesty Trade Gothic" w:hAnsi="Amnesty Trade Gothic" w:cs="Arial"/>
          <w:color w:val="000000"/>
          <w:sz w:val="22"/>
          <w:szCs w:val="22"/>
        </w:rPr>
        <w:t xml:space="preserve"> </w:t>
      </w:r>
    </w:p>
    <w:p w14:paraId="24B98456" w14:textId="77777777" w:rsidR="00536982" w:rsidRPr="00496EB7" w:rsidRDefault="00536982"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p>
    <w:p w14:paraId="416BE6B6" w14:textId="7AAB8416" w:rsidR="00536982" w:rsidRPr="00496EB7" w:rsidRDefault="00536982"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r w:rsidRPr="00496EB7">
        <w:rPr>
          <w:rFonts w:ascii="Amnesty Trade Gothic" w:hAnsi="Amnesty Trade Gothic" w:cs="Arial"/>
          <w:color w:val="000000"/>
          <w:sz w:val="22"/>
          <w:szCs w:val="22"/>
        </w:rPr>
        <w:t xml:space="preserve">Under the TVPRA, </w:t>
      </w:r>
      <w:r w:rsidR="004D544C">
        <w:rPr>
          <w:rFonts w:ascii="Amnesty Trade Gothic" w:hAnsi="Amnesty Trade Gothic" w:cs="Arial"/>
          <w:color w:val="000000"/>
          <w:sz w:val="22"/>
          <w:szCs w:val="22"/>
        </w:rPr>
        <w:t>U</w:t>
      </w:r>
      <w:r w:rsidR="007045B6">
        <w:rPr>
          <w:rFonts w:ascii="Amnesty Trade Gothic" w:hAnsi="Amnesty Trade Gothic" w:cs="Arial"/>
          <w:color w:val="000000"/>
          <w:sz w:val="22"/>
          <w:szCs w:val="22"/>
        </w:rPr>
        <w:t>.</w:t>
      </w:r>
      <w:r w:rsidR="004D544C">
        <w:rPr>
          <w:rFonts w:ascii="Amnesty Trade Gothic" w:hAnsi="Amnesty Trade Gothic" w:cs="Arial"/>
          <w:color w:val="000000"/>
          <w:sz w:val="22"/>
          <w:szCs w:val="22"/>
        </w:rPr>
        <w:t>S</w:t>
      </w:r>
      <w:r w:rsidR="007045B6">
        <w:rPr>
          <w:rFonts w:ascii="Amnesty Trade Gothic" w:hAnsi="Amnesty Trade Gothic" w:cs="Arial"/>
          <w:color w:val="000000"/>
          <w:sz w:val="22"/>
          <w:szCs w:val="22"/>
        </w:rPr>
        <w:t>.</w:t>
      </w:r>
      <w:r w:rsidR="004D544C">
        <w:rPr>
          <w:rFonts w:ascii="Amnesty Trade Gothic" w:hAnsi="Amnesty Trade Gothic" w:cs="Arial"/>
          <w:color w:val="000000"/>
          <w:sz w:val="22"/>
          <w:szCs w:val="22"/>
        </w:rPr>
        <w:t xml:space="preserve"> Customs and Border Protection (</w:t>
      </w:r>
      <w:r w:rsidRPr="00496EB7">
        <w:rPr>
          <w:rFonts w:ascii="Amnesty Trade Gothic" w:hAnsi="Amnesty Trade Gothic" w:cs="Arial"/>
          <w:color w:val="000000"/>
          <w:sz w:val="22"/>
          <w:szCs w:val="22"/>
        </w:rPr>
        <w:t>CBP</w:t>
      </w:r>
      <w:r w:rsidR="004D544C">
        <w:rPr>
          <w:rFonts w:ascii="Amnesty Trade Gothic" w:hAnsi="Amnesty Trade Gothic" w:cs="Arial"/>
          <w:color w:val="000000"/>
          <w:sz w:val="22"/>
          <w:szCs w:val="22"/>
        </w:rPr>
        <w:t>)</w:t>
      </w:r>
      <w:r w:rsidR="007045B6">
        <w:rPr>
          <w:rFonts w:ascii="Amnesty Trade Gothic" w:hAnsi="Amnesty Trade Gothic" w:cs="Arial"/>
          <w:color w:val="000000"/>
          <w:sz w:val="22"/>
          <w:szCs w:val="22"/>
        </w:rPr>
        <w:t xml:space="preserve"> officials</w:t>
      </w:r>
      <w:r w:rsidRPr="00496EB7">
        <w:rPr>
          <w:rFonts w:ascii="Amnesty Trade Gothic" w:hAnsi="Amnesty Trade Gothic" w:cs="Arial"/>
          <w:color w:val="000000"/>
          <w:sz w:val="22"/>
          <w:szCs w:val="22"/>
        </w:rPr>
        <w:t xml:space="preserve"> must determine whether children it encounters are unaccompanied, and if they are, to transfer them from CBP custody to the custody of the Office of Refugee Resettlement (ORR) within 72 hours.</w:t>
      </w:r>
      <w:r w:rsidR="00185849" w:rsidRPr="00496EB7">
        <w:rPr>
          <w:rStyle w:val="FootnoteReference"/>
          <w:rFonts w:ascii="Amnesty Trade Gothic" w:hAnsi="Amnesty Trade Gothic" w:cs="Arial"/>
          <w:color w:val="000000"/>
          <w:sz w:val="22"/>
          <w:szCs w:val="22"/>
        </w:rPr>
        <w:footnoteReference w:id="15"/>
      </w:r>
      <w:r w:rsidRPr="00496EB7">
        <w:rPr>
          <w:rFonts w:ascii="Amnesty Trade Gothic" w:hAnsi="Amnesty Trade Gothic" w:cs="Arial"/>
          <w:color w:val="000000"/>
          <w:sz w:val="22"/>
          <w:szCs w:val="22"/>
        </w:rPr>
        <w:t xml:space="preserve"> Once in ORR custody, the TVPRA then requires the government to make efforts to reunify these children with family members or other sponsors while their legal claims are decided.</w:t>
      </w:r>
      <w:r w:rsidR="00781756">
        <w:rPr>
          <w:rStyle w:val="FootnoteReference"/>
          <w:rFonts w:ascii="Amnesty Trade Gothic" w:hAnsi="Amnesty Trade Gothic" w:cs="Arial"/>
          <w:color w:val="000000"/>
          <w:sz w:val="22"/>
          <w:szCs w:val="22"/>
        </w:rPr>
        <w:footnoteReference w:id="16"/>
      </w:r>
      <w:r w:rsidRPr="00496EB7">
        <w:rPr>
          <w:rFonts w:ascii="Amnesty Trade Gothic" w:hAnsi="Amnesty Trade Gothic" w:cs="Arial"/>
          <w:color w:val="000000"/>
          <w:sz w:val="22"/>
          <w:szCs w:val="22"/>
        </w:rPr>
        <w:t xml:space="preserve"> The TVPRA also requires the government to screen children to determine whether they were survivors of trafficking or at future risk of being trafficked or persecuted in the U.S. or their home countries.</w:t>
      </w:r>
      <w:r w:rsidR="00781756">
        <w:rPr>
          <w:rStyle w:val="FootnoteReference"/>
          <w:rFonts w:ascii="Amnesty Trade Gothic" w:hAnsi="Amnesty Trade Gothic" w:cs="Arial"/>
          <w:color w:val="000000"/>
          <w:sz w:val="22"/>
          <w:szCs w:val="22"/>
        </w:rPr>
        <w:footnoteReference w:id="17"/>
      </w:r>
      <w:r w:rsidRPr="00496EB7">
        <w:rPr>
          <w:rFonts w:ascii="Amnesty Trade Gothic" w:hAnsi="Amnesty Trade Gothic" w:cs="Arial"/>
          <w:color w:val="000000"/>
          <w:sz w:val="22"/>
          <w:szCs w:val="22"/>
        </w:rPr>
        <w:t xml:space="preserve"> Finally, the TVPRA provides important</w:t>
      </w:r>
      <w:r w:rsidR="00781756">
        <w:rPr>
          <w:rFonts w:ascii="Amnesty Trade Gothic" w:hAnsi="Amnesty Trade Gothic" w:cs="Arial"/>
          <w:color w:val="000000"/>
          <w:sz w:val="22"/>
          <w:szCs w:val="22"/>
        </w:rPr>
        <w:t xml:space="preserve"> procedural protections</w:t>
      </w:r>
      <w:r w:rsidRPr="00496EB7">
        <w:rPr>
          <w:rFonts w:ascii="Amnesty Trade Gothic" w:hAnsi="Amnesty Trade Gothic" w:cs="Arial"/>
          <w:color w:val="000000"/>
          <w:sz w:val="22"/>
          <w:szCs w:val="22"/>
        </w:rPr>
        <w:t xml:space="preserve"> for unaccompanied children’s legal claims, including the right to apply for asylum in a non-adversarial process and to have their cases heard before an immigration judge.</w:t>
      </w:r>
      <w:r w:rsidR="00185849" w:rsidRPr="00496EB7">
        <w:rPr>
          <w:rStyle w:val="FootnoteReference"/>
          <w:rFonts w:ascii="Amnesty Trade Gothic" w:hAnsi="Amnesty Trade Gothic" w:cs="Arial"/>
          <w:color w:val="000000"/>
          <w:sz w:val="22"/>
          <w:szCs w:val="22"/>
        </w:rPr>
        <w:footnoteReference w:id="18"/>
      </w:r>
    </w:p>
    <w:p w14:paraId="3935C31D" w14:textId="77777777" w:rsidR="00756BBE" w:rsidRPr="00496EB7" w:rsidRDefault="00756BBE" w:rsidP="00496EB7">
      <w:pPr>
        <w:pStyle w:val="NormalWeb"/>
        <w:tabs>
          <w:tab w:val="left" w:pos="4950"/>
        </w:tabs>
        <w:spacing w:before="0" w:beforeAutospacing="0" w:after="0" w:afterAutospacing="0"/>
        <w:textAlignment w:val="baseline"/>
        <w:rPr>
          <w:rFonts w:ascii="Amnesty Trade Gothic" w:hAnsi="Amnesty Trade Gothic" w:cs="Arial"/>
          <w:b/>
          <w:bCs/>
          <w:color w:val="000000"/>
          <w:sz w:val="22"/>
          <w:szCs w:val="22"/>
        </w:rPr>
      </w:pPr>
    </w:p>
    <w:p w14:paraId="3313CA6A" w14:textId="044E6EEE" w:rsidR="00756BBE" w:rsidRPr="00496EB7" w:rsidRDefault="00185849"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r w:rsidRPr="00496EB7">
        <w:rPr>
          <w:rFonts w:ascii="Amnesty Trade Gothic" w:hAnsi="Amnesty Trade Gothic" w:cs="Arial"/>
          <w:color w:val="000000"/>
          <w:sz w:val="22"/>
          <w:szCs w:val="22"/>
        </w:rPr>
        <w:t>Under the new rule, however,</w:t>
      </w:r>
      <w:r w:rsidR="00756BBE" w:rsidRPr="00496EB7">
        <w:rPr>
          <w:rFonts w:ascii="Amnesty Trade Gothic" w:hAnsi="Amnesty Trade Gothic" w:cs="Arial"/>
          <w:color w:val="000000"/>
          <w:sz w:val="22"/>
          <w:szCs w:val="22"/>
        </w:rPr>
        <w:t xml:space="preserve"> DHS is flouting these critical requirements, summarily expelling </w:t>
      </w:r>
      <w:r w:rsidR="00536982" w:rsidRPr="00496EB7">
        <w:rPr>
          <w:rFonts w:ascii="Amnesty Trade Gothic" w:hAnsi="Amnesty Trade Gothic" w:cs="Arial"/>
          <w:color w:val="000000"/>
          <w:sz w:val="22"/>
          <w:szCs w:val="22"/>
        </w:rPr>
        <w:t>unaccompanied children without providing them proper screening, placing them into immigration court proceedings, or referring them to ORR.</w:t>
      </w:r>
      <w:r w:rsidR="004B484C">
        <w:rPr>
          <w:rFonts w:ascii="Amnesty Trade Gothic" w:hAnsi="Amnesty Trade Gothic" w:cs="Arial"/>
          <w:color w:val="000000"/>
          <w:sz w:val="22"/>
          <w:szCs w:val="22"/>
        </w:rPr>
        <w:t xml:space="preserve"> Reported</w:t>
      </w:r>
      <w:r w:rsidR="00756BBE" w:rsidRPr="00496EB7">
        <w:rPr>
          <w:rFonts w:ascii="Amnesty Trade Gothic" w:hAnsi="Amnesty Trade Gothic" w:cs="Arial"/>
          <w:color w:val="000000"/>
          <w:sz w:val="22"/>
          <w:szCs w:val="22"/>
        </w:rPr>
        <w:t xml:space="preserve"> U.S. Border Patrol guidance fails to even reference protections for unaccompanied children under the TVPRA</w:t>
      </w:r>
      <w:r w:rsidRPr="00496EB7">
        <w:rPr>
          <w:rFonts w:ascii="Amnesty Trade Gothic" w:hAnsi="Amnesty Trade Gothic" w:cs="Arial"/>
          <w:color w:val="000000"/>
          <w:sz w:val="22"/>
          <w:szCs w:val="22"/>
        </w:rPr>
        <w:t>.</w:t>
      </w:r>
      <w:r w:rsidR="004B484C">
        <w:rPr>
          <w:rStyle w:val="FootnoteReference"/>
          <w:rFonts w:ascii="Amnesty Trade Gothic" w:hAnsi="Amnesty Trade Gothic" w:cs="Arial"/>
          <w:color w:val="000000"/>
          <w:sz w:val="22"/>
          <w:szCs w:val="22"/>
        </w:rPr>
        <w:footnoteReference w:id="19"/>
      </w:r>
      <w:r w:rsidRPr="00496EB7">
        <w:rPr>
          <w:rFonts w:ascii="Amnesty Trade Gothic" w:hAnsi="Amnesty Trade Gothic" w:cs="Arial"/>
          <w:color w:val="000000"/>
          <w:sz w:val="22"/>
          <w:szCs w:val="22"/>
        </w:rPr>
        <w:t xml:space="preserve"> </w:t>
      </w:r>
    </w:p>
    <w:p w14:paraId="255D4B29" w14:textId="77777777" w:rsidR="00756BBE" w:rsidRPr="00496EB7" w:rsidRDefault="00756BBE"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p>
    <w:p w14:paraId="3325611B" w14:textId="5DF3DC0A" w:rsidR="00536982" w:rsidRPr="00496EB7" w:rsidRDefault="00536982" w:rsidP="00496EB7">
      <w:pPr>
        <w:pStyle w:val="NormalWeb"/>
        <w:tabs>
          <w:tab w:val="left" w:pos="4950"/>
        </w:tabs>
        <w:spacing w:before="0" w:beforeAutospacing="0" w:after="0" w:afterAutospacing="0"/>
        <w:textAlignment w:val="baseline"/>
        <w:rPr>
          <w:rFonts w:ascii="Amnesty Trade Gothic" w:hAnsi="Amnesty Trade Gothic" w:cs="Arial"/>
          <w:color w:val="000000"/>
          <w:sz w:val="22"/>
          <w:szCs w:val="22"/>
        </w:rPr>
      </w:pPr>
      <w:r w:rsidRPr="00496EB7">
        <w:rPr>
          <w:rFonts w:ascii="Amnesty Trade Gothic" w:hAnsi="Amnesty Trade Gothic" w:cs="Arial"/>
          <w:color w:val="000000"/>
          <w:sz w:val="22"/>
          <w:szCs w:val="22"/>
        </w:rPr>
        <w:t xml:space="preserve">The failure of the Rule and accompanying CDC Order to comply with the TVPRA’s legal protections places unaccompanied children </w:t>
      </w:r>
      <w:r w:rsidR="00781756">
        <w:rPr>
          <w:rFonts w:ascii="Amnesty Trade Gothic" w:hAnsi="Amnesty Trade Gothic" w:cs="Arial"/>
          <w:color w:val="000000"/>
          <w:sz w:val="22"/>
          <w:szCs w:val="22"/>
        </w:rPr>
        <w:t xml:space="preserve">in danger, </w:t>
      </w:r>
      <w:r w:rsidR="004B484C">
        <w:rPr>
          <w:rFonts w:ascii="Amnesty Trade Gothic" w:hAnsi="Amnesty Trade Gothic" w:cs="Arial"/>
          <w:color w:val="000000"/>
          <w:sz w:val="22"/>
          <w:szCs w:val="22"/>
        </w:rPr>
        <w:t>placing them at risk of</w:t>
      </w:r>
      <w:r w:rsidRPr="00496EB7">
        <w:rPr>
          <w:rFonts w:ascii="Amnesty Trade Gothic" w:hAnsi="Amnesty Trade Gothic" w:cs="Arial"/>
          <w:color w:val="000000"/>
          <w:sz w:val="22"/>
          <w:szCs w:val="22"/>
        </w:rPr>
        <w:t xml:space="preserve"> trafficking</w:t>
      </w:r>
      <w:r w:rsidR="004B484C">
        <w:rPr>
          <w:rFonts w:ascii="Amnesty Trade Gothic" w:hAnsi="Amnesty Trade Gothic" w:cs="Arial"/>
          <w:color w:val="000000"/>
          <w:sz w:val="22"/>
          <w:szCs w:val="22"/>
        </w:rPr>
        <w:t xml:space="preserve"> and</w:t>
      </w:r>
      <w:r w:rsidRPr="00496EB7">
        <w:rPr>
          <w:rFonts w:ascii="Amnesty Trade Gothic" w:hAnsi="Amnesty Trade Gothic" w:cs="Arial"/>
          <w:color w:val="000000"/>
          <w:sz w:val="22"/>
          <w:szCs w:val="22"/>
        </w:rPr>
        <w:t xml:space="preserve"> forcible return to countries where their lives or safety are at risk. </w:t>
      </w:r>
      <w:r w:rsidR="00756BBE" w:rsidRPr="00496EB7">
        <w:rPr>
          <w:rFonts w:ascii="Amnesty Trade Gothic" w:hAnsi="Amnesty Trade Gothic" w:cs="Arial"/>
          <w:color w:val="000000"/>
          <w:sz w:val="22"/>
          <w:szCs w:val="22"/>
        </w:rPr>
        <w:t>In the mere weeks the rule has been in effect, hundreds of unaccompanied children have been</w:t>
      </w:r>
      <w:r w:rsidR="00185849" w:rsidRPr="00496EB7">
        <w:rPr>
          <w:rFonts w:ascii="Amnesty Trade Gothic" w:hAnsi="Amnesty Trade Gothic" w:cs="Arial"/>
          <w:color w:val="000000"/>
          <w:sz w:val="22"/>
          <w:szCs w:val="22"/>
        </w:rPr>
        <w:t xml:space="preserve"> “expelled” without access to procedures meant to ensure their safety.</w:t>
      </w:r>
      <w:r w:rsidR="004B484C">
        <w:rPr>
          <w:rStyle w:val="FootnoteReference"/>
          <w:rFonts w:ascii="Amnesty Trade Gothic" w:hAnsi="Amnesty Trade Gothic" w:cs="Arial"/>
          <w:color w:val="000000"/>
          <w:sz w:val="22"/>
          <w:szCs w:val="22"/>
        </w:rPr>
        <w:footnoteReference w:id="20"/>
      </w:r>
    </w:p>
    <w:p w14:paraId="3AA228E6" w14:textId="77777777" w:rsidR="00536982" w:rsidRPr="00496EB7" w:rsidRDefault="00536982" w:rsidP="00496EB7">
      <w:pPr>
        <w:tabs>
          <w:tab w:val="left" w:pos="4950"/>
        </w:tabs>
        <w:spacing w:after="0" w:line="240" w:lineRule="auto"/>
        <w:rPr>
          <w:rFonts w:ascii="Amnesty Trade Gothic" w:hAnsi="Amnesty Trade Gothic"/>
        </w:rPr>
      </w:pPr>
    </w:p>
    <w:p w14:paraId="01F46232" w14:textId="48B45E6F" w:rsidR="009C24A7" w:rsidRPr="00496EB7" w:rsidRDefault="00665875" w:rsidP="00496EB7">
      <w:pPr>
        <w:tabs>
          <w:tab w:val="left" w:pos="4950"/>
        </w:tabs>
        <w:spacing w:line="240" w:lineRule="auto"/>
        <w:rPr>
          <w:rFonts w:ascii="Amnesty Trade Gothic" w:hAnsi="Amnesty Trade Gothic"/>
        </w:rPr>
      </w:pPr>
      <w:r w:rsidRPr="00496EB7">
        <w:rPr>
          <w:rFonts w:ascii="Amnesty Trade Gothic" w:hAnsi="Amnesty Trade Gothic"/>
        </w:rPr>
        <w:t xml:space="preserve">For </w:t>
      </w:r>
      <w:r w:rsidR="00282E28" w:rsidRPr="00496EB7">
        <w:rPr>
          <w:rFonts w:ascii="Amnesty Trade Gothic" w:hAnsi="Amnesty Trade Gothic"/>
        </w:rPr>
        <w:t>all these reasons, Amnesty International</w:t>
      </w:r>
      <w:r w:rsidRPr="00496EB7">
        <w:rPr>
          <w:rFonts w:ascii="Amnesty Trade Gothic" w:hAnsi="Amnesty Trade Gothic"/>
        </w:rPr>
        <w:t xml:space="preserve"> </w:t>
      </w:r>
      <w:r w:rsidR="00781756">
        <w:rPr>
          <w:rFonts w:ascii="Amnesty Trade Gothic" w:hAnsi="Amnesty Trade Gothic"/>
        </w:rPr>
        <w:t xml:space="preserve">USA </w:t>
      </w:r>
      <w:r w:rsidR="00282E28" w:rsidRPr="00496EB7">
        <w:rPr>
          <w:rFonts w:ascii="Amnesty Trade Gothic" w:hAnsi="Amnesty Trade Gothic"/>
        </w:rPr>
        <w:t xml:space="preserve">urges </w:t>
      </w:r>
      <w:r w:rsidR="004D544C">
        <w:rPr>
          <w:rFonts w:ascii="Amnesty Trade Gothic" w:hAnsi="Amnesty Trade Gothic"/>
        </w:rPr>
        <w:t>HHS</w:t>
      </w:r>
      <w:r w:rsidR="00413EB9" w:rsidRPr="00496EB7">
        <w:rPr>
          <w:rFonts w:ascii="Amnesty Trade Gothic" w:hAnsi="Amnesty Trade Gothic"/>
        </w:rPr>
        <w:t xml:space="preserve"> </w:t>
      </w:r>
      <w:r w:rsidRPr="00496EB7">
        <w:rPr>
          <w:rFonts w:ascii="Amnesty Trade Gothic" w:hAnsi="Amnesty Trade Gothic"/>
        </w:rPr>
        <w:t xml:space="preserve">to </w:t>
      </w:r>
      <w:r w:rsidR="009E46BF" w:rsidRPr="00496EB7">
        <w:rPr>
          <w:rFonts w:ascii="Amnesty Trade Gothic" w:hAnsi="Amnesty Trade Gothic"/>
        </w:rPr>
        <w:t xml:space="preserve">immediately </w:t>
      </w:r>
      <w:r w:rsidRPr="00496EB7">
        <w:rPr>
          <w:rFonts w:ascii="Amnesty Trade Gothic" w:hAnsi="Amnesty Trade Gothic"/>
        </w:rPr>
        <w:t xml:space="preserve">rescind </w:t>
      </w:r>
      <w:r w:rsidR="00413EB9" w:rsidRPr="00496EB7">
        <w:rPr>
          <w:rFonts w:ascii="Amnesty Trade Gothic" w:hAnsi="Amnesty Trade Gothic"/>
        </w:rPr>
        <w:t xml:space="preserve">this </w:t>
      </w:r>
      <w:r w:rsidRPr="00496EB7">
        <w:rPr>
          <w:rFonts w:ascii="Amnesty Trade Gothic" w:hAnsi="Amnesty Trade Gothic"/>
        </w:rPr>
        <w:t>rule</w:t>
      </w:r>
      <w:r w:rsidR="009E46BF" w:rsidRPr="00496EB7">
        <w:rPr>
          <w:rFonts w:ascii="Amnesty Trade Gothic" w:hAnsi="Amnesty Trade Gothic"/>
        </w:rPr>
        <w:t xml:space="preserve"> and ensure that humanitarian protections at U.S. borders are not gutted </w:t>
      </w:r>
      <w:r w:rsidR="004B484C">
        <w:rPr>
          <w:rFonts w:ascii="Amnesty Trade Gothic" w:hAnsi="Amnesty Trade Gothic"/>
        </w:rPr>
        <w:t xml:space="preserve">under </w:t>
      </w:r>
      <w:r w:rsidR="009E46BF" w:rsidRPr="00496EB7">
        <w:rPr>
          <w:rFonts w:ascii="Amnesty Trade Gothic" w:hAnsi="Amnesty Trade Gothic"/>
        </w:rPr>
        <w:t>the guise of public health.</w:t>
      </w:r>
      <w:r w:rsidR="00436E1D" w:rsidRPr="00496EB7">
        <w:rPr>
          <w:rFonts w:ascii="Amnesty Trade Gothic" w:hAnsi="Amnesty Trade Gothic"/>
        </w:rPr>
        <w:t xml:space="preserve"> Any future regulations regarding border restrictions during the COVID-19 pandemic</w:t>
      </w:r>
      <w:r w:rsidR="00781756">
        <w:rPr>
          <w:rFonts w:ascii="Amnesty Trade Gothic" w:hAnsi="Amnesty Trade Gothic"/>
        </w:rPr>
        <w:t xml:space="preserve"> must be</w:t>
      </w:r>
      <w:r w:rsidR="00436E1D" w:rsidRPr="00496EB7">
        <w:rPr>
          <w:rFonts w:ascii="Amnesty Trade Gothic" w:hAnsi="Amnesty Trade Gothic"/>
        </w:rPr>
        <w:t xml:space="preserve"> informed by public health expertise and consistent with binding obligations under U.S. and international law.</w:t>
      </w:r>
    </w:p>
    <w:p w14:paraId="5E1D2F5B" w14:textId="0556C210" w:rsidR="00632609" w:rsidRPr="00496EB7" w:rsidRDefault="00632609" w:rsidP="00496EB7">
      <w:pPr>
        <w:tabs>
          <w:tab w:val="left" w:pos="4950"/>
        </w:tabs>
        <w:spacing w:line="240" w:lineRule="auto"/>
        <w:rPr>
          <w:rFonts w:ascii="Amnesty Trade Gothic" w:hAnsi="Amnesty Trade Gothic"/>
        </w:rPr>
      </w:pPr>
      <w:r w:rsidRPr="00496EB7">
        <w:rPr>
          <w:rFonts w:ascii="Amnesty Trade Gothic" w:hAnsi="Amnesty Trade Gothic"/>
        </w:rPr>
        <w:t>Sincerely,</w:t>
      </w:r>
    </w:p>
    <w:p w14:paraId="6C5F9918" w14:textId="46E2732B" w:rsidR="00632609" w:rsidRPr="00496EB7" w:rsidRDefault="00234EBB" w:rsidP="00496EB7">
      <w:pPr>
        <w:tabs>
          <w:tab w:val="left" w:pos="4950"/>
        </w:tabs>
        <w:spacing w:line="240" w:lineRule="auto"/>
        <w:rPr>
          <w:rFonts w:ascii="Amnesty Trade Gothic" w:hAnsi="Amnesty Trade Gothic"/>
        </w:rPr>
      </w:pPr>
      <w:r w:rsidRPr="00496EB7">
        <w:rPr>
          <w:rFonts w:ascii="Amnesty Trade Gothic" w:hAnsi="Amnesty Trade Gothic"/>
          <w:noProof/>
        </w:rPr>
        <w:drawing>
          <wp:inline distT="0" distB="0" distL="0" distR="0" wp14:anchorId="26E03F76" wp14:editId="0061E6DE">
            <wp:extent cx="155448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4480" cy="731520"/>
                    </a:xfrm>
                    <a:prstGeom prst="rect">
                      <a:avLst/>
                    </a:prstGeom>
                    <a:noFill/>
                    <a:ln>
                      <a:noFill/>
                    </a:ln>
                  </pic:spPr>
                </pic:pic>
              </a:graphicData>
            </a:graphic>
          </wp:inline>
        </w:drawing>
      </w:r>
    </w:p>
    <w:p w14:paraId="3523E28A" w14:textId="153DF08D" w:rsidR="00632609" w:rsidRPr="00496EB7" w:rsidRDefault="00632609" w:rsidP="00496EB7">
      <w:pPr>
        <w:tabs>
          <w:tab w:val="left" w:pos="4950"/>
        </w:tabs>
        <w:spacing w:after="0" w:line="240" w:lineRule="auto"/>
        <w:rPr>
          <w:rFonts w:ascii="Amnesty Trade Gothic" w:hAnsi="Amnesty Trade Gothic"/>
        </w:rPr>
      </w:pPr>
      <w:r w:rsidRPr="00496EB7">
        <w:rPr>
          <w:rFonts w:ascii="Amnesty Trade Gothic" w:hAnsi="Amnesty Trade Gothic"/>
        </w:rPr>
        <w:t>Charanya Krishnaswami</w:t>
      </w:r>
    </w:p>
    <w:p w14:paraId="04420BBF" w14:textId="3DAA11DD" w:rsidR="00632609" w:rsidRPr="00496EB7" w:rsidRDefault="00632609" w:rsidP="00496EB7">
      <w:pPr>
        <w:tabs>
          <w:tab w:val="left" w:pos="4950"/>
        </w:tabs>
        <w:spacing w:after="0" w:line="240" w:lineRule="auto"/>
        <w:rPr>
          <w:rFonts w:ascii="Amnesty Trade Gothic" w:hAnsi="Amnesty Trade Gothic"/>
        </w:rPr>
      </w:pPr>
      <w:r w:rsidRPr="00496EB7">
        <w:rPr>
          <w:rFonts w:ascii="Amnesty Trade Gothic" w:hAnsi="Amnesty Trade Gothic"/>
        </w:rPr>
        <w:t>Americas Advocac</w:t>
      </w:r>
      <w:r w:rsidR="00AB543F" w:rsidRPr="00496EB7">
        <w:rPr>
          <w:rFonts w:ascii="Amnesty Trade Gothic" w:hAnsi="Amnesty Trade Gothic"/>
        </w:rPr>
        <w:t>y Director</w:t>
      </w:r>
    </w:p>
    <w:p w14:paraId="407C1863" w14:textId="5337B86F" w:rsidR="00AB543F" w:rsidRPr="00496EB7" w:rsidRDefault="00AB543F" w:rsidP="00496EB7">
      <w:pPr>
        <w:tabs>
          <w:tab w:val="left" w:pos="4950"/>
        </w:tabs>
        <w:spacing w:after="0" w:line="240" w:lineRule="auto"/>
        <w:rPr>
          <w:rFonts w:ascii="Amnesty Trade Gothic" w:hAnsi="Amnesty Trade Gothic"/>
        </w:rPr>
      </w:pPr>
      <w:r w:rsidRPr="00496EB7">
        <w:rPr>
          <w:rFonts w:ascii="Amnesty Trade Gothic" w:hAnsi="Amnesty Trade Gothic"/>
        </w:rPr>
        <w:t xml:space="preserve">Amnesty International USA </w:t>
      </w:r>
    </w:p>
    <w:p w14:paraId="0B7F4B9B" w14:textId="77777777" w:rsidR="001D6D75" w:rsidRPr="00496EB7" w:rsidRDefault="001D6D75" w:rsidP="00496EB7">
      <w:pPr>
        <w:pStyle w:val="ListParagraph"/>
        <w:tabs>
          <w:tab w:val="left" w:pos="4950"/>
        </w:tabs>
        <w:ind w:left="90" w:firstLine="630"/>
        <w:rPr>
          <w:rFonts w:ascii="Amnesty Trade Gothic" w:hAnsi="Amnesty Trade Gothic"/>
          <w:b/>
        </w:rPr>
      </w:pPr>
    </w:p>
    <w:p w14:paraId="22D178B1" w14:textId="77777777" w:rsidR="002A2E21" w:rsidRPr="00496EB7" w:rsidRDefault="002A2E21" w:rsidP="00496EB7">
      <w:pPr>
        <w:tabs>
          <w:tab w:val="left" w:pos="4950"/>
        </w:tabs>
        <w:spacing w:line="240" w:lineRule="auto"/>
        <w:rPr>
          <w:rFonts w:ascii="Amnesty Trade Gothic" w:hAnsi="Amnesty Trade Gothic"/>
        </w:rPr>
      </w:pPr>
    </w:p>
    <w:sectPr w:rsidR="002A2E21" w:rsidRPr="00496EB7" w:rsidSect="009B118A">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5209" w14:textId="77777777" w:rsidR="00C065DE" w:rsidRDefault="00C065DE" w:rsidP="005B2746">
      <w:pPr>
        <w:spacing w:after="0" w:line="240" w:lineRule="auto"/>
      </w:pPr>
      <w:r>
        <w:separator/>
      </w:r>
    </w:p>
  </w:endnote>
  <w:endnote w:type="continuationSeparator" w:id="0">
    <w:p w14:paraId="5B6C7EF3" w14:textId="77777777" w:rsidR="00C065DE" w:rsidRDefault="00C065DE" w:rsidP="005B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5040" w14:textId="77777777" w:rsidR="00350D1D" w:rsidRPr="003F4FD3" w:rsidRDefault="00350D1D" w:rsidP="003F4FD3">
    <w:pPr>
      <w:pStyle w:val="Footer"/>
      <w:jc w:val="center"/>
      <w:rPr>
        <w:rFonts w:ascii="Amnesty Trade Gothic" w:hAnsi="Amnesty Trade Gothic"/>
        <w:sz w:val="18"/>
        <w:szCs w:val="18"/>
      </w:rPr>
    </w:pPr>
    <w:r w:rsidRPr="003F4FD3">
      <w:rPr>
        <w:rFonts w:ascii="Amnesty Trade Gothic" w:hAnsi="Amnesty Trade Gothic"/>
        <w:sz w:val="18"/>
        <w:szCs w:val="18"/>
      </w:rPr>
      <w:fldChar w:fldCharType="begin"/>
    </w:r>
    <w:r w:rsidRPr="003F4FD3">
      <w:rPr>
        <w:rFonts w:ascii="Amnesty Trade Gothic" w:hAnsi="Amnesty Trade Gothic"/>
        <w:sz w:val="18"/>
        <w:szCs w:val="18"/>
      </w:rPr>
      <w:instrText xml:space="preserve"> PAGE   \* MERGEFORMAT </w:instrText>
    </w:r>
    <w:r w:rsidRPr="003F4FD3">
      <w:rPr>
        <w:rFonts w:ascii="Amnesty Trade Gothic" w:hAnsi="Amnesty Trade Gothic"/>
        <w:sz w:val="18"/>
        <w:szCs w:val="18"/>
      </w:rPr>
      <w:fldChar w:fldCharType="separate"/>
    </w:r>
    <w:r w:rsidRPr="003F4FD3">
      <w:rPr>
        <w:rFonts w:ascii="Amnesty Trade Gothic" w:hAnsi="Amnesty Trade Gothic"/>
        <w:noProof/>
        <w:sz w:val="18"/>
        <w:szCs w:val="18"/>
      </w:rPr>
      <w:t>1</w:t>
    </w:r>
    <w:r w:rsidRPr="003F4FD3">
      <w:rPr>
        <w:rFonts w:ascii="Amnesty Trade Gothic" w:hAnsi="Amnesty Trade Gothic"/>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42270" w14:textId="77777777" w:rsidR="00C065DE" w:rsidRDefault="00C065DE" w:rsidP="005B2746">
      <w:pPr>
        <w:spacing w:after="0" w:line="240" w:lineRule="auto"/>
      </w:pPr>
      <w:r>
        <w:separator/>
      </w:r>
    </w:p>
  </w:footnote>
  <w:footnote w:type="continuationSeparator" w:id="0">
    <w:p w14:paraId="0726B8D9" w14:textId="77777777" w:rsidR="00C065DE" w:rsidRDefault="00C065DE" w:rsidP="005B2746">
      <w:pPr>
        <w:spacing w:after="0" w:line="240" w:lineRule="auto"/>
      </w:pPr>
      <w:r>
        <w:continuationSeparator/>
      </w:r>
    </w:p>
  </w:footnote>
  <w:footnote w:id="1">
    <w:p w14:paraId="3F3D758A" w14:textId="46FA8818" w:rsidR="00350D1D" w:rsidRPr="004B484C" w:rsidRDefault="00350D1D" w:rsidP="00536982">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Lucas Guttentag, “Coronavirus Border Expulsions: CDC’s Assault on Asylum Seekers and Unaccompanied Minors,” Just Security, Apr. 13, 2020, </w:t>
      </w:r>
      <w:hyperlink r:id="rId1" w:history="1">
        <w:r w:rsidRPr="004B484C">
          <w:rPr>
            <w:rStyle w:val="Hyperlink"/>
            <w:rFonts w:ascii="Amnesty Trade Gothic" w:hAnsi="Amnesty Trade Gothic"/>
            <w:sz w:val="18"/>
            <w:szCs w:val="18"/>
          </w:rPr>
          <w:t>https://www.justsecurity.org/69640/coronavirus-border-expulsions-cdcs-assault-on-asylum-seekers-and-unaccompanied-minors/</w:t>
        </w:r>
      </w:hyperlink>
      <w:r w:rsidRPr="004B484C">
        <w:rPr>
          <w:rFonts w:ascii="Amnesty Trade Gothic" w:hAnsi="Amnesty Trade Gothic"/>
          <w:sz w:val="18"/>
          <w:szCs w:val="18"/>
        </w:rPr>
        <w:t xml:space="preserve">. </w:t>
      </w:r>
    </w:p>
  </w:footnote>
  <w:footnote w:id="2">
    <w:p w14:paraId="07C94EB8" w14:textId="3E567B0D" w:rsidR="00350D1D" w:rsidRPr="004B484C" w:rsidRDefault="00350D1D">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Nina Lakhani, “US using coronavirus pandemic to unlawfully expel asylum seekers, says UN,” The Guardian, Apr. 17, 2020, </w:t>
      </w:r>
      <w:hyperlink r:id="rId2" w:history="1">
        <w:r w:rsidRPr="004B484C">
          <w:rPr>
            <w:rStyle w:val="Hyperlink"/>
            <w:rFonts w:ascii="Amnesty Trade Gothic" w:hAnsi="Amnesty Trade Gothic"/>
            <w:sz w:val="18"/>
            <w:szCs w:val="18"/>
          </w:rPr>
          <w:t>https://www.theguardian.com/world/2020/apr/17/us-asylum-seekers-coronavirus-law-un</w:t>
        </w:r>
      </w:hyperlink>
      <w:r w:rsidRPr="004B484C">
        <w:rPr>
          <w:rFonts w:ascii="Amnesty Trade Gothic" w:hAnsi="Amnesty Trade Gothic"/>
          <w:sz w:val="18"/>
          <w:szCs w:val="18"/>
        </w:rPr>
        <w:t xml:space="preserve">. </w:t>
      </w:r>
    </w:p>
  </w:footnote>
  <w:footnote w:id="3">
    <w:p w14:paraId="4E424D5A" w14:textId="551D74D9" w:rsidR="00350D1D" w:rsidRPr="004B484C" w:rsidRDefault="00350D1D">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00DB4ED9" w:rsidRPr="004B484C">
        <w:rPr>
          <w:rFonts w:ascii="Amnesty Trade Gothic" w:hAnsi="Amnesty Trade Gothic"/>
          <w:sz w:val="18"/>
          <w:szCs w:val="18"/>
        </w:rPr>
        <w:t>85 Fed. Reg. 16559, 16561.</w:t>
      </w:r>
    </w:p>
  </w:footnote>
  <w:footnote w:id="4">
    <w:p w14:paraId="071F65DB" w14:textId="0FAE2EAA" w:rsidR="00350D1D" w:rsidRPr="004B484C" w:rsidRDefault="00350D1D">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00DB4ED9" w:rsidRPr="004B484C">
        <w:rPr>
          <w:rFonts w:ascii="Amnesty Trade Gothic" w:hAnsi="Amnesty Trade Gothic" w:cs="Arial"/>
          <w:color w:val="000000"/>
          <w:sz w:val="18"/>
          <w:szCs w:val="18"/>
        </w:rPr>
        <w:t>85 Fed. Reg. 16547.</w:t>
      </w:r>
    </w:p>
  </w:footnote>
  <w:footnote w:id="5">
    <w:p w14:paraId="3713A263" w14:textId="0126F63C" w:rsidR="00DB4ED9" w:rsidRPr="004B484C" w:rsidRDefault="00DB4ED9">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Pr="004B484C">
        <w:rPr>
          <w:rFonts w:ascii="Amnesty Trade Gothic" w:hAnsi="Amnesty Trade Gothic"/>
          <w:i/>
          <w:iCs/>
          <w:sz w:val="18"/>
          <w:szCs w:val="18"/>
        </w:rPr>
        <w:t xml:space="preserve">See </w:t>
      </w:r>
      <w:r w:rsidRPr="004B484C">
        <w:rPr>
          <w:rFonts w:ascii="Amnesty Trade Gothic" w:hAnsi="Amnesty Trade Gothic" w:cs="Arial"/>
          <w:color w:val="000000"/>
          <w:sz w:val="18"/>
          <w:szCs w:val="18"/>
        </w:rPr>
        <w:t xml:space="preserve">8 U.S.C. § 1182(d)(5)(A); 8 C.F.R. § 212.5. </w:t>
      </w:r>
    </w:p>
  </w:footnote>
  <w:footnote w:id="6">
    <w:p w14:paraId="7740CDF5" w14:textId="308FD897" w:rsidR="00880899" w:rsidRPr="004B484C" w:rsidRDefault="00880899">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00DB4ED9" w:rsidRPr="004B484C">
        <w:rPr>
          <w:rFonts w:ascii="Amnesty Trade Gothic" w:hAnsi="Amnesty Trade Gothic" w:cs="Arial"/>
          <w:color w:val="000000"/>
          <w:sz w:val="18"/>
          <w:szCs w:val="18"/>
        </w:rPr>
        <w:t xml:space="preserve">Tom K. Wong, “Seeking Asylum: Part 2,” U.S. Immigration Policy Center at UC San Diego, Oct. 29, 2019, </w:t>
      </w:r>
      <w:hyperlink r:id="rId3" w:history="1">
        <w:r w:rsidR="00DB4ED9" w:rsidRPr="004B484C">
          <w:rPr>
            <w:rStyle w:val="Hyperlink"/>
            <w:rFonts w:ascii="Amnesty Trade Gothic" w:hAnsi="Amnesty Trade Gothic"/>
            <w:sz w:val="18"/>
            <w:szCs w:val="18"/>
          </w:rPr>
          <w:t>https://usipc.ucsd.edu/publications/usipc-seeking-asylum-part-2-final.pdf</w:t>
        </w:r>
      </w:hyperlink>
      <w:r w:rsidR="00DB4ED9" w:rsidRPr="004B484C">
        <w:rPr>
          <w:rFonts w:ascii="Amnesty Trade Gothic" w:hAnsi="Amnesty Trade Gothic"/>
          <w:sz w:val="18"/>
          <w:szCs w:val="18"/>
        </w:rPr>
        <w:t xml:space="preserve">, at 13. </w:t>
      </w:r>
    </w:p>
  </w:footnote>
  <w:footnote w:id="7">
    <w:p w14:paraId="5D9A6581" w14:textId="5FB4450D" w:rsidR="00CE7D00" w:rsidRPr="004B484C" w:rsidRDefault="00CE7D00">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UN General Assembly, Convention Relating to the Status of Refugees, July 28, 1951, United Nations, Treaty Series, vol. 189, p. 137, available at: </w:t>
      </w:r>
      <w:hyperlink r:id="rId4" w:history="1">
        <w:r w:rsidRPr="004B484C">
          <w:rPr>
            <w:rStyle w:val="Hyperlink"/>
            <w:rFonts w:ascii="Amnesty Trade Gothic" w:hAnsi="Amnesty Trade Gothic"/>
            <w:sz w:val="18"/>
            <w:szCs w:val="18"/>
          </w:rPr>
          <w:t>https://www.refworld.org/docid/3be01b964.html</w:t>
        </w:r>
      </w:hyperlink>
      <w:r w:rsidRPr="004B484C">
        <w:rPr>
          <w:rFonts w:ascii="Amnesty Trade Gothic" w:hAnsi="Amnesty Trade Gothic"/>
          <w:sz w:val="18"/>
          <w:szCs w:val="18"/>
        </w:rPr>
        <w:t xml:space="preserve">, art. 33; UN General Assembly, Convention Against Torture and Other Cruel, Inhuman or Degrading Treatment or Punishment, Dec. 10 1984, United Nations Treaty Series, vol. 1465, p. 85, </w:t>
      </w:r>
      <w:hyperlink r:id="rId5" w:history="1">
        <w:r w:rsidRPr="004B484C">
          <w:rPr>
            <w:rStyle w:val="Hyperlink"/>
            <w:rFonts w:ascii="Amnesty Trade Gothic" w:hAnsi="Amnesty Trade Gothic"/>
            <w:sz w:val="18"/>
            <w:szCs w:val="18"/>
          </w:rPr>
          <w:t>https://www.refworld.org/docid/3ae6b3a94.html</w:t>
        </w:r>
      </w:hyperlink>
      <w:r w:rsidRPr="004B484C">
        <w:rPr>
          <w:rFonts w:ascii="Amnesty Trade Gothic" w:hAnsi="Amnesty Trade Gothic"/>
          <w:sz w:val="18"/>
          <w:szCs w:val="18"/>
        </w:rPr>
        <w:t xml:space="preserve">, art. 3. </w:t>
      </w:r>
    </w:p>
  </w:footnote>
  <w:footnote w:id="8">
    <w:p w14:paraId="5D2CE72B" w14:textId="76CBB3AD" w:rsidR="00350D1D" w:rsidRPr="004B484C" w:rsidRDefault="00350D1D">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8 U.S.C. </w:t>
      </w:r>
      <w:r w:rsidRPr="004B484C">
        <w:rPr>
          <w:rFonts w:ascii="Amnesty Trade Gothic" w:hAnsi="Amnesty Trade Gothic" w:cstheme="minorHAnsi"/>
          <w:sz w:val="18"/>
          <w:szCs w:val="18"/>
        </w:rPr>
        <w:t>§</w:t>
      </w:r>
      <w:r w:rsidRPr="004B484C">
        <w:rPr>
          <w:rFonts w:ascii="Amnesty Trade Gothic" w:hAnsi="Amnesty Trade Gothic"/>
          <w:sz w:val="18"/>
          <w:szCs w:val="18"/>
        </w:rPr>
        <w:t xml:space="preserve"> 1158(a)(1) (asylum); 8 U.S.C. </w:t>
      </w:r>
      <w:r w:rsidRPr="004B484C">
        <w:rPr>
          <w:rFonts w:ascii="Amnesty Trade Gothic" w:hAnsi="Amnesty Trade Gothic" w:cstheme="minorHAnsi"/>
          <w:sz w:val="18"/>
          <w:szCs w:val="18"/>
        </w:rPr>
        <w:t>§</w:t>
      </w:r>
      <w:r w:rsidRPr="004B484C">
        <w:rPr>
          <w:rFonts w:ascii="Amnesty Trade Gothic" w:hAnsi="Amnesty Trade Gothic"/>
          <w:sz w:val="18"/>
          <w:szCs w:val="18"/>
        </w:rPr>
        <w:t xml:space="preserve"> 1231(b)(3) (withholding of removal); 8 C.F.R. § 208.16(c) (CAT). </w:t>
      </w:r>
    </w:p>
  </w:footnote>
  <w:footnote w:id="9">
    <w:p w14:paraId="00B9FB66" w14:textId="4A97A456" w:rsidR="00350D1D" w:rsidRPr="004B484C" w:rsidRDefault="00350D1D" w:rsidP="00072301">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U.N. High Commissioner for Refugees, “Key Legal Considerations on access to territory for persons in need of international protection in the context of the COVID-19 response,” Mar. 16, 2020, </w:t>
      </w:r>
      <w:hyperlink r:id="rId6" w:history="1">
        <w:r w:rsidRPr="004B484C">
          <w:rPr>
            <w:rStyle w:val="Hyperlink"/>
            <w:rFonts w:ascii="Amnesty Trade Gothic" w:hAnsi="Amnesty Trade Gothic"/>
            <w:sz w:val="18"/>
            <w:szCs w:val="18"/>
          </w:rPr>
          <w:t>https://www.refworld.org/docid/5e7132834.html</w:t>
        </w:r>
      </w:hyperlink>
      <w:r w:rsidRPr="004B484C">
        <w:rPr>
          <w:rFonts w:ascii="Amnesty Trade Gothic" w:hAnsi="Amnesty Trade Gothic"/>
          <w:sz w:val="18"/>
          <w:szCs w:val="18"/>
        </w:rPr>
        <w:t xml:space="preserve">. Similarly, the UN Subcommittee on Prevention of Torture has publicly stated that the prohibition on </w:t>
      </w:r>
      <w:r w:rsidRPr="004B484C">
        <w:rPr>
          <w:rFonts w:ascii="Amnesty Trade Gothic" w:hAnsi="Amnesty Trade Gothic"/>
          <w:i/>
          <w:iCs/>
          <w:sz w:val="18"/>
          <w:szCs w:val="18"/>
        </w:rPr>
        <w:t xml:space="preserve">refoulement </w:t>
      </w:r>
      <w:r w:rsidRPr="004B484C">
        <w:rPr>
          <w:rFonts w:ascii="Amnesty Trade Gothic" w:hAnsi="Amnesty Trade Gothic"/>
          <w:sz w:val="18"/>
          <w:szCs w:val="18"/>
        </w:rPr>
        <w:t>contained in the Convention Against Torture cannot be ignored during the COVID-19 crisis. “Advice of the Subcommittee on Prevention of Torture to States Parties and</w:t>
      </w:r>
    </w:p>
    <w:p w14:paraId="44C14915" w14:textId="05A3C16B" w:rsidR="00350D1D" w:rsidRPr="004B484C" w:rsidRDefault="00350D1D" w:rsidP="00072301">
      <w:pPr>
        <w:pStyle w:val="FootnoteText"/>
        <w:rPr>
          <w:rFonts w:ascii="Amnesty Trade Gothic" w:hAnsi="Amnesty Trade Gothic"/>
          <w:sz w:val="18"/>
          <w:szCs w:val="18"/>
        </w:rPr>
      </w:pPr>
      <w:r w:rsidRPr="004B484C">
        <w:rPr>
          <w:rFonts w:ascii="Amnesty Trade Gothic" w:hAnsi="Amnesty Trade Gothic"/>
          <w:sz w:val="18"/>
          <w:szCs w:val="18"/>
        </w:rPr>
        <w:t xml:space="preserve">National Preventive Mechanisms relating to the Coronavirus Pandemic,” Mar. 25, 2020, </w:t>
      </w:r>
      <w:hyperlink r:id="rId7" w:history="1">
        <w:r w:rsidRPr="004B484C">
          <w:rPr>
            <w:rStyle w:val="Hyperlink"/>
            <w:rFonts w:ascii="Amnesty Trade Gothic" w:hAnsi="Amnesty Trade Gothic"/>
            <w:sz w:val="18"/>
            <w:szCs w:val="18"/>
          </w:rPr>
          <w:t>https://www.ohchr.org/Documents/HRBodies/OPCAT/AdviceStatePartiesCoronavirusPandemic2020.pdf</w:t>
        </w:r>
      </w:hyperlink>
      <w:r w:rsidRPr="004B484C">
        <w:rPr>
          <w:rFonts w:ascii="Amnesty Trade Gothic" w:hAnsi="Amnesty Trade Gothic"/>
          <w:sz w:val="18"/>
          <w:szCs w:val="18"/>
        </w:rPr>
        <w:t xml:space="preserve">. </w:t>
      </w:r>
    </w:p>
  </w:footnote>
  <w:footnote w:id="10">
    <w:p w14:paraId="451DCBCA" w14:textId="32C3D002" w:rsidR="00350D1D" w:rsidRPr="004B484C" w:rsidRDefault="00350D1D">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Dara Lind, “Leaked Border Patrol Memo Tells Agents to Send Migrants Back Immediately — Ignoring Asylum Law,” April 2, 2020, </w:t>
      </w:r>
      <w:hyperlink r:id="rId8" w:history="1">
        <w:r w:rsidRPr="004B484C">
          <w:rPr>
            <w:rStyle w:val="Hyperlink"/>
            <w:rFonts w:ascii="Amnesty Trade Gothic" w:hAnsi="Amnesty Trade Gothic"/>
            <w:sz w:val="18"/>
            <w:szCs w:val="18"/>
          </w:rPr>
          <w:t>https://www.propublica.org/article/leaked-border-patrol-memo-tells-agents-to-send-migrants-back-immediately-ignoring-asylum-law</w:t>
        </w:r>
      </w:hyperlink>
      <w:r w:rsidRPr="004B484C">
        <w:rPr>
          <w:rFonts w:ascii="Amnesty Trade Gothic" w:hAnsi="Amnesty Trade Gothic"/>
          <w:sz w:val="18"/>
          <w:szCs w:val="18"/>
        </w:rPr>
        <w:t xml:space="preserve">. </w:t>
      </w:r>
    </w:p>
  </w:footnote>
  <w:footnote w:id="11">
    <w:p w14:paraId="2BD52FB7" w14:textId="20656C95" w:rsidR="00350D1D" w:rsidRPr="004B484C" w:rsidRDefault="00350D1D">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“COVID-19 CAPIO,” available at </w:t>
      </w:r>
      <w:hyperlink r:id="rId9" w:history="1">
        <w:r w:rsidRPr="004B484C">
          <w:rPr>
            <w:rStyle w:val="Hyperlink"/>
            <w:rFonts w:ascii="Amnesty Trade Gothic" w:hAnsi="Amnesty Trade Gothic"/>
            <w:sz w:val="18"/>
            <w:szCs w:val="18"/>
          </w:rPr>
          <w:t>https://www.documentcloud.org/documents/6824221-COVID-19-CAPIO.html</w:t>
        </w:r>
      </w:hyperlink>
      <w:r w:rsidRPr="004B484C">
        <w:rPr>
          <w:rFonts w:ascii="Amnesty Trade Gothic" w:hAnsi="Amnesty Trade Gothic"/>
          <w:sz w:val="18"/>
          <w:szCs w:val="18"/>
        </w:rPr>
        <w:t xml:space="preserve">. </w:t>
      </w:r>
    </w:p>
  </w:footnote>
  <w:footnote w:id="12">
    <w:p w14:paraId="3DA2A74B" w14:textId="30AEB90A" w:rsidR="00350D1D" w:rsidRPr="004B484C" w:rsidRDefault="00350D1D">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00DB4ED9" w:rsidRPr="004B484C">
        <w:rPr>
          <w:rFonts w:ascii="Amnesty Trade Gothic" w:hAnsi="Amnesty Trade Gothic"/>
          <w:sz w:val="18"/>
          <w:szCs w:val="18"/>
        </w:rPr>
        <w:t>William Wilberforce Trafficking Victims Protection Reauthorization Act of 2008 (P.L. 110-457).</w:t>
      </w:r>
    </w:p>
  </w:footnote>
  <w:footnote w:id="13">
    <w:p w14:paraId="4EF1193B" w14:textId="4BBD5CA8" w:rsidR="00350D1D" w:rsidRPr="004B484C" w:rsidRDefault="00350D1D">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00781756" w:rsidRPr="004B484C">
        <w:rPr>
          <w:rFonts w:ascii="Amnesty Trade Gothic" w:hAnsi="Amnesty Trade Gothic"/>
          <w:sz w:val="18"/>
          <w:szCs w:val="18"/>
        </w:rPr>
        <w:t xml:space="preserve">Letter from Sen. Dianne Feinstein, Rep. Jerry Nadler, et al., to Acting DHS Secretary Chad Wolf, Mar. 20, 2020, available at </w:t>
      </w:r>
      <w:hyperlink r:id="rId10" w:history="1">
        <w:r w:rsidR="00781756" w:rsidRPr="004B484C">
          <w:rPr>
            <w:rStyle w:val="Hyperlink"/>
            <w:rFonts w:ascii="Amnesty Trade Gothic" w:hAnsi="Amnesty Trade Gothic"/>
            <w:sz w:val="18"/>
            <w:szCs w:val="18"/>
          </w:rPr>
          <w:t>https://judiciary.house.gov/uploadedfiles/3.30.2020_letter_to_dhs_re_tvpra.pdf</w:t>
        </w:r>
      </w:hyperlink>
      <w:r w:rsidR="00781756" w:rsidRPr="004B484C">
        <w:rPr>
          <w:rFonts w:ascii="Amnesty Trade Gothic" w:hAnsi="Amnesty Trade Gothic"/>
          <w:sz w:val="18"/>
          <w:szCs w:val="18"/>
        </w:rPr>
        <w:t xml:space="preserve">. </w:t>
      </w:r>
    </w:p>
  </w:footnote>
  <w:footnote w:id="14">
    <w:p w14:paraId="4E5854C0" w14:textId="46A1A352" w:rsidR="00DB4ED9" w:rsidRPr="004B484C" w:rsidRDefault="00DB4ED9">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00781756" w:rsidRPr="004B484C">
        <w:rPr>
          <w:rFonts w:ascii="Amnesty Trade Gothic" w:hAnsi="Amnesty Trade Gothic"/>
          <w:sz w:val="18"/>
          <w:szCs w:val="18"/>
        </w:rPr>
        <w:t xml:space="preserve">Women’s Refugee Commission et al., “Protecting Unaccompanied Children: The Office of Refugee Resettlement and the TVPRA,” Dec. 2019, </w:t>
      </w:r>
      <w:hyperlink r:id="rId11" w:history="1">
        <w:r w:rsidR="00781756" w:rsidRPr="004B484C">
          <w:rPr>
            <w:rStyle w:val="Hyperlink"/>
            <w:rFonts w:ascii="Amnesty Trade Gothic" w:hAnsi="Amnesty Trade Gothic"/>
            <w:sz w:val="18"/>
            <w:szCs w:val="18"/>
          </w:rPr>
          <w:t>https://www.womensrefugeecommission.org/research-resources/protecting-unaccompanied-children-the-office-of-refugee-resettlement-orr-and-the-trafficking-victims-protection-reauthorization-act-tvpra/</w:t>
        </w:r>
      </w:hyperlink>
      <w:r w:rsidR="00781756" w:rsidRPr="004B484C">
        <w:rPr>
          <w:rFonts w:ascii="Amnesty Trade Gothic" w:hAnsi="Amnesty Trade Gothic"/>
          <w:sz w:val="18"/>
          <w:szCs w:val="18"/>
        </w:rPr>
        <w:t>.</w:t>
      </w:r>
    </w:p>
  </w:footnote>
  <w:footnote w:id="15">
    <w:p w14:paraId="72EEA5B1" w14:textId="3D77C837" w:rsidR="00350D1D" w:rsidRPr="004B484C" w:rsidRDefault="00350D1D">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00781756" w:rsidRPr="004B484C">
        <w:rPr>
          <w:rFonts w:ascii="Amnesty Trade Gothic" w:hAnsi="Amnesty Trade Gothic"/>
          <w:sz w:val="18"/>
          <w:szCs w:val="18"/>
        </w:rPr>
        <w:t xml:space="preserve">8 U.S.C. § 1232(b)(3). </w:t>
      </w:r>
    </w:p>
  </w:footnote>
  <w:footnote w:id="16">
    <w:p w14:paraId="7C7252C7" w14:textId="1A5F6607" w:rsidR="00781756" w:rsidRPr="004B484C" w:rsidRDefault="00781756">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Pr="004B484C">
        <w:rPr>
          <w:rFonts w:ascii="Amnesty Trade Gothic" w:hAnsi="Amnesty Trade Gothic"/>
          <w:i/>
          <w:iCs/>
          <w:sz w:val="18"/>
          <w:szCs w:val="18"/>
        </w:rPr>
        <w:t xml:space="preserve">Id. </w:t>
      </w:r>
      <w:r w:rsidRPr="004B484C">
        <w:rPr>
          <w:rFonts w:ascii="Amnesty Trade Gothic" w:hAnsi="Amnesty Trade Gothic"/>
          <w:sz w:val="18"/>
          <w:szCs w:val="18"/>
        </w:rPr>
        <w:t xml:space="preserve">§ 1232(c). </w:t>
      </w:r>
    </w:p>
  </w:footnote>
  <w:footnote w:id="17">
    <w:p w14:paraId="37318272" w14:textId="41B23629" w:rsidR="00781756" w:rsidRPr="004B484C" w:rsidRDefault="00781756">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Pr="004B484C">
        <w:rPr>
          <w:rFonts w:ascii="Amnesty Trade Gothic" w:hAnsi="Amnesty Trade Gothic"/>
          <w:i/>
          <w:iCs/>
          <w:sz w:val="18"/>
          <w:szCs w:val="18"/>
        </w:rPr>
        <w:t xml:space="preserve">Id. </w:t>
      </w:r>
      <w:r w:rsidRPr="004B484C">
        <w:rPr>
          <w:rFonts w:ascii="Amnesty Trade Gothic" w:hAnsi="Amnesty Trade Gothic"/>
          <w:sz w:val="18"/>
          <w:szCs w:val="18"/>
        </w:rPr>
        <w:t xml:space="preserve">§ 1232(a)(4). </w:t>
      </w:r>
    </w:p>
  </w:footnote>
  <w:footnote w:id="18">
    <w:p w14:paraId="2FD3E50A" w14:textId="315362E9" w:rsidR="00350D1D" w:rsidRPr="004B484C" w:rsidRDefault="00350D1D">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00781756" w:rsidRPr="004B484C">
        <w:rPr>
          <w:rFonts w:ascii="Amnesty Trade Gothic" w:hAnsi="Amnesty Trade Gothic"/>
          <w:i/>
          <w:iCs/>
          <w:sz w:val="18"/>
          <w:szCs w:val="18"/>
        </w:rPr>
        <w:t xml:space="preserve">See supra </w:t>
      </w:r>
      <w:r w:rsidR="00781756" w:rsidRPr="004B484C">
        <w:rPr>
          <w:rFonts w:ascii="Amnesty Trade Gothic" w:hAnsi="Amnesty Trade Gothic"/>
          <w:sz w:val="18"/>
          <w:szCs w:val="18"/>
        </w:rPr>
        <w:t xml:space="preserve">note 13.  </w:t>
      </w:r>
    </w:p>
  </w:footnote>
  <w:footnote w:id="19">
    <w:p w14:paraId="50026086" w14:textId="0261729D" w:rsidR="004B484C" w:rsidRPr="004B484C" w:rsidRDefault="004B484C">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w:t>
      </w:r>
      <w:r w:rsidRPr="004B484C">
        <w:rPr>
          <w:rFonts w:ascii="Amnesty Trade Gothic" w:hAnsi="Amnesty Trade Gothic"/>
          <w:i/>
          <w:iCs/>
          <w:sz w:val="18"/>
          <w:szCs w:val="18"/>
        </w:rPr>
        <w:t xml:space="preserve">See supra </w:t>
      </w:r>
      <w:r w:rsidRPr="004B484C">
        <w:rPr>
          <w:rFonts w:ascii="Amnesty Trade Gothic" w:hAnsi="Amnesty Trade Gothic"/>
          <w:sz w:val="18"/>
          <w:szCs w:val="18"/>
        </w:rPr>
        <w:t xml:space="preserve">note 11. </w:t>
      </w:r>
    </w:p>
  </w:footnote>
  <w:footnote w:id="20">
    <w:p w14:paraId="6F4D52F5" w14:textId="0CE4A4E0" w:rsidR="004B484C" w:rsidRPr="004B484C" w:rsidRDefault="004B484C">
      <w:pPr>
        <w:pStyle w:val="FootnoteText"/>
        <w:rPr>
          <w:rFonts w:ascii="Amnesty Trade Gothic" w:hAnsi="Amnesty Trade Gothic"/>
          <w:sz w:val="18"/>
          <w:szCs w:val="18"/>
        </w:rPr>
      </w:pPr>
      <w:r w:rsidRPr="004B484C">
        <w:rPr>
          <w:rStyle w:val="FootnoteReference"/>
          <w:rFonts w:ascii="Amnesty Trade Gothic" w:hAnsi="Amnesty Trade Gothic"/>
          <w:sz w:val="18"/>
          <w:szCs w:val="18"/>
        </w:rPr>
        <w:footnoteRef/>
      </w:r>
      <w:r w:rsidRPr="004B484C">
        <w:rPr>
          <w:rFonts w:ascii="Amnesty Trade Gothic" w:hAnsi="Amnesty Trade Gothic"/>
          <w:sz w:val="18"/>
          <w:szCs w:val="18"/>
        </w:rPr>
        <w:t xml:space="preserve"> Camilo Montoya-Galvez, “U.S. expels 6,300 migrants at the border, shuts off asylum under coronavirus order,” CBS News, Apr. 9, 2020, </w:t>
      </w:r>
      <w:hyperlink r:id="rId12" w:history="1">
        <w:r w:rsidRPr="004B484C">
          <w:rPr>
            <w:rStyle w:val="Hyperlink"/>
            <w:rFonts w:ascii="Amnesty Trade Gothic" w:hAnsi="Amnesty Trade Gothic"/>
            <w:sz w:val="18"/>
            <w:szCs w:val="18"/>
          </w:rPr>
          <w:t>https://www.cbsnews.com/news/coronavirus-us-expels-6300-migrants-border-asylum/</w:t>
        </w:r>
      </w:hyperlink>
      <w:r w:rsidRPr="004B484C">
        <w:rPr>
          <w:rFonts w:ascii="Amnesty Trade Gothic" w:hAnsi="Amnesty Trade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DDB2" w14:textId="1C0DFC46" w:rsidR="00350D1D" w:rsidRDefault="00350D1D">
    <w:pPr>
      <w:pStyle w:val="Header"/>
    </w:pPr>
    <w:r>
      <w:rPr>
        <w:noProof/>
      </w:rPr>
      <w:drawing>
        <wp:anchor distT="0" distB="0" distL="114300" distR="114300" simplePos="0" relativeHeight="251658240" behindDoc="0" locked="0" layoutInCell="1" allowOverlap="1" wp14:anchorId="5F93DB79" wp14:editId="55D43906">
          <wp:simplePos x="0" y="0"/>
          <wp:positionH relativeFrom="page">
            <wp:align>right</wp:align>
          </wp:positionH>
          <wp:positionV relativeFrom="paragraph">
            <wp:posOffset>-514350</wp:posOffset>
          </wp:positionV>
          <wp:extent cx="7965677" cy="13328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1" t="7601" r="351" b="2923"/>
                  <a:stretch/>
                </pic:blipFill>
                <pic:spPr bwMode="auto">
                  <a:xfrm>
                    <a:off x="0" y="0"/>
                    <a:ext cx="7965677" cy="1332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5C4F39"/>
    <w:multiLevelType w:val="hybridMultilevel"/>
    <w:tmpl w:val="220594D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1B74"/>
    <w:multiLevelType w:val="multilevel"/>
    <w:tmpl w:val="B4E4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B1657"/>
    <w:multiLevelType w:val="hybridMultilevel"/>
    <w:tmpl w:val="7C4A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08D8"/>
    <w:multiLevelType w:val="multilevel"/>
    <w:tmpl w:val="0346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400F9"/>
    <w:multiLevelType w:val="hybridMultilevel"/>
    <w:tmpl w:val="E090AF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F6F4E06"/>
    <w:multiLevelType w:val="hybridMultilevel"/>
    <w:tmpl w:val="04C2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D78FC"/>
    <w:multiLevelType w:val="multilevel"/>
    <w:tmpl w:val="67161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6632F"/>
    <w:multiLevelType w:val="hybridMultilevel"/>
    <w:tmpl w:val="91ECB2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FF7CA4"/>
    <w:multiLevelType w:val="hybridMultilevel"/>
    <w:tmpl w:val="091A65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4FD2BDC"/>
    <w:multiLevelType w:val="hybridMultilevel"/>
    <w:tmpl w:val="D7D2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E419D"/>
    <w:multiLevelType w:val="hybridMultilevel"/>
    <w:tmpl w:val="AFF605E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F772A26"/>
    <w:multiLevelType w:val="multilevel"/>
    <w:tmpl w:val="5254B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27B2F"/>
    <w:multiLevelType w:val="hybridMultilevel"/>
    <w:tmpl w:val="2A3243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88F525C"/>
    <w:multiLevelType w:val="hybridMultilevel"/>
    <w:tmpl w:val="92EA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D5331"/>
    <w:multiLevelType w:val="multilevel"/>
    <w:tmpl w:val="A824E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F1656"/>
    <w:multiLevelType w:val="multilevel"/>
    <w:tmpl w:val="43F21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A2C4D"/>
    <w:multiLevelType w:val="hybridMultilevel"/>
    <w:tmpl w:val="9DAE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24A75"/>
    <w:multiLevelType w:val="hybridMultilevel"/>
    <w:tmpl w:val="D6B20A2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545D3046"/>
    <w:multiLevelType w:val="hybridMultilevel"/>
    <w:tmpl w:val="3E04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07D86"/>
    <w:multiLevelType w:val="multilevel"/>
    <w:tmpl w:val="84A0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5366D5"/>
    <w:multiLevelType w:val="hybridMultilevel"/>
    <w:tmpl w:val="7DB8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61C35"/>
    <w:multiLevelType w:val="hybridMultilevel"/>
    <w:tmpl w:val="A2FC0DA4"/>
    <w:lvl w:ilvl="0" w:tplc="53485C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0"/>
  </w:num>
  <w:num w:numId="4">
    <w:abstractNumId w:val="1"/>
  </w:num>
  <w:num w:numId="5">
    <w:abstractNumId w:val="2"/>
  </w:num>
  <w:num w:numId="6">
    <w:abstractNumId w:val="5"/>
  </w:num>
  <w:num w:numId="7">
    <w:abstractNumId w:val="4"/>
  </w:num>
  <w:num w:numId="8">
    <w:abstractNumId w:val="12"/>
  </w:num>
  <w:num w:numId="9">
    <w:abstractNumId w:val="8"/>
  </w:num>
  <w:num w:numId="10">
    <w:abstractNumId w:val="17"/>
  </w:num>
  <w:num w:numId="11">
    <w:abstractNumId w:val="10"/>
  </w:num>
  <w:num w:numId="12">
    <w:abstractNumId w:val="9"/>
  </w:num>
  <w:num w:numId="13">
    <w:abstractNumId w:val="7"/>
  </w:num>
  <w:num w:numId="14">
    <w:abstractNumId w:val="16"/>
  </w:num>
  <w:num w:numId="15">
    <w:abstractNumId w:val="20"/>
  </w:num>
  <w:num w:numId="16">
    <w:abstractNumId w:val="13"/>
  </w:num>
  <w:num w:numId="17">
    <w:abstractNumId w:val="19"/>
  </w:num>
  <w:num w:numId="18">
    <w:abstractNumId w:val="3"/>
  </w:num>
  <w:num w:numId="19">
    <w:abstractNumId w:val="15"/>
  </w:num>
  <w:num w:numId="20">
    <w:abstractNumId w:val="6"/>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46"/>
    <w:rsid w:val="00000BD4"/>
    <w:rsid w:val="00000D00"/>
    <w:rsid w:val="0000121D"/>
    <w:rsid w:val="000023FC"/>
    <w:rsid w:val="000224EF"/>
    <w:rsid w:val="00023E25"/>
    <w:rsid w:val="000340D0"/>
    <w:rsid w:val="00056EAC"/>
    <w:rsid w:val="000663B7"/>
    <w:rsid w:val="00072301"/>
    <w:rsid w:val="00076F8E"/>
    <w:rsid w:val="00083DFE"/>
    <w:rsid w:val="000858F6"/>
    <w:rsid w:val="00085C09"/>
    <w:rsid w:val="0009482A"/>
    <w:rsid w:val="00096DF4"/>
    <w:rsid w:val="00097D7A"/>
    <w:rsid w:val="000A028F"/>
    <w:rsid w:val="000A4BBD"/>
    <w:rsid w:val="000B45D6"/>
    <w:rsid w:val="000D202D"/>
    <w:rsid w:val="00100610"/>
    <w:rsid w:val="00113F9F"/>
    <w:rsid w:val="00156F18"/>
    <w:rsid w:val="00185849"/>
    <w:rsid w:val="001A4C8E"/>
    <w:rsid w:val="001B06CD"/>
    <w:rsid w:val="001B7481"/>
    <w:rsid w:val="001B7955"/>
    <w:rsid w:val="001C2183"/>
    <w:rsid w:val="001C4DD3"/>
    <w:rsid w:val="001C766E"/>
    <w:rsid w:val="001D6D75"/>
    <w:rsid w:val="001D799F"/>
    <w:rsid w:val="001E4D56"/>
    <w:rsid w:val="001E4FFC"/>
    <w:rsid w:val="001E6C7A"/>
    <w:rsid w:val="002033A1"/>
    <w:rsid w:val="00206E6C"/>
    <w:rsid w:val="0021028A"/>
    <w:rsid w:val="0022663E"/>
    <w:rsid w:val="00227DB0"/>
    <w:rsid w:val="00233FBA"/>
    <w:rsid w:val="0023420E"/>
    <w:rsid w:val="002346D2"/>
    <w:rsid w:val="00234EBB"/>
    <w:rsid w:val="00236310"/>
    <w:rsid w:val="002508A0"/>
    <w:rsid w:val="002539F6"/>
    <w:rsid w:val="002627FB"/>
    <w:rsid w:val="0026383C"/>
    <w:rsid w:val="00263C52"/>
    <w:rsid w:val="00264BB9"/>
    <w:rsid w:val="00271140"/>
    <w:rsid w:val="00272476"/>
    <w:rsid w:val="002802F7"/>
    <w:rsid w:val="00281798"/>
    <w:rsid w:val="0028195C"/>
    <w:rsid w:val="00282E28"/>
    <w:rsid w:val="00295100"/>
    <w:rsid w:val="002A2E21"/>
    <w:rsid w:val="002B02C7"/>
    <w:rsid w:val="002B2AE0"/>
    <w:rsid w:val="002C0D01"/>
    <w:rsid w:val="002C39B9"/>
    <w:rsid w:val="002C411F"/>
    <w:rsid w:val="002C5871"/>
    <w:rsid w:val="002D2CD1"/>
    <w:rsid w:val="002E5931"/>
    <w:rsid w:val="002F1257"/>
    <w:rsid w:val="00304EEB"/>
    <w:rsid w:val="00327DFE"/>
    <w:rsid w:val="003331A3"/>
    <w:rsid w:val="00340C4E"/>
    <w:rsid w:val="003463A8"/>
    <w:rsid w:val="003506B5"/>
    <w:rsid w:val="00350D1D"/>
    <w:rsid w:val="003562B3"/>
    <w:rsid w:val="00360894"/>
    <w:rsid w:val="00366678"/>
    <w:rsid w:val="00385D61"/>
    <w:rsid w:val="00390E48"/>
    <w:rsid w:val="00393911"/>
    <w:rsid w:val="00394E88"/>
    <w:rsid w:val="003A5C8D"/>
    <w:rsid w:val="003A67E9"/>
    <w:rsid w:val="003B0075"/>
    <w:rsid w:val="003B11EF"/>
    <w:rsid w:val="003B1A2C"/>
    <w:rsid w:val="003B50F1"/>
    <w:rsid w:val="003E278C"/>
    <w:rsid w:val="003E6937"/>
    <w:rsid w:val="003F4FD3"/>
    <w:rsid w:val="003F59FA"/>
    <w:rsid w:val="00404579"/>
    <w:rsid w:val="00413EB9"/>
    <w:rsid w:val="00415F0D"/>
    <w:rsid w:val="00417F88"/>
    <w:rsid w:val="004226A5"/>
    <w:rsid w:val="00436E1D"/>
    <w:rsid w:val="004458A3"/>
    <w:rsid w:val="004546DA"/>
    <w:rsid w:val="00482682"/>
    <w:rsid w:val="00491899"/>
    <w:rsid w:val="00495D55"/>
    <w:rsid w:val="00496EB7"/>
    <w:rsid w:val="00497BCF"/>
    <w:rsid w:val="004A05CC"/>
    <w:rsid w:val="004A7418"/>
    <w:rsid w:val="004B484C"/>
    <w:rsid w:val="004B7A4B"/>
    <w:rsid w:val="004C55C4"/>
    <w:rsid w:val="004D1E8E"/>
    <w:rsid w:val="004D2B42"/>
    <w:rsid w:val="004D544C"/>
    <w:rsid w:val="004F545A"/>
    <w:rsid w:val="004F7F27"/>
    <w:rsid w:val="005004E5"/>
    <w:rsid w:val="005012E3"/>
    <w:rsid w:val="00501666"/>
    <w:rsid w:val="00503DB2"/>
    <w:rsid w:val="00504603"/>
    <w:rsid w:val="00506E9C"/>
    <w:rsid w:val="005259E3"/>
    <w:rsid w:val="0053014D"/>
    <w:rsid w:val="00535E4B"/>
    <w:rsid w:val="00535F64"/>
    <w:rsid w:val="00536982"/>
    <w:rsid w:val="0053773B"/>
    <w:rsid w:val="00537A91"/>
    <w:rsid w:val="00541A78"/>
    <w:rsid w:val="005613B4"/>
    <w:rsid w:val="005770D3"/>
    <w:rsid w:val="0058595A"/>
    <w:rsid w:val="00587976"/>
    <w:rsid w:val="00594BC3"/>
    <w:rsid w:val="00595417"/>
    <w:rsid w:val="005A418A"/>
    <w:rsid w:val="005A7A19"/>
    <w:rsid w:val="005B2746"/>
    <w:rsid w:val="005B29CA"/>
    <w:rsid w:val="005B2A74"/>
    <w:rsid w:val="005B71A0"/>
    <w:rsid w:val="005C2F7E"/>
    <w:rsid w:val="005C563A"/>
    <w:rsid w:val="005E16EC"/>
    <w:rsid w:val="005E1CB1"/>
    <w:rsid w:val="005E52B8"/>
    <w:rsid w:val="005F2055"/>
    <w:rsid w:val="00605635"/>
    <w:rsid w:val="006070AA"/>
    <w:rsid w:val="00632609"/>
    <w:rsid w:val="00641EAD"/>
    <w:rsid w:val="0064247C"/>
    <w:rsid w:val="006465BD"/>
    <w:rsid w:val="00661B51"/>
    <w:rsid w:val="00661CA3"/>
    <w:rsid w:val="00662D6A"/>
    <w:rsid w:val="00665875"/>
    <w:rsid w:val="00672E71"/>
    <w:rsid w:val="00673E27"/>
    <w:rsid w:val="006A2129"/>
    <w:rsid w:val="006B0DA2"/>
    <w:rsid w:val="006B308B"/>
    <w:rsid w:val="006C4A41"/>
    <w:rsid w:val="006D12F6"/>
    <w:rsid w:val="006D7DB4"/>
    <w:rsid w:val="006E1DEA"/>
    <w:rsid w:val="006E77CE"/>
    <w:rsid w:val="006F0D52"/>
    <w:rsid w:val="00701CCC"/>
    <w:rsid w:val="007045B6"/>
    <w:rsid w:val="0071299B"/>
    <w:rsid w:val="00713723"/>
    <w:rsid w:val="0071650B"/>
    <w:rsid w:val="00724240"/>
    <w:rsid w:val="00730D09"/>
    <w:rsid w:val="00736270"/>
    <w:rsid w:val="0074092E"/>
    <w:rsid w:val="00740CAA"/>
    <w:rsid w:val="007430BF"/>
    <w:rsid w:val="00745D5C"/>
    <w:rsid w:val="00756BBE"/>
    <w:rsid w:val="0076757C"/>
    <w:rsid w:val="007706BC"/>
    <w:rsid w:val="0078174B"/>
    <w:rsid w:val="00781756"/>
    <w:rsid w:val="007822ED"/>
    <w:rsid w:val="007827AF"/>
    <w:rsid w:val="007858F4"/>
    <w:rsid w:val="007A61E6"/>
    <w:rsid w:val="007B1784"/>
    <w:rsid w:val="007B533F"/>
    <w:rsid w:val="007C0DD1"/>
    <w:rsid w:val="007E3D18"/>
    <w:rsid w:val="007E788C"/>
    <w:rsid w:val="007E7AED"/>
    <w:rsid w:val="007F4C98"/>
    <w:rsid w:val="00800C7D"/>
    <w:rsid w:val="00810E3E"/>
    <w:rsid w:val="0082602F"/>
    <w:rsid w:val="008424A4"/>
    <w:rsid w:val="00851DD5"/>
    <w:rsid w:val="00853035"/>
    <w:rsid w:val="00866784"/>
    <w:rsid w:val="008674A5"/>
    <w:rsid w:val="008755CC"/>
    <w:rsid w:val="008757D6"/>
    <w:rsid w:val="00880899"/>
    <w:rsid w:val="0089687C"/>
    <w:rsid w:val="008A0931"/>
    <w:rsid w:val="008A3A92"/>
    <w:rsid w:val="008A6A9D"/>
    <w:rsid w:val="008B47EB"/>
    <w:rsid w:val="008C3C7D"/>
    <w:rsid w:val="008C3EB2"/>
    <w:rsid w:val="008C7E9B"/>
    <w:rsid w:val="008D1B0D"/>
    <w:rsid w:val="008E2B06"/>
    <w:rsid w:val="008E7FEF"/>
    <w:rsid w:val="008F57B9"/>
    <w:rsid w:val="00907161"/>
    <w:rsid w:val="00907DA9"/>
    <w:rsid w:val="0092387C"/>
    <w:rsid w:val="00924121"/>
    <w:rsid w:val="00925D3F"/>
    <w:rsid w:val="00926A22"/>
    <w:rsid w:val="00931180"/>
    <w:rsid w:val="00940A39"/>
    <w:rsid w:val="009426C0"/>
    <w:rsid w:val="00945437"/>
    <w:rsid w:val="00951835"/>
    <w:rsid w:val="00961ED0"/>
    <w:rsid w:val="0096606B"/>
    <w:rsid w:val="00970292"/>
    <w:rsid w:val="009838C8"/>
    <w:rsid w:val="00994F36"/>
    <w:rsid w:val="009B118A"/>
    <w:rsid w:val="009C24A7"/>
    <w:rsid w:val="009D2204"/>
    <w:rsid w:val="009E46BF"/>
    <w:rsid w:val="009E79DC"/>
    <w:rsid w:val="009F20DF"/>
    <w:rsid w:val="00A102B5"/>
    <w:rsid w:val="00A12A76"/>
    <w:rsid w:val="00A134FD"/>
    <w:rsid w:val="00A140E9"/>
    <w:rsid w:val="00A324FA"/>
    <w:rsid w:val="00A456B8"/>
    <w:rsid w:val="00A575E6"/>
    <w:rsid w:val="00A671E1"/>
    <w:rsid w:val="00A738FA"/>
    <w:rsid w:val="00A75848"/>
    <w:rsid w:val="00A83785"/>
    <w:rsid w:val="00A84A06"/>
    <w:rsid w:val="00A93D66"/>
    <w:rsid w:val="00AA0D3D"/>
    <w:rsid w:val="00AB51C5"/>
    <w:rsid w:val="00AB543F"/>
    <w:rsid w:val="00AC12F3"/>
    <w:rsid w:val="00AC2875"/>
    <w:rsid w:val="00AD7CF5"/>
    <w:rsid w:val="00AE62E1"/>
    <w:rsid w:val="00AF51B5"/>
    <w:rsid w:val="00AF5E42"/>
    <w:rsid w:val="00AF6D8B"/>
    <w:rsid w:val="00B144F6"/>
    <w:rsid w:val="00B1624C"/>
    <w:rsid w:val="00B17613"/>
    <w:rsid w:val="00B35DDC"/>
    <w:rsid w:val="00B37190"/>
    <w:rsid w:val="00B43701"/>
    <w:rsid w:val="00B54DC6"/>
    <w:rsid w:val="00B662A6"/>
    <w:rsid w:val="00B66E86"/>
    <w:rsid w:val="00B67008"/>
    <w:rsid w:val="00B875A1"/>
    <w:rsid w:val="00B87813"/>
    <w:rsid w:val="00B92F90"/>
    <w:rsid w:val="00B94534"/>
    <w:rsid w:val="00B94D26"/>
    <w:rsid w:val="00BA62A5"/>
    <w:rsid w:val="00BB04F0"/>
    <w:rsid w:val="00BB7440"/>
    <w:rsid w:val="00BB77B6"/>
    <w:rsid w:val="00BC35AA"/>
    <w:rsid w:val="00BC6604"/>
    <w:rsid w:val="00BE19BB"/>
    <w:rsid w:val="00BF3B74"/>
    <w:rsid w:val="00C0039F"/>
    <w:rsid w:val="00C03C12"/>
    <w:rsid w:val="00C065DE"/>
    <w:rsid w:val="00C070A2"/>
    <w:rsid w:val="00C23B1D"/>
    <w:rsid w:val="00C27941"/>
    <w:rsid w:val="00C331C7"/>
    <w:rsid w:val="00C433F2"/>
    <w:rsid w:val="00C460C2"/>
    <w:rsid w:val="00C82B5E"/>
    <w:rsid w:val="00C96CD8"/>
    <w:rsid w:val="00CA13BA"/>
    <w:rsid w:val="00CC1D08"/>
    <w:rsid w:val="00CD564F"/>
    <w:rsid w:val="00CE7D00"/>
    <w:rsid w:val="00CF099F"/>
    <w:rsid w:val="00CF32AB"/>
    <w:rsid w:val="00CF68BC"/>
    <w:rsid w:val="00CF71BA"/>
    <w:rsid w:val="00D00699"/>
    <w:rsid w:val="00D0584F"/>
    <w:rsid w:val="00D2083C"/>
    <w:rsid w:val="00D244DD"/>
    <w:rsid w:val="00D60DD2"/>
    <w:rsid w:val="00D61BC7"/>
    <w:rsid w:val="00D85A18"/>
    <w:rsid w:val="00D92709"/>
    <w:rsid w:val="00D943AC"/>
    <w:rsid w:val="00D95534"/>
    <w:rsid w:val="00D95E56"/>
    <w:rsid w:val="00D965AA"/>
    <w:rsid w:val="00DA5480"/>
    <w:rsid w:val="00DB4ED9"/>
    <w:rsid w:val="00DB60C8"/>
    <w:rsid w:val="00DC6424"/>
    <w:rsid w:val="00DC6BD7"/>
    <w:rsid w:val="00DC748A"/>
    <w:rsid w:val="00DD2FD6"/>
    <w:rsid w:val="00DE4E9C"/>
    <w:rsid w:val="00DE5DF9"/>
    <w:rsid w:val="00DE6589"/>
    <w:rsid w:val="00DE7007"/>
    <w:rsid w:val="00DF3BF9"/>
    <w:rsid w:val="00E23048"/>
    <w:rsid w:val="00E23FE5"/>
    <w:rsid w:val="00E24B76"/>
    <w:rsid w:val="00E340FF"/>
    <w:rsid w:val="00E4144D"/>
    <w:rsid w:val="00E47745"/>
    <w:rsid w:val="00E53803"/>
    <w:rsid w:val="00E63598"/>
    <w:rsid w:val="00E735A5"/>
    <w:rsid w:val="00E736E6"/>
    <w:rsid w:val="00E75E72"/>
    <w:rsid w:val="00E81544"/>
    <w:rsid w:val="00E82652"/>
    <w:rsid w:val="00E826A4"/>
    <w:rsid w:val="00E94F69"/>
    <w:rsid w:val="00EA1B12"/>
    <w:rsid w:val="00EB2A8B"/>
    <w:rsid w:val="00EB337A"/>
    <w:rsid w:val="00EB763A"/>
    <w:rsid w:val="00EC225D"/>
    <w:rsid w:val="00EC5F1E"/>
    <w:rsid w:val="00EE2B56"/>
    <w:rsid w:val="00EE58FD"/>
    <w:rsid w:val="00EF5F5C"/>
    <w:rsid w:val="00F01A72"/>
    <w:rsid w:val="00F121C1"/>
    <w:rsid w:val="00F21D0C"/>
    <w:rsid w:val="00F30BD3"/>
    <w:rsid w:val="00F33F2C"/>
    <w:rsid w:val="00F4518F"/>
    <w:rsid w:val="00F45E63"/>
    <w:rsid w:val="00F5539D"/>
    <w:rsid w:val="00F55C58"/>
    <w:rsid w:val="00F81E0F"/>
    <w:rsid w:val="00F841C1"/>
    <w:rsid w:val="00FA6667"/>
    <w:rsid w:val="00FD2140"/>
    <w:rsid w:val="00FD4129"/>
    <w:rsid w:val="00FE4FF0"/>
    <w:rsid w:val="00FF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E6242"/>
  <w15:chartTrackingRefBased/>
  <w15:docId w15:val="{A5099BBB-1C14-48BB-993B-75903DB4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46"/>
  </w:style>
  <w:style w:type="paragraph" w:styleId="Footer">
    <w:name w:val="footer"/>
    <w:basedOn w:val="Normal"/>
    <w:link w:val="FooterChar"/>
    <w:uiPriority w:val="99"/>
    <w:unhideWhenUsed/>
    <w:rsid w:val="005B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46"/>
  </w:style>
  <w:style w:type="character" w:styleId="Hyperlink">
    <w:name w:val="Hyperlink"/>
    <w:uiPriority w:val="99"/>
    <w:unhideWhenUsed/>
    <w:qFormat/>
    <w:rsid w:val="009E79DC"/>
    <w:rPr>
      <w:color w:val="0563C1"/>
      <w:u w:val="single"/>
    </w:rPr>
  </w:style>
  <w:style w:type="paragraph" w:styleId="ListParagraph">
    <w:name w:val="List Paragraph"/>
    <w:basedOn w:val="Normal"/>
    <w:uiPriority w:val="34"/>
    <w:qFormat/>
    <w:rsid w:val="009E79DC"/>
    <w:pPr>
      <w:spacing w:after="0" w:line="240" w:lineRule="auto"/>
      <w:ind w:left="720"/>
      <w:contextualSpacing/>
    </w:pPr>
    <w:rPr>
      <w:rFonts w:ascii="Calibri" w:eastAsia="Calibri" w:hAnsi="Calibri" w:cs="Calibri"/>
    </w:rPr>
  </w:style>
  <w:style w:type="paragraph" w:customStyle="1" w:styleId="Default">
    <w:name w:val="Default"/>
    <w:rsid w:val="00A671E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5871"/>
    <w:rPr>
      <w:color w:val="605E5C"/>
      <w:shd w:val="clear" w:color="auto" w:fill="E1DFDD"/>
    </w:rPr>
  </w:style>
  <w:style w:type="paragraph" w:styleId="FootnoteText">
    <w:name w:val="footnote text"/>
    <w:basedOn w:val="Normal"/>
    <w:link w:val="FootnoteTextChar"/>
    <w:uiPriority w:val="99"/>
    <w:unhideWhenUsed/>
    <w:rsid w:val="00E24B76"/>
    <w:pPr>
      <w:spacing w:after="0" w:line="240" w:lineRule="auto"/>
    </w:pPr>
    <w:rPr>
      <w:sz w:val="20"/>
      <w:szCs w:val="20"/>
    </w:rPr>
  </w:style>
  <w:style w:type="character" w:customStyle="1" w:styleId="FootnoteTextChar">
    <w:name w:val="Footnote Text Char"/>
    <w:basedOn w:val="DefaultParagraphFont"/>
    <w:link w:val="FootnoteText"/>
    <w:uiPriority w:val="99"/>
    <w:rsid w:val="00E24B76"/>
    <w:rPr>
      <w:sz w:val="20"/>
      <w:szCs w:val="20"/>
    </w:rPr>
  </w:style>
  <w:style w:type="character" w:styleId="FootnoteReference">
    <w:name w:val="footnote reference"/>
    <w:aliases w:val="Footnotes refss,Texto de nota al pie,Appel note de bas de page,Footnote number,referencia nota al pie,BVI fnr,4_G,16 Point,Superscript 6 Point,Footnote Reference Char3,Footnote Reference Char1 Char,Footnote Reference Char Char Char,f1"/>
    <w:basedOn w:val="DefaultParagraphFont"/>
    <w:uiPriority w:val="99"/>
    <w:unhideWhenUsed/>
    <w:qFormat/>
    <w:rsid w:val="00E24B76"/>
    <w:rPr>
      <w:vertAlign w:val="superscript"/>
    </w:rPr>
  </w:style>
  <w:style w:type="paragraph" w:styleId="BalloonText">
    <w:name w:val="Balloon Text"/>
    <w:basedOn w:val="Normal"/>
    <w:link w:val="BalloonTextChar"/>
    <w:uiPriority w:val="99"/>
    <w:semiHidden/>
    <w:unhideWhenUsed/>
    <w:rsid w:val="00234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EBB"/>
    <w:rPr>
      <w:rFonts w:ascii="Segoe UI" w:hAnsi="Segoe UI" w:cs="Segoe UI"/>
      <w:sz w:val="18"/>
      <w:szCs w:val="18"/>
    </w:rPr>
  </w:style>
  <w:style w:type="paragraph" w:styleId="NormalWeb">
    <w:name w:val="Normal (Web)"/>
    <w:basedOn w:val="Normal"/>
    <w:uiPriority w:val="99"/>
    <w:unhideWhenUsed/>
    <w:rsid w:val="00DE4E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tarbp">
    <w:name w:val="gnt_ar_b_p"/>
    <w:basedOn w:val="Normal"/>
    <w:rsid w:val="009D22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2A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0216">
      <w:bodyDiv w:val="1"/>
      <w:marLeft w:val="0"/>
      <w:marRight w:val="0"/>
      <w:marTop w:val="0"/>
      <w:marBottom w:val="0"/>
      <w:divBdr>
        <w:top w:val="none" w:sz="0" w:space="0" w:color="auto"/>
        <w:left w:val="none" w:sz="0" w:space="0" w:color="auto"/>
        <w:bottom w:val="none" w:sz="0" w:space="0" w:color="auto"/>
        <w:right w:val="none" w:sz="0" w:space="0" w:color="auto"/>
      </w:divBdr>
    </w:div>
    <w:div w:id="148594671">
      <w:bodyDiv w:val="1"/>
      <w:marLeft w:val="0"/>
      <w:marRight w:val="0"/>
      <w:marTop w:val="0"/>
      <w:marBottom w:val="0"/>
      <w:divBdr>
        <w:top w:val="none" w:sz="0" w:space="0" w:color="auto"/>
        <w:left w:val="none" w:sz="0" w:space="0" w:color="auto"/>
        <w:bottom w:val="none" w:sz="0" w:space="0" w:color="auto"/>
        <w:right w:val="none" w:sz="0" w:space="0" w:color="auto"/>
      </w:divBdr>
    </w:div>
    <w:div w:id="198595505">
      <w:bodyDiv w:val="1"/>
      <w:marLeft w:val="0"/>
      <w:marRight w:val="0"/>
      <w:marTop w:val="0"/>
      <w:marBottom w:val="0"/>
      <w:divBdr>
        <w:top w:val="none" w:sz="0" w:space="0" w:color="auto"/>
        <w:left w:val="none" w:sz="0" w:space="0" w:color="auto"/>
        <w:bottom w:val="none" w:sz="0" w:space="0" w:color="auto"/>
        <w:right w:val="none" w:sz="0" w:space="0" w:color="auto"/>
      </w:divBdr>
    </w:div>
    <w:div w:id="404837855">
      <w:bodyDiv w:val="1"/>
      <w:marLeft w:val="0"/>
      <w:marRight w:val="0"/>
      <w:marTop w:val="0"/>
      <w:marBottom w:val="0"/>
      <w:divBdr>
        <w:top w:val="none" w:sz="0" w:space="0" w:color="auto"/>
        <w:left w:val="none" w:sz="0" w:space="0" w:color="auto"/>
        <w:bottom w:val="none" w:sz="0" w:space="0" w:color="auto"/>
        <w:right w:val="none" w:sz="0" w:space="0" w:color="auto"/>
      </w:divBdr>
    </w:div>
    <w:div w:id="477838962">
      <w:bodyDiv w:val="1"/>
      <w:marLeft w:val="0"/>
      <w:marRight w:val="0"/>
      <w:marTop w:val="0"/>
      <w:marBottom w:val="0"/>
      <w:divBdr>
        <w:top w:val="none" w:sz="0" w:space="0" w:color="auto"/>
        <w:left w:val="none" w:sz="0" w:space="0" w:color="auto"/>
        <w:bottom w:val="none" w:sz="0" w:space="0" w:color="auto"/>
        <w:right w:val="none" w:sz="0" w:space="0" w:color="auto"/>
      </w:divBdr>
    </w:div>
    <w:div w:id="565723770">
      <w:bodyDiv w:val="1"/>
      <w:marLeft w:val="0"/>
      <w:marRight w:val="0"/>
      <w:marTop w:val="0"/>
      <w:marBottom w:val="0"/>
      <w:divBdr>
        <w:top w:val="none" w:sz="0" w:space="0" w:color="auto"/>
        <w:left w:val="none" w:sz="0" w:space="0" w:color="auto"/>
        <w:bottom w:val="none" w:sz="0" w:space="0" w:color="auto"/>
        <w:right w:val="none" w:sz="0" w:space="0" w:color="auto"/>
      </w:divBdr>
    </w:div>
    <w:div w:id="598610893">
      <w:bodyDiv w:val="1"/>
      <w:marLeft w:val="0"/>
      <w:marRight w:val="0"/>
      <w:marTop w:val="0"/>
      <w:marBottom w:val="0"/>
      <w:divBdr>
        <w:top w:val="none" w:sz="0" w:space="0" w:color="auto"/>
        <w:left w:val="none" w:sz="0" w:space="0" w:color="auto"/>
        <w:bottom w:val="none" w:sz="0" w:space="0" w:color="auto"/>
        <w:right w:val="none" w:sz="0" w:space="0" w:color="auto"/>
      </w:divBdr>
    </w:div>
    <w:div w:id="609776319">
      <w:bodyDiv w:val="1"/>
      <w:marLeft w:val="0"/>
      <w:marRight w:val="0"/>
      <w:marTop w:val="0"/>
      <w:marBottom w:val="0"/>
      <w:divBdr>
        <w:top w:val="none" w:sz="0" w:space="0" w:color="auto"/>
        <w:left w:val="none" w:sz="0" w:space="0" w:color="auto"/>
        <w:bottom w:val="none" w:sz="0" w:space="0" w:color="auto"/>
        <w:right w:val="none" w:sz="0" w:space="0" w:color="auto"/>
      </w:divBdr>
    </w:div>
    <w:div w:id="671951972">
      <w:bodyDiv w:val="1"/>
      <w:marLeft w:val="0"/>
      <w:marRight w:val="0"/>
      <w:marTop w:val="0"/>
      <w:marBottom w:val="0"/>
      <w:divBdr>
        <w:top w:val="none" w:sz="0" w:space="0" w:color="auto"/>
        <w:left w:val="none" w:sz="0" w:space="0" w:color="auto"/>
        <w:bottom w:val="none" w:sz="0" w:space="0" w:color="auto"/>
        <w:right w:val="none" w:sz="0" w:space="0" w:color="auto"/>
      </w:divBdr>
    </w:div>
    <w:div w:id="749929857">
      <w:bodyDiv w:val="1"/>
      <w:marLeft w:val="0"/>
      <w:marRight w:val="0"/>
      <w:marTop w:val="0"/>
      <w:marBottom w:val="0"/>
      <w:divBdr>
        <w:top w:val="none" w:sz="0" w:space="0" w:color="auto"/>
        <w:left w:val="none" w:sz="0" w:space="0" w:color="auto"/>
        <w:bottom w:val="none" w:sz="0" w:space="0" w:color="auto"/>
        <w:right w:val="none" w:sz="0" w:space="0" w:color="auto"/>
      </w:divBdr>
      <w:divsChild>
        <w:div w:id="1875733182">
          <w:marLeft w:val="0"/>
          <w:marRight w:val="0"/>
          <w:marTop w:val="0"/>
          <w:marBottom w:val="0"/>
          <w:divBdr>
            <w:top w:val="none" w:sz="0" w:space="0" w:color="auto"/>
            <w:left w:val="none" w:sz="0" w:space="0" w:color="auto"/>
            <w:bottom w:val="none" w:sz="0" w:space="0" w:color="auto"/>
            <w:right w:val="none" w:sz="0" w:space="0" w:color="auto"/>
          </w:divBdr>
          <w:divsChild>
            <w:div w:id="496268839">
              <w:marLeft w:val="0"/>
              <w:marRight w:val="0"/>
              <w:marTop w:val="0"/>
              <w:marBottom w:val="0"/>
              <w:divBdr>
                <w:top w:val="none" w:sz="0" w:space="0" w:color="auto"/>
                <w:left w:val="none" w:sz="0" w:space="0" w:color="auto"/>
                <w:bottom w:val="none" w:sz="0" w:space="0" w:color="auto"/>
                <w:right w:val="none" w:sz="0" w:space="0" w:color="auto"/>
              </w:divBdr>
              <w:divsChild>
                <w:div w:id="6680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9846">
      <w:bodyDiv w:val="1"/>
      <w:marLeft w:val="0"/>
      <w:marRight w:val="0"/>
      <w:marTop w:val="0"/>
      <w:marBottom w:val="0"/>
      <w:divBdr>
        <w:top w:val="none" w:sz="0" w:space="0" w:color="auto"/>
        <w:left w:val="none" w:sz="0" w:space="0" w:color="auto"/>
        <w:bottom w:val="none" w:sz="0" w:space="0" w:color="auto"/>
        <w:right w:val="none" w:sz="0" w:space="0" w:color="auto"/>
      </w:divBdr>
    </w:div>
    <w:div w:id="901479194">
      <w:bodyDiv w:val="1"/>
      <w:marLeft w:val="0"/>
      <w:marRight w:val="0"/>
      <w:marTop w:val="0"/>
      <w:marBottom w:val="0"/>
      <w:divBdr>
        <w:top w:val="none" w:sz="0" w:space="0" w:color="auto"/>
        <w:left w:val="none" w:sz="0" w:space="0" w:color="auto"/>
        <w:bottom w:val="none" w:sz="0" w:space="0" w:color="auto"/>
        <w:right w:val="none" w:sz="0" w:space="0" w:color="auto"/>
      </w:divBdr>
    </w:div>
    <w:div w:id="1111507424">
      <w:bodyDiv w:val="1"/>
      <w:marLeft w:val="0"/>
      <w:marRight w:val="0"/>
      <w:marTop w:val="0"/>
      <w:marBottom w:val="0"/>
      <w:divBdr>
        <w:top w:val="none" w:sz="0" w:space="0" w:color="auto"/>
        <w:left w:val="none" w:sz="0" w:space="0" w:color="auto"/>
        <w:bottom w:val="none" w:sz="0" w:space="0" w:color="auto"/>
        <w:right w:val="none" w:sz="0" w:space="0" w:color="auto"/>
      </w:divBdr>
    </w:div>
    <w:div w:id="1172598638">
      <w:bodyDiv w:val="1"/>
      <w:marLeft w:val="0"/>
      <w:marRight w:val="0"/>
      <w:marTop w:val="0"/>
      <w:marBottom w:val="0"/>
      <w:divBdr>
        <w:top w:val="none" w:sz="0" w:space="0" w:color="auto"/>
        <w:left w:val="none" w:sz="0" w:space="0" w:color="auto"/>
        <w:bottom w:val="none" w:sz="0" w:space="0" w:color="auto"/>
        <w:right w:val="none" w:sz="0" w:space="0" w:color="auto"/>
      </w:divBdr>
    </w:div>
    <w:div w:id="1182429784">
      <w:bodyDiv w:val="1"/>
      <w:marLeft w:val="0"/>
      <w:marRight w:val="0"/>
      <w:marTop w:val="0"/>
      <w:marBottom w:val="0"/>
      <w:divBdr>
        <w:top w:val="none" w:sz="0" w:space="0" w:color="auto"/>
        <w:left w:val="none" w:sz="0" w:space="0" w:color="auto"/>
        <w:bottom w:val="none" w:sz="0" w:space="0" w:color="auto"/>
        <w:right w:val="none" w:sz="0" w:space="0" w:color="auto"/>
      </w:divBdr>
    </w:div>
    <w:div w:id="1214272142">
      <w:bodyDiv w:val="1"/>
      <w:marLeft w:val="0"/>
      <w:marRight w:val="0"/>
      <w:marTop w:val="0"/>
      <w:marBottom w:val="0"/>
      <w:divBdr>
        <w:top w:val="none" w:sz="0" w:space="0" w:color="auto"/>
        <w:left w:val="none" w:sz="0" w:space="0" w:color="auto"/>
        <w:bottom w:val="none" w:sz="0" w:space="0" w:color="auto"/>
        <w:right w:val="none" w:sz="0" w:space="0" w:color="auto"/>
      </w:divBdr>
    </w:div>
    <w:div w:id="1238636769">
      <w:bodyDiv w:val="1"/>
      <w:marLeft w:val="0"/>
      <w:marRight w:val="0"/>
      <w:marTop w:val="0"/>
      <w:marBottom w:val="0"/>
      <w:divBdr>
        <w:top w:val="none" w:sz="0" w:space="0" w:color="auto"/>
        <w:left w:val="none" w:sz="0" w:space="0" w:color="auto"/>
        <w:bottom w:val="none" w:sz="0" w:space="0" w:color="auto"/>
        <w:right w:val="none" w:sz="0" w:space="0" w:color="auto"/>
      </w:divBdr>
    </w:div>
    <w:div w:id="1245528740">
      <w:bodyDiv w:val="1"/>
      <w:marLeft w:val="0"/>
      <w:marRight w:val="0"/>
      <w:marTop w:val="0"/>
      <w:marBottom w:val="0"/>
      <w:divBdr>
        <w:top w:val="none" w:sz="0" w:space="0" w:color="auto"/>
        <w:left w:val="none" w:sz="0" w:space="0" w:color="auto"/>
        <w:bottom w:val="none" w:sz="0" w:space="0" w:color="auto"/>
        <w:right w:val="none" w:sz="0" w:space="0" w:color="auto"/>
      </w:divBdr>
    </w:div>
    <w:div w:id="1262445939">
      <w:bodyDiv w:val="1"/>
      <w:marLeft w:val="0"/>
      <w:marRight w:val="0"/>
      <w:marTop w:val="0"/>
      <w:marBottom w:val="0"/>
      <w:divBdr>
        <w:top w:val="none" w:sz="0" w:space="0" w:color="auto"/>
        <w:left w:val="none" w:sz="0" w:space="0" w:color="auto"/>
        <w:bottom w:val="none" w:sz="0" w:space="0" w:color="auto"/>
        <w:right w:val="none" w:sz="0" w:space="0" w:color="auto"/>
      </w:divBdr>
    </w:div>
    <w:div w:id="1274483096">
      <w:bodyDiv w:val="1"/>
      <w:marLeft w:val="0"/>
      <w:marRight w:val="0"/>
      <w:marTop w:val="0"/>
      <w:marBottom w:val="0"/>
      <w:divBdr>
        <w:top w:val="none" w:sz="0" w:space="0" w:color="auto"/>
        <w:left w:val="none" w:sz="0" w:space="0" w:color="auto"/>
        <w:bottom w:val="none" w:sz="0" w:space="0" w:color="auto"/>
        <w:right w:val="none" w:sz="0" w:space="0" w:color="auto"/>
      </w:divBdr>
    </w:div>
    <w:div w:id="1350528603">
      <w:bodyDiv w:val="1"/>
      <w:marLeft w:val="0"/>
      <w:marRight w:val="0"/>
      <w:marTop w:val="0"/>
      <w:marBottom w:val="0"/>
      <w:divBdr>
        <w:top w:val="none" w:sz="0" w:space="0" w:color="auto"/>
        <w:left w:val="none" w:sz="0" w:space="0" w:color="auto"/>
        <w:bottom w:val="none" w:sz="0" w:space="0" w:color="auto"/>
        <w:right w:val="none" w:sz="0" w:space="0" w:color="auto"/>
      </w:divBdr>
    </w:div>
    <w:div w:id="1389526682">
      <w:bodyDiv w:val="1"/>
      <w:marLeft w:val="0"/>
      <w:marRight w:val="0"/>
      <w:marTop w:val="0"/>
      <w:marBottom w:val="0"/>
      <w:divBdr>
        <w:top w:val="none" w:sz="0" w:space="0" w:color="auto"/>
        <w:left w:val="none" w:sz="0" w:space="0" w:color="auto"/>
        <w:bottom w:val="none" w:sz="0" w:space="0" w:color="auto"/>
        <w:right w:val="none" w:sz="0" w:space="0" w:color="auto"/>
      </w:divBdr>
      <w:divsChild>
        <w:div w:id="318775473">
          <w:marLeft w:val="1983"/>
          <w:marRight w:val="0"/>
          <w:marTop w:val="0"/>
          <w:marBottom w:val="0"/>
          <w:divBdr>
            <w:top w:val="none" w:sz="0" w:space="0" w:color="auto"/>
            <w:left w:val="none" w:sz="0" w:space="0" w:color="auto"/>
            <w:bottom w:val="none" w:sz="0" w:space="0" w:color="auto"/>
            <w:right w:val="none" w:sz="0" w:space="0" w:color="auto"/>
          </w:divBdr>
        </w:div>
        <w:div w:id="1971325803">
          <w:marLeft w:val="0"/>
          <w:marRight w:val="0"/>
          <w:marTop w:val="0"/>
          <w:marBottom w:val="0"/>
          <w:divBdr>
            <w:top w:val="none" w:sz="0" w:space="0" w:color="auto"/>
            <w:left w:val="none" w:sz="0" w:space="0" w:color="auto"/>
            <w:bottom w:val="none" w:sz="0" w:space="0" w:color="auto"/>
            <w:right w:val="none" w:sz="0" w:space="0" w:color="auto"/>
          </w:divBdr>
          <w:divsChild>
            <w:div w:id="13618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4610">
      <w:bodyDiv w:val="1"/>
      <w:marLeft w:val="0"/>
      <w:marRight w:val="0"/>
      <w:marTop w:val="0"/>
      <w:marBottom w:val="0"/>
      <w:divBdr>
        <w:top w:val="none" w:sz="0" w:space="0" w:color="auto"/>
        <w:left w:val="none" w:sz="0" w:space="0" w:color="auto"/>
        <w:bottom w:val="none" w:sz="0" w:space="0" w:color="auto"/>
        <w:right w:val="none" w:sz="0" w:space="0" w:color="auto"/>
      </w:divBdr>
    </w:div>
    <w:div w:id="1563832739">
      <w:bodyDiv w:val="1"/>
      <w:marLeft w:val="0"/>
      <w:marRight w:val="0"/>
      <w:marTop w:val="0"/>
      <w:marBottom w:val="0"/>
      <w:divBdr>
        <w:top w:val="none" w:sz="0" w:space="0" w:color="auto"/>
        <w:left w:val="none" w:sz="0" w:space="0" w:color="auto"/>
        <w:bottom w:val="none" w:sz="0" w:space="0" w:color="auto"/>
        <w:right w:val="none" w:sz="0" w:space="0" w:color="auto"/>
      </w:divBdr>
    </w:div>
    <w:div w:id="1761411463">
      <w:bodyDiv w:val="1"/>
      <w:marLeft w:val="0"/>
      <w:marRight w:val="0"/>
      <w:marTop w:val="0"/>
      <w:marBottom w:val="0"/>
      <w:divBdr>
        <w:top w:val="none" w:sz="0" w:space="0" w:color="auto"/>
        <w:left w:val="none" w:sz="0" w:space="0" w:color="auto"/>
        <w:bottom w:val="none" w:sz="0" w:space="0" w:color="auto"/>
        <w:right w:val="none" w:sz="0" w:space="0" w:color="auto"/>
      </w:divBdr>
    </w:div>
    <w:div w:id="1819760379">
      <w:bodyDiv w:val="1"/>
      <w:marLeft w:val="0"/>
      <w:marRight w:val="0"/>
      <w:marTop w:val="0"/>
      <w:marBottom w:val="0"/>
      <w:divBdr>
        <w:top w:val="none" w:sz="0" w:space="0" w:color="auto"/>
        <w:left w:val="none" w:sz="0" w:space="0" w:color="auto"/>
        <w:bottom w:val="none" w:sz="0" w:space="0" w:color="auto"/>
        <w:right w:val="none" w:sz="0" w:space="0" w:color="auto"/>
      </w:divBdr>
    </w:div>
    <w:div w:id="1863089795">
      <w:bodyDiv w:val="1"/>
      <w:marLeft w:val="0"/>
      <w:marRight w:val="0"/>
      <w:marTop w:val="0"/>
      <w:marBottom w:val="0"/>
      <w:divBdr>
        <w:top w:val="none" w:sz="0" w:space="0" w:color="auto"/>
        <w:left w:val="none" w:sz="0" w:space="0" w:color="auto"/>
        <w:bottom w:val="none" w:sz="0" w:space="0" w:color="auto"/>
        <w:right w:val="none" w:sz="0" w:space="0" w:color="auto"/>
      </w:divBdr>
      <w:divsChild>
        <w:div w:id="1322924626">
          <w:marLeft w:val="0"/>
          <w:marRight w:val="0"/>
          <w:marTop w:val="0"/>
          <w:marBottom w:val="0"/>
          <w:divBdr>
            <w:top w:val="none" w:sz="0" w:space="0" w:color="auto"/>
            <w:left w:val="none" w:sz="0" w:space="0" w:color="auto"/>
            <w:bottom w:val="none" w:sz="0" w:space="0" w:color="auto"/>
            <w:right w:val="none" w:sz="0" w:space="0" w:color="auto"/>
          </w:divBdr>
        </w:div>
      </w:divsChild>
    </w:div>
    <w:div w:id="1905412051">
      <w:bodyDiv w:val="1"/>
      <w:marLeft w:val="0"/>
      <w:marRight w:val="0"/>
      <w:marTop w:val="0"/>
      <w:marBottom w:val="0"/>
      <w:divBdr>
        <w:top w:val="none" w:sz="0" w:space="0" w:color="auto"/>
        <w:left w:val="none" w:sz="0" w:space="0" w:color="auto"/>
        <w:bottom w:val="none" w:sz="0" w:space="0" w:color="auto"/>
        <w:right w:val="none" w:sz="0" w:space="0" w:color="auto"/>
      </w:divBdr>
    </w:div>
    <w:div w:id="1966038640">
      <w:bodyDiv w:val="1"/>
      <w:marLeft w:val="0"/>
      <w:marRight w:val="0"/>
      <w:marTop w:val="0"/>
      <w:marBottom w:val="0"/>
      <w:divBdr>
        <w:top w:val="none" w:sz="0" w:space="0" w:color="auto"/>
        <w:left w:val="none" w:sz="0" w:space="0" w:color="auto"/>
        <w:bottom w:val="none" w:sz="0" w:space="0" w:color="auto"/>
        <w:right w:val="none" w:sz="0" w:space="0" w:color="auto"/>
      </w:divBdr>
    </w:div>
    <w:div w:id="1971012121">
      <w:bodyDiv w:val="1"/>
      <w:marLeft w:val="0"/>
      <w:marRight w:val="0"/>
      <w:marTop w:val="0"/>
      <w:marBottom w:val="0"/>
      <w:divBdr>
        <w:top w:val="none" w:sz="0" w:space="0" w:color="auto"/>
        <w:left w:val="none" w:sz="0" w:space="0" w:color="auto"/>
        <w:bottom w:val="none" w:sz="0" w:space="0" w:color="auto"/>
        <w:right w:val="none" w:sz="0" w:space="0" w:color="auto"/>
      </w:divBdr>
    </w:div>
    <w:div w:id="20387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ropublica.org/article/leaked-border-patrol-memo-tells-agents-to-send-migrants-back-immediately-ignoring-asylum-law" TargetMode="External"/><Relationship Id="rId3" Type="http://schemas.openxmlformats.org/officeDocument/2006/relationships/hyperlink" Target="https://usipc.ucsd.edu/publications/usipc-seeking-asylum-part-2-final.pdf" TargetMode="External"/><Relationship Id="rId7" Type="http://schemas.openxmlformats.org/officeDocument/2006/relationships/hyperlink" Target="https://www.ohchr.org/Documents/HRBodies/OPCAT/AdviceStatePartiesCoronavirusPandemic2020.pdf" TargetMode="External"/><Relationship Id="rId12" Type="http://schemas.openxmlformats.org/officeDocument/2006/relationships/hyperlink" Target="https://www.cbsnews.com/news/coronavirus-us-expels-6300-migrants-border-asylum/" TargetMode="External"/><Relationship Id="rId2" Type="http://schemas.openxmlformats.org/officeDocument/2006/relationships/hyperlink" Target="https://www.theguardian.com/world/2020/apr/17/us-asylum-seekers-coronavirus-law-un" TargetMode="External"/><Relationship Id="rId1" Type="http://schemas.openxmlformats.org/officeDocument/2006/relationships/hyperlink" Target="https://www.justsecurity.org/69640/coronavirus-border-expulsions-cdcs-assault-on-asylum-seekers-and-unaccompanied-minors/" TargetMode="External"/><Relationship Id="rId6" Type="http://schemas.openxmlformats.org/officeDocument/2006/relationships/hyperlink" Target="https://www.refworld.org/docid/5e7132834.html" TargetMode="External"/><Relationship Id="rId11" Type="http://schemas.openxmlformats.org/officeDocument/2006/relationships/hyperlink" Target="https://www.womensrefugeecommission.org/research-resources/protecting-unaccompanied-children-the-office-of-refugee-resettlement-orr-and-the-trafficking-victims-protection-reauthorization-act-tvpra/" TargetMode="External"/><Relationship Id="rId5" Type="http://schemas.openxmlformats.org/officeDocument/2006/relationships/hyperlink" Target="https://www.refworld.org/docid/3ae6b3a94.html" TargetMode="External"/><Relationship Id="rId10" Type="http://schemas.openxmlformats.org/officeDocument/2006/relationships/hyperlink" Target="https://judiciary.house.gov/uploadedfiles/3.30.2020_letter_to_dhs_re_tvpra.pdf" TargetMode="External"/><Relationship Id="rId4" Type="http://schemas.openxmlformats.org/officeDocument/2006/relationships/hyperlink" Target="https://www.refworld.org/docid/3be01b964.html" TargetMode="External"/><Relationship Id="rId9" Type="http://schemas.openxmlformats.org/officeDocument/2006/relationships/hyperlink" Target="https://www.documentcloud.org/documents/6824221-COVID-19-CAPI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134CCD3475040A13E60549CE6AD5F" ma:contentTypeVersion="5" ma:contentTypeDescription="Create a new document." ma:contentTypeScope="" ma:versionID="fbf6e420a7a316fde8b92c96bb663cee">
  <xsd:schema xmlns:xsd="http://www.w3.org/2001/XMLSchema" xmlns:xs="http://www.w3.org/2001/XMLSchema" xmlns:p="http://schemas.microsoft.com/office/2006/metadata/properties" xmlns:ns3="c8767aa7-1de3-4652-92f6-689cf77f8e16" targetNamespace="http://schemas.microsoft.com/office/2006/metadata/properties" ma:root="true" ma:fieldsID="8091a4ab0bae181bfe85fa08f30c4d4f" ns3:_="">
    <xsd:import namespace="c8767aa7-1de3-4652-92f6-689cf77f8e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67aa7-1de3-4652-92f6-689cf77f8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6111-EBFA-45F7-B3D6-FFE829D6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67aa7-1de3-4652-92f6-689cf77f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FF1DB-0DD7-48E5-8FD5-F1DCBE87B9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1C421F-69F0-43E3-BCB7-23386748EF68}">
  <ds:schemaRefs>
    <ds:schemaRef ds:uri="http://schemas.microsoft.com/sharepoint/v3/contenttype/forms"/>
  </ds:schemaRefs>
</ds:datastoreItem>
</file>

<file path=customXml/itemProps4.xml><?xml version="1.0" encoding="utf-8"?>
<ds:datastoreItem xmlns:ds="http://schemas.openxmlformats.org/officeDocument/2006/customXml" ds:itemID="{25EAA53B-87CF-4955-8661-3147E150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Charanya Krishnaswami</dc:creator>
  <cp:keywords/>
  <dc:description/>
  <cp:lastModifiedBy>Charanya Krishnaswami</cp:lastModifiedBy>
  <cp:revision>2</cp:revision>
  <cp:lastPrinted>2019-05-21T21:24:00Z</cp:lastPrinted>
  <dcterms:created xsi:type="dcterms:W3CDTF">2020-04-23T20:39:00Z</dcterms:created>
  <dcterms:modified xsi:type="dcterms:W3CDTF">2020-04-23T20:39:00Z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0x010100BA1134CCD3475040A13E60549CE6AD5F</vt:lpwstr>
  </property>
</Properties>
</file>