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8778B0" w14:textId="77777777" w:rsidR="00392BFD" w:rsidRPr="00F258C4" w:rsidRDefault="00392BFD" w:rsidP="00F258C4">
      <w:pPr>
        <w:spacing w:after="0" w:line="240" w:lineRule="auto"/>
        <w:rPr>
          <w:b/>
          <w:sz w:val="36"/>
          <w:szCs w:val="36"/>
        </w:rPr>
      </w:pPr>
      <w:r>
        <w:rPr>
          <w:b/>
          <w:sz w:val="36"/>
          <w:szCs w:val="36"/>
        </w:rPr>
        <w:t>AMNISTÍA INTERNACIONAL</w:t>
      </w:r>
    </w:p>
    <w:p w14:paraId="71794E3C" w14:textId="77777777" w:rsidR="00F258C4" w:rsidRPr="00F258C4" w:rsidRDefault="00392BFD" w:rsidP="00392BFD">
      <w:pPr>
        <w:rPr>
          <w:b/>
          <w:sz w:val="36"/>
          <w:szCs w:val="36"/>
        </w:rPr>
      </w:pPr>
      <w:r>
        <w:rPr>
          <w:b/>
          <w:sz w:val="36"/>
          <w:szCs w:val="36"/>
        </w:rPr>
        <w:t>DATOS Y CIFRAS</w:t>
      </w:r>
    </w:p>
    <w:p w14:paraId="542DD5F9" w14:textId="55BB4AEF" w:rsidR="00392BFD" w:rsidRPr="00F258C4" w:rsidRDefault="00392BFD" w:rsidP="00392BFD">
      <w:pPr>
        <w:rPr>
          <w:b/>
          <w:sz w:val="24"/>
        </w:rPr>
      </w:pPr>
      <w:r>
        <w:rPr>
          <w:b/>
          <w:color w:val="FF0000"/>
          <w:sz w:val="24"/>
        </w:rPr>
        <w:t>Embargado hasta las 00:01 h., hora local de Ciudad de México (6:01 horas GMT) del 27 de febrero de 2020</w:t>
      </w:r>
    </w:p>
    <w:p w14:paraId="7D7689B8" w14:textId="280C194C" w:rsidR="00392BFD" w:rsidRPr="00F258C4" w:rsidRDefault="00392BFD" w:rsidP="00392BFD">
      <w:pPr>
        <w:rPr>
          <w:b/>
          <w:sz w:val="20"/>
          <w:szCs w:val="20"/>
        </w:rPr>
      </w:pPr>
      <w:r>
        <w:rPr>
          <w:b/>
          <w:sz w:val="28"/>
          <w:szCs w:val="28"/>
        </w:rPr>
        <w:t>Los derechos humanos en las Américas en 2019</w:t>
      </w:r>
    </w:p>
    <w:p w14:paraId="67185D03" w14:textId="7CF0681E" w:rsidR="00607A68" w:rsidRPr="00F258C4" w:rsidRDefault="007C26BF" w:rsidP="005E5C52">
      <w:pPr>
        <w:pStyle w:val="ListParagraph"/>
        <w:numPr>
          <w:ilvl w:val="0"/>
          <w:numId w:val="43"/>
        </w:numPr>
        <w:ind w:left="360"/>
        <w:rPr>
          <w:sz w:val="20"/>
          <w:szCs w:val="20"/>
        </w:rPr>
      </w:pPr>
      <w:bookmarkStart w:id="0" w:name="_Hlk31986447"/>
      <w:r>
        <w:rPr>
          <w:sz w:val="20"/>
          <w:szCs w:val="20"/>
        </w:rPr>
        <w:t>Al menos 210</w:t>
      </w:r>
      <w:r w:rsidR="00607A68">
        <w:rPr>
          <w:sz w:val="20"/>
          <w:szCs w:val="20"/>
        </w:rPr>
        <w:t xml:space="preserve"> personas murieron violentamente en el contexto de protestas en las Américas</w:t>
      </w:r>
      <w:bookmarkStart w:id="1" w:name="_Hlk31719473"/>
      <w:bookmarkEnd w:id="1"/>
      <w:r w:rsidR="00607A68">
        <w:rPr>
          <w:sz w:val="20"/>
          <w:szCs w:val="20"/>
        </w:rPr>
        <w:t xml:space="preserve">: </w:t>
      </w:r>
      <w:bookmarkStart w:id="2" w:name="_Hlk31986136"/>
      <w:r w:rsidR="00607A68">
        <w:rPr>
          <w:sz w:val="20"/>
          <w:szCs w:val="20"/>
        </w:rPr>
        <w:t>83 en Haití, 47</w:t>
      </w:r>
      <w:r w:rsidR="00AE29B2">
        <w:rPr>
          <w:sz w:val="20"/>
          <w:szCs w:val="20"/>
        </w:rPr>
        <w:t xml:space="preserve"> en Venezuela, 35 en Bolivia, </w:t>
      </w:r>
      <w:r>
        <w:rPr>
          <w:sz w:val="20"/>
          <w:szCs w:val="20"/>
        </w:rPr>
        <w:t>31</w:t>
      </w:r>
      <w:bookmarkStart w:id="3" w:name="_GoBack"/>
      <w:bookmarkEnd w:id="3"/>
      <w:r w:rsidR="00607A68">
        <w:rPr>
          <w:sz w:val="20"/>
          <w:szCs w:val="20"/>
        </w:rPr>
        <w:t xml:space="preserve"> en Chile, ocho en Ecuador y seis en Honduras</w:t>
      </w:r>
      <w:bookmarkEnd w:id="2"/>
      <w:r w:rsidR="00607A68">
        <w:rPr>
          <w:sz w:val="20"/>
          <w:szCs w:val="20"/>
        </w:rPr>
        <w:t>. (Amnistía Internacional)</w:t>
      </w:r>
    </w:p>
    <w:p w14:paraId="54F151FF" w14:textId="77777777" w:rsidR="00802B84" w:rsidRPr="00AE29B2" w:rsidRDefault="00802B84" w:rsidP="005E5C52">
      <w:pPr>
        <w:pStyle w:val="ListParagraph"/>
        <w:ind w:left="360"/>
        <w:rPr>
          <w:sz w:val="20"/>
          <w:szCs w:val="20"/>
          <w:lang w:val="es-MX"/>
        </w:rPr>
      </w:pPr>
    </w:p>
    <w:p w14:paraId="7176F25A" w14:textId="77777777" w:rsidR="00802B84" w:rsidRPr="00F258C4" w:rsidRDefault="00802B84" w:rsidP="005E5C52">
      <w:pPr>
        <w:pStyle w:val="ListParagraph"/>
        <w:numPr>
          <w:ilvl w:val="0"/>
          <w:numId w:val="43"/>
        </w:numPr>
        <w:ind w:left="360"/>
        <w:rPr>
          <w:sz w:val="20"/>
          <w:szCs w:val="20"/>
        </w:rPr>
      </w:pPr>
      <w:r>
        <w:rPr>
          <w:sz w:val="20"/>
          <w:szCs w:val="20"/>
        </w:rPr>
        <w:t>Con 208 homicidios, Latinoamérica y el Caribe fue la región más mortífera del mundo para quienes defendían los derechos humanos; allí tuvieron lugar un 68% del total mundial de 304 homicidios. Colombia fue el país más letal para los defensores y defensoras de los derechos humanos, con 106 homicidios. (</w:t>
      </w:r>
      <w:hyperlink r:id="rId11">
        <w:r>
          <w:rPr>
            <w:rStyle w:val="Hyperlink"/>
            <w:sz w:val="20"/>
            <w:szCs w:val="20"/>
          </w:rPr>
          <w:t>Front Line Defenders</w:t>
        </w:r>
      </w:hyperlink>
      <w:r>
        <w:rPr>
          <w:sz w:val="20"/>
          <w:szCs w:val="20"/>
        </w:rPr>
        <w:t>)</w:t>
      </w:r>
    </w:p>
    <w:bookmarkEnd w:id="0"/>
    <w:p w14:paraId="585C46E3" w14:textId="77777777" w:rsidR="00607A68" w:rsidRPr="00F258C4" w:rsidRDefault="00607A68" w:rsidP="005E5C52">
      <w:pPr>
        <w:pStyle w:val="ListParagraph"/>
        <w:ind w:left="360"/>
        <w:rPr>
          <w:sz w:val="20"/>
          <w:szCs w:val="20"/>
          <w:lang w:val="en-US"/>
        </w:rPr>
      </w:pPr>
    </w:p>
    <w:p w14:paraId="2A2975B8" w14:textId="77777777" w:rsidR="00F258C4" w:rsidRPr="00F258C4" w:rsidRDefault="000B4A8C" w:rsidP="005E5C52">
      <w:pPr>
        <w:pStyle w:val="ListParagraph"/>
        <w:numPr>
          <w:ilvl w:val="0"/>
          <w:numId w:val="43"/>
        </w:numPr>
        <w:ind w:left="360"/>
        <w:rPr>
          <w:rFonts w:eastAsia="Amnesty Trade Gothic Light" w:cs="Amnesty Trade Gothic Light"/>
          <w:sz w:val="20"/>
          <w:szCs w:val="20"/>
        </w:rPr>
      </w:pPr>
      <w:r>
        <w:t xml:space="preserve">Según </w:t>
      </w:r>
      <w:hyperlink r:id="rId12">
        <w:r>
          <w:rPr>
            <w:rStyle w:val="Hyperlink"/>
            <w:sz w:val="20"/>
            <w:szCs w:val="20"/>
          </w:rPr>
          <w:t>Insight Crime</w:t>
        </w:r>
      </w:hyperlink>
      <w:r>
        <w:rPr>
          <w:sz w:val="20"/>
          <w:szCs w:val="20"/>
        </w:rPr>
        <w:t>, Venezuela fue el país más violento de Latinoamérica y el Caribe (con una tasa de homicidio de 60,3 por cada 100.000 habitantes), seguido de Jamaica (47,4) y Honduras (41,2). Chile (2,6) fue el menos violento, seguido de Argentina (5).</w:t>
      </w:r>
    </w:p>
    <w:p w14:paraId="1EF78D89" w14:textId="06313E23" w:rsidR="002B4871" w:rsidRPr="00F258C4" w:rsidRDefault="002B4871" w:rsidP="005E5C52">
      <w:pPr>
        <w:pStyle w:val="ListParagraph"/>
        <w:ind w:left="360"/>
        <w:rPr>
          <w:rFonts w:eastAsia="Amnesty Trade Gothic Light" w:cs="Amnesty Trade Gothic Light"/>
          <w:sz w:val="20"/>
          <w:szCs w:val="20"/>
          <w:lang w:val="en-US"/>
        </w:rPr>
      </w:pPr>
    </w:p>
    <w:p w14:paraId="77BA97F1" w14:textId="42FFE016" w:rsidR="00001A6D" w:rsidRPr="00F258C4" w:rsidRDefault="000B4A8C" w:rsidP="005E5C52">
      <w:pPr>
        <w:pStyle w:val="ListParagraph"/>
        <w:numPr>
          <w:ilvl w:val="0"/>
          <w:numId w:val="41"/>
        </w:numPr>
        <w:ind w:left="360"/>
        <w:rPr>
          <w:sz w:val="20"/>
          <w:szCs w:val="20"/>
        </w:rPr>
      </w:pPr>
      <w:r>
        <w:rPr>
          <w:sz w:val="20"/>
          <w:szCs w:val="20"/>
        </w:rPr>
        <w:t>México tuvo el año más violento de su historia moderna en lo que se refiere al número de homicidios registrados: 35.558 en 2019. (</w:t>
      </w:r>
      <w:hyperlink r:id="rId13">
        <w:r>
          <w:rPr>
            <w:rStyle w:val="Hyperlink"/>
            <w:sz w:val="20"/>
            <w:szCs w:val="20"/>
          </w:rPr>
          <w:t>SESNSP</w:t>
        </w:r>
      </w:hyperlink>
      <w:r>
        <w:rPr>
          <w:sz w:val="20"/>
          <w:szCs w:val="20"/>
        </w:rPr>
        <w:t>)</w:t>
      </w:r>
    </w:p>
    <w:p w14:paraId="0650AB8F" w14:textId="77777777" w:rsidR="00001A6D" w:rsidRPr="00F258C4" w:rsidRDefault="00001A6D" w:rsidP="005E5C52">
      <w:pPr>
        <w:pStyle w:val="ListParagraph"/>
        <w:ind w:left="360"/>
        <w:rPr>
          <w:rFonts w:eastAsia="Amnesty Trade Gothic Light" w:cs="Amnesty Trade Gothic Light"/>
          <w:sz w:val="20"/>
          <w:szCs w:val="20"/>
          <w:lang w:val="en-US"/>
        </w:rPr>
      </w:pPr>
    </w:p>
    <w:p w14:paraId="27EF2D38" w14:textId="03F1EDD7" w:rsidR="00001A6D" w:rsidRPr="00F258C4" w:rsidRDefault="00A20357" w:rsidP="005E5C52">
      <w:pPr>
        <w:pStyle w:val="ListParagraph"/>
        <w:numPr>
          <w:ilvl w:val="0"/>
          <w:numId w:val="41"/>
        </w:numPr>
        <w:ind w:left="360"/>
        <w:rPr>
          <w:sz w:val="20"/>
          <w:szCs w:val="20"/>
        </w:rPr>
      </w:pPr>
      <w:r>
        <w:rPr>
          <w:sz w:val="20"/>
          <w:szCs w:val="20"/>
        </w:rPr>
        <w:t>México fue el país más mortífero de la región para los periodistas, con al menos 10 homicidios en 2019. (</w:t>
      </w:r>
      <w:hyperlink r:id="rId14"/>
      <w:r>
        <w:rPr>
          <w:rStyle w:val="Hyperlink"/>
          <w:sz w:val="20"/>
          <w:szCs w:val="20"/>
        </w:rPr>
        <w:t>Committee to Protect Journalists</w:t>
      </w:r>
      <w:r>
        <w:rPr>
          <w:sz w:val="20"/>
          <w:szCs w:val="20"/>
        </w:rPr>
        <w:t>)</w:t>
      </w:r>
    </w:p>
    <w:p w14:paraId="1DA6746B" w14:textId="77777777" w:rsidR="00001A6D" w:rsidRPr="00F258C4" w:rsidRDefault="00001A6D" w:rsidP="005E5C52">
      <w:pPr>
        <w:pStyle w:val="ListParagraph"/>
        <w:ind w:left="360"/>
        <w:rPr>
          <w:rFonts w:eastAsia="Amnesty Trade Gothic Light" w:cs="Amnesty Trade Gothic Light"/>
          <w:sz w:val="20"/>
          <w:szCs w:val="20"/>
        </w:rPr>
      </w:pPr>
    </w:p>
    <w:p w14:paraId="789B71F4" w14:textId="77777777" w:rsidR="00F258C4" w:rsidRPr="00F258C4" w:rsidRDefault="000B4A8C" w:rsidP="005E5C52">
      <w:pPr>
        <w:pStyle w:val="ListParagraph"/>
        <w:numPr>
          <w:ilvl w:val="0"/>
          <w:numId w:val="41"/>
        </w:numPr>
        <w:ind w:left="360"/>
        <w:rPr>
          <w:rFonts w:eastAsia="Amnesty Trade Gothic Light" w:cs="Amnesty Trade Gothic Light"/>
          <w:sz w:val="20"/>
          <w:szCs w:val="20"/>
        </w:rPr>
      </w:pPr>
      <w:r>
        <w:rPr>
          <w:sz w:val="20"/>
          <w:szCs w:val="20"/>
        </w:rPr>
        <w:t>Estados Unidos tuvo los índices tanto absolutos como per cápita de posesión de armas más altos del mundo. (</w:t>
      </w:r>
      <w:hyperlink r:id="rId15">
        <w:r>
          <w:rPr>
            <w:rStyle w:val="Hyperlink"/>
            <w:sz w:val="20"/>
            <w:szCs w:val="20"/>
          </w:rPr>
          <w:t>Amnistía Internacional</w:t>
        </w:r>
      </w:hyperlink>
      <w:r>
        <w:rPr>
          <w:sz w:val="20"/>
          <w:szCs w:val="20"/>
        </w:rPr>
        <w:t>)</w:t>
      </w:r>
    </w:p>
    <w:p w14:paraId="30375624" w14:textId="1395E5BE" w:rsidR="005E5C52" w:rsidRPr="00F258C4" w:rsidRDefault="005E5C52" w:rsidP="005E5C52">
      <w:pPr>
        <w:pStyle w:val="ListParagraph"/>
        <w:ind w:left="360"/>
        <w:rPr>
          <w:sz w:val="20"/>
          <w:szCs w:val="20"/>
          <w:lang w:val="en-US"/>
        </w:rPr>
      </w:pPr>
    </w:p>
    <w:p w14:paraId="27893E74" w14:textId="7A812D2F" w:rsidR="008D746D" w:rsidRPr="00F258C4" w:rsidRDefault="000B4A8C" w:rsidP="005E5C52">
      <w:pPr>
        <w:pStyle w:val="ListParagraph"/>
        <w:numPr>
          <w:ilvl w:val="0"/>
          <w:numId w:val="41"/>
        </w:numPr>
        <w:ind w:left="360"/>
        <w:rPr>
          <w:rFonts w:eastAsia="Amnesty Trade Gothic Light" w:cs="Amnesty Trade Gothic Light"/>
          <w:sz w:val="20"/>
          <w:szCs w:val="20"/>
        </w:rPr>
      </w:pPr>
      <w:r>
        <w:rPr>
          <w:sz w:val="20"/>
          <w:szCs w:val="20"/>
        </w:rPr>
        <w:t xml:space="preserve">Canadá fue el país menos corrupto de las Américas (clasificado el número 12 del mundo según el </w:t>
      </w:r>
      <w:hyperlink r:id="rId16">
        <w:r>
          <w:rPr>
            <w:rStyle w:val="Hyperlink"/>
            <w:sz w:val="20"/>
            <w:szCs w:val="20"/>
          </w:rPr>
          <w:t>Índice de Percepción de la Corrupción</w:t>
        </w:r>
      </w:hyperlink>
      <w:r>
        <w:rPr>
          <w:sz w:val="20"/>
          <w:szCs w:val="20"/>
        </w:rPr>
        <w:t xml:space="preserve"> elaborado por Transparencia Internacional), seguido por Uruguay (21) y Estados Unidos (23). Venezuela (173) fue el más corrupto de la región, seguido de Haití (168).</w:t>
      </w:r>
    </w:p>
    <w:p w14:paraId="07EC747B" w14:textId="77777777" w:rsidR="005E5C52" w:rsidRPr="00AE29B2" w:rsidRDefault="005E5C52" w:rsidP="005E5C52">
      <w:pPr>
        <w:pStyle w:val="ListParagraph"/>
        <w:rPr>
          <w:rFonts w:eastAsia="Amnesty Trade Gothic Light" w:cs="Amnesty Trade Gothic Light"/>
          <w:sz w:val="20"/>
          <w:szCs w:val="20"/>
          <w:lang w:val="es-MX"/>
        </w:rPr>
      </w:pPr>
    </w:p>
    <w:p w14:paraId="3E8603F8" w14:textId="77777777" w:rsidR="005E5C52" w:rsidRPr="00F258C4" w:rsidRDefault="005E5C52" w:rsidP="005E5C52">
      <w:pPr>
        <w:pStyle w:val="ListParagraph"/>
        <w:numPr>
          <w:ilvl w:val="0"/>
          <w:numId w:val="45"/>
        </w:numPr>
        <w:ind w:left="360"/>
        <w:rPr>
          <w:rFonts w:eastAsia="Amnesty Trade Gothic Light" w:cs="Amnesty Trade Gothic Light"/>
          <w:sz w:val="20"/>
          <w:szCs w:val="20"/>
        </w:rPr>
      </w:pPr>
      <w:r>
        <w:rPr>
          <w:sz w:val="20"/>
          <w:szCs w:val="20"/>
        </w:rPr>
        <w:t>El 30,8% de la población de Latinoamérica vivía por debajo del umbral de pobreza en 2019, con un 11,5% en situación de pobreza extrema. (</w:t>
      </w:r>
      <w:hyperlink r:id="rId17" w:history="1">
        <w:r>
          <w:rPr>
            <w:rStyle w:val="Hyperlink"/>
            <w:sz w:val="20"/>
            <w:szCs w:val="20"/>
          </w:rPr>
          <w:t>CEPAL</w:t>
        </w:r>
      </w:hyperlink>
      <w:r>
        <w:rPr>
          <w:sz w:val="20"/>
          <w:szCs w:val="20"/>
        </w:rPr>
        <w:t>)</w:t>
      </w:r>
    </w:p>
    <w:p w14:paraId="36531F81" w14:textId="77777777" w:rsidR="005E5C52" w:rsidRPr="00F258C4" w:rsidRDefault="005E5C52" w:rsidP="005E5C52">
      <w:pPr>
        <w:pStyle w:val="ListParagraph"/>
        <w:ind w:left="360"/>
        <w:rPr>
          <w:rFonts w:eastAsia="Amnesty Trade Gothic Light" w:cs="Amnesty Trade Gothic Light"/>
          <w:sz w:val="20"/>
          <w:szCs w:val="20"/>
          <w:lang w:val="en-US"/>
        </w:rPr>
      </w:pPr>
    </w:p>
    <w:p w14:paraId="2DEC6C9C" w14:textId="77777777" w:rsidR="005E5C52" w:rsidRPr="00F258C4" w:rsidRDefault="005E5C52" w:rsidP="005E5C52">
      <w:pPr>
        <w:pStyle w:val="ListParagraph"/>
        <w:numPr>
          <w:ilvl w:val="0"/>
          <w:numId w:val="45"/>
        </w:numPr>
        <w:ind w:left="360"/>
        <w:rPr>
          <w:rFonts w:eastAsia="Amnesty Trade Gothic Light" w:cs="Amnesty Trade Gothic Light"/>
          <w:sz w:val="20"/>
          <w:szCs w:val="20"/>
        </w:rPr>
      </w:pPr>
      <w:r>
        <w:rPr>
          <w:sz w:val="20"/>
          <w:szCs w:val="20"/>
        </w:rPr>
        <w:t>El crecimiento económico en Latinoamérica y el Caribe en 2019 fue casi inexistente: un 0.1%. (</w:t>
      </w:r>
      <w:hyperlink r:id="rId18" w:history="1">
        <w:r>
          <w:rPr>
            <w:rStyle w:val="Hyperlink"/>
            <w:sz w:val="20"/>
            <w:szCs w:val="20"/>
          </w:rPr>
          <w:t>CEPAL</w:t>
        </w:r>
      </w:hyperlink>
      <w:r>
        <w:t>)</w:t>
      </w:r>
    </w:p>
    <w:p w14:paraId="79818D28" w14:textId="7A11431F" w:rsidR="00802B84" w:rsidRPr="00F258C4" w:rsidRDefault="00802B84" w:rsidP="005E5C52">
      <w:pPr>
        <w:pStyle w:val="ListParagraph"/>
        <w:ind w:left="360"/>
        <w:rPr>
          <w:rFonts w:eastAsia="Amnesty Trade Gothic Light" w:cs="Amnesty Trade Gothic Light"/>
          <w:sz w:val="20"/>
          <w:szCs w:val="20"/>
        </w:rPr>
      </w:pPr>
    </w:p>
    <w:p w14:paraId="573DA1F8" w14:textId="277E9AC5" w:rsidR="00802B84" w:rsidRPr="00F258C4" w:rsidRDefault="00AC1459" w:rsidP="005E5C52">
      <w:pPr>
        <w:pStyle w:val="ListParagraph"/>
        <w:numPr>
          <w:ilvl w:val="0"/>
          <w:numId w:val="41"/>
        </w:numPr>
        <w:ind w:left="360"/>
        <w:rPr>
          <w:sz w:val="20"/>
          <w:szCs w:val="20"/>
        </w:rPr>
      </w:pPr>
      <w:r>
        <w:rPr>
          <w:sz w:val="20"/>
          <w:szCs w:val="20"/>
        </w:rPr>
        <w:t>Casi 4,8 millones de venezolanos y venezolanas han abandonado el país, la mayoría desde 2015, en lo que constituye ya la segunda crisis de refugiados más grave del mundo, después de Siria. (</w:t>
      </w:r>
      <w:hyperlink r:id="rId19">
        <w:r>
          <w:rPr>
            <w:rStyle w:val="Hyperlink"/>
            <w:sz w:val="20"/>
            <w:szCs w:val="20"/>
          </w:rPr>
          <w:t>ACNUR</w:t>
        </w:r>
      </w:hyperlink>
      <w:r>
        <w:rPr>
          <w:sz w:val="20"/>
          <w:szCs w:val="20"/>
        </w:rPr>
        <w:t>)</w:t>
      </w:r>
    </w:p>
    <w:p w14:paraId="59C77BB4" w14:textId="77777777" w:rsidR="00AC1459" w:rsidRPr="00F258C4" w:rsidRDefault="00AC1459" w:rsidP="005E5C52">
      <w:pPr>
        <w:pStyle w:val="ListParagraph"/>
        <w:spacing w:after="160" w:line="259" w:lineRule="auto"/>
        <w:ind w:left="360"/>
        <w:rPr>
          <w:color w:val="000000" w:themeColor="text1"/>
          <w:sz w:val="20"/>
          <w:szCs w:val="20"/>
          <w:lang w:val="en-US"/>
        </w:rPr>
      </w:pPr>
    </w:p>
    <w:p w14:paraId="40E2A173" w14:textId="21E7E9C9" w:rsidR="00AC1459" w:rsidRPr="00F258C4" w:rsidRDefault="00AC1459" w:rsidP="005E5C52">
      <w:pPr>
        <w:pStyle w:val="ListParagraph"/>
        <w:numPr>
          <w:ilvl w:val="0"/>
          <w:numId w:val="41"/>
        </w:numPr>
        <w:spacing w:after="160" w:line="259" w:lineRule="auto"/>
        <w:ind w:left="360"/>
        <w:rPr>
          <w:color w:val="000000" w:themeColor="text1"/>
          <w:sz w:val="20"/>
          <w:szCs w:val="20"/>
        </w:rPr>
      </w:pPr>
      <w:r>
        <w:rPr>
          <w:sz w:val="20"/>
          <w:szCs w:val="20"/>
        </w:rPr>
        <w:t>Durante 2019, las autoridades estadounidenses obligaron a más de 59.000 solicitantes de asilo a regresar a México y permanecer allí mientras se examinaban sus solicitudes, un proceso que puede durar meses o años. (</w:t>
      </w:r>
      <w:hyperlink r:id="rId20" w:history="1">
        <w:r>
          <w:rPr>
            <w:rStyle w:val="Hyperlink"/>
            <w:sz w:val="20"/>
            <w:szCs w:val="20"/>
          </w:rPr>
          <w:t>TRAC Immigration</w:t>
        </w:r>
      </w:hyperlink>
      <w:r>
        <w:rPr>
          <w:sz w:val="20"/>
          <w:szCs w:val="20"/>
        </w:rPr>
        <w:t>)</w:t>
      </w:r>
    </w:p>
    <w:p w14:paraId="5775F915" w14:textId="77777777" w:rsidR="00AC1459" w:rsidRPr="00F258C4" w:rsidRDefault="00AC1459" w:rsidP="005E5C52">
      <w:pPr>
        <w:pStyle w:val="ListParagraph"/>
        <w:spacing w:after="160" w:line="259" w:lineRule="auto"/>
        <w:ind w:left="360"/>
        <w:rPr>
          <w:sz w:val="20"/>
          <w:szCs w:val="20"/>
        </w:rPr>
      </w:pPr>
    </w:p>
    <w:p w14:paraId="787C9A48" w14:textId="3F4F08AD" w:rsidR="00335BA1" w:rsidRPr="00F258C4" w:rsidRDefault="00A549D7" w:rsidP="00C01F18">
      <w:pPr>
        <w:pStyle w:val="ListParagraph"/>
        <w:numPr>
          <w:ilvl w:val="0"/>
          <w:numId w:val="46"/>
        </w:numPr>
        <w:spacing w:after="160" w:line="259" w:lineRule="auto"/>
        <w:ind w:left="360"/>
        <w:rPr>
          <w:rFonts w:eastAsia="Amnesty Trade Gothic Light" w:cs="Amnesty Trade Gothic Light"/>
          <w:sz w:val="20"/>
          <w:szCs w:val="20"/>
        </w:rPr>
      </w:pPr>
      <w:r>
        <w:rPr>
          <w:sz w:val="20"/>
          <w:szCs w:val="20"/>
        </w:rPr>
        <w:t>Las autoridades de migración mexicanas detuvieron a 186.750 migrantes en situación irregular y deportaron a 123.239. De los deportados, el 98% procedía de Centroamérica, y casi la mitad de Honduras. (</w:t>
      </w:r>
      <w:hyperlink r:id="rId21" w:history="1">
        <w:r>
          <w:rPr>
            <w:rStyle w:val="Hyperlink"/>
            <w:sz w:val="20"/>
            <w:szCs w:val="20"/>
          </w:rPr>
          <w:t>SEGOB</w:t>
        </w:r>
      </w:hyperlink>
      <w:r>
        <w:rPr>
          <w:sz w:val="20"/>
          <w:szCs w:val="20"/>
        </w:rPr>
        <w:t>)</w:t>
      </w:r>
    </w:p>
    <w:p w14:paraId="3A59731A" w14:textId="77777777" w:rsidR="00C01F18" w:rsidRPr="00F258C4" w:rsidRDefault="00C01F18" w:rsidP="00C01F18">
      <w:pPr>
        <w:pStyle w:val="ListParagraph"/>
        <w:spacing w:after="160" w:line="259" w:lineRule="auto"/>
        <w:rPr>
          <w:rFonts w:eastAsia="Amnesty Trade Gothic Light" w:cs="Amnesty Trade Gothic Light"/>
          <w:sz w:val="20"/>
          <w:szCs w:val="20"/>
          <w:lang w:val="en-US"/>
        </w:rPr>
      </w:pPr>
    </w:p>
    <w:p w14:paraId="5A2CA218" w14:textId="77777777" w:rsidR="00C01F18" w:rsidRPr="00F258C4" w:rsidRDefault="00C01F18" w:rsidP="00C01F18">
      <w:pPr>
        <w:pStyle w:val="ListParagraph"/>
        <w:numPr>
          <w:ilvl w:val="0"/>
          <w:numId w:val="49"/>
        </w:numPr>
        <w:spacing w:after="160" w:line="259" w:lineRule="auto"/>
        <w:rPr>
          <w:rFonts w:eastAsia="Amnesty Trade Gothic Light" w:cs="Amnesty Trade Gothic Light"/>
          <w:sz w:val="20"/>
          <w:szCs w:val="20"/>
        </w:rPr>
      </w:pPr>
      <w:r>
        <w:rPr>
          <w:sz w:val="20"/>
          <w:szCs w:val="20"/>
        </w:rPr>
        <w:t>Las autoridades mexicanas mantuvieron recluidos a más de 51.999 menores en centros para inmigrantes, lo cual es contrario a la legislación de México. (</w:t>
      </w:r>
      <w:hyperlink r:id="rId22" w:history="1">
        <w:r>
          <w:rPr>
            <w:rStyle w:val="Hyperlink"/>
            <w:sz w:val="20"/>
            <w:szCs w:val="20"/>
          </w:rPr>
          <w:t>SEGOB</w:t>
        </w:r>
      </w:hyperlink>
      <w:r>
        <w:rPr>
          <w:sz w:val="20"/>
          <w:szCs w:val="20"/>
        </w:rPr>
        <w:t>)</w:t>
      </w:r>
    </w:p>
    <w:p w14:paraId="28B7DFBC" w14:textId="310EFEA6" w:rsidR="005E5C52" w:rsidRPr="00F258C4" w:rsidRDefault="005E5C52" w:rsidP="005E5C52">
      <w:pPr>
        <w:pStyle w:val="ListParagraph"/>
        <w:spacing w:after="160" w:line="259" w:lineRule="auto"/>
        <w:ind w:left="360"/>
        <w:rPr>
          <w:rFonts w:eastAsia="Amnesty Trade Gothic Light" w:cs="Amnesty Trade Gothic Light"/>
          <w:sz w:val="20"/>
          <w:szCs w:val="20"/>
          <w:lang w:val="en-US"/>
        </w:rPr>
      </w:pPr>
    </w:p>
    <w:p w14:paraId="0AD10041" w14:textId="2A2A1F38" w:rsidR="005E5C52" w:rsidRPr="00F258C4" w:rsidRDefault="005E5C52" w:rsidP="005E5C52">
      <w:pPr>
        <w:pStyle w:val="ListParagraph"/>
        <w:numPr>
          <w:ilvl w:val="0"/>
          <w:numId w:val="41"/>
        </w:numPr>
        <w:ind w:left="360"/>
        <w:rPr>
          <w:sz w:val="20"/>
          <w:szCs w:val="20"/>
        </w:rPr>
      </w:pPr>
      <w:r>
        <w:rPr>
          <w:sz w:val="20"/>
          <w:szCs w:val="20"/>
        </w:rPr>
        <w:t>La Amazonía brasileña sufrió 89.178 incendios forestales en 2019, un incremento del 30% respecto a 2018. (Instituto Nacional de Investigación Espacial – INPE)</w:t>
      </w:r>
    </w:p>
    <w:p w14:paraId="0F038386" w14:textId="77777777" w:rsidR="005E5C52" w:rsidRPr="00F258C4" w:rsidRDefault="005E5C52" w:rsidP="005E5C52">
      <w:pPr>
        <w:pStyle w:val="ListParagraph"/>
        <w:ind w:left="360"/>
        <w:rPr>
          <w:sz w:val="20"/>
          <w:szCs w:val="20"/>
        </w:rPr>
      </w:pPr>
    </w:p>
    <w:p w14:paraId="14D97137" w14:textId="77777777" w:rsidR="005E5C52" w:rsidRPr="00F258C4" w:rsidRDefault="005E5C52" w:rsidP="005E5C52">
      <w:pPr>
        <w:pStyle w:val="ListParagraph"/>
        <w:numPr>
          <w:ilvl w:val="0"/>
          <w:numId w:val="41"/>
        </w:numPr>
        <w:ind w:left="360"/>
        <w:rPr>
          <w:sz w:val="20"/>
          <w:szCs w:val="20"/>
        </w:rPr>
      </w:pPr>
      <w:r>
        <w:rPr>
          <w:sz w:val="20"/>
          <w:szCs w:val="20"/>
        </w:rPr>
        <w:t>La deforestación en la Amazonía brasileña ascendió a 9.762 km² desde agosto de 2018 hasta julio de 2019, frente al 29,54% del índice de deforestación de 2018, que fue de 7.536 km². (INPE)</w:t>
      </w:r>
    </w:p>
    <w:p w14:paraId="74D91408" w14:textId="77777777" w:rsidR="005E5C52" w:rsidRPr="00F258C4" w:rsidRDefault="005E5C52" w:rsidP="005E5C52">
      <w:pPr>
        <w:pStyle w:val="ListParagraph"/>
        <w:ind w:left="360"/>
        <w:rPr>
          <w:rFonts w:eastAsia="Amnesty Trade Gothic Light" w:cs="Amnesty Trade Gothic Light"/>
          <w:sz w:val="20"/>
          <w:szCs w:val="20"/>
          <w:lang w:val="en-US"/>
        </w:rPr>
      </w:pPr>
    </w:p>
    <w:p w14:paraId="46E27AEE" w14:textId="77777777" w:rsidR="005E5C52" w:rsidRPr="00F258C4" w:rsidRDefault="005E5C52" w:rsidP="005E5C52">
      <w:pPr>
        <w:pStyle w:val="ListParagraph"/>
        <w:numPr>
          <w:ilvl w:val="0"/>
          <w:numId w:val="41"/>
        </w:numPr>
        <w:ind w:left="360"/>
        <w:rPr>
          <w:rStyle w:val="normaltextrun1"/>
          <w:color w:val="000000" w:themeColor="text1"/>
          <w:sz w:val="20"/>
          <w:szCs w:val="20"/>
        </w:rPr>
      </w:pPr>
      <w:r>
        <w:rPr>
          <w:rStyle w:val="normaltextrun1"/>
          <w:sz w:val="20"/>
          <w:szCs w:val="20"/>
        </w:rPr>
        <w:t xml:space="preserve">Al terminar 2019, 22 países habían firmado el Acuerdo de </w:t>
      </w:r>
      <w:r>
        <w:rPr>
          <w:rStyle w:val="spellingerror"/>
          <w:sz w:val="20"/>
          <w:szCs w:val="20"/>
        </w:rPr>
        <w:t>Escazú</w:t>
      </w:r>
      <w:r>
        <w:rPr>
          <w:rStyle w:val="normaltextrun1"/>
          <w:sz w:val="20"/>
          <w:szCs w:val="20"/>
        </w:rPr>
        <w:t>, un tratado regional pionero sobre los derechos medioambientales</w:t>
      </w:r>
      <w:r>
        <w:rPr>
          <w:sz w:val="20"/>
          <w:szCs w:val="20"/>
        </w:rPr>
        <w:t>.</w:t>
      </w:r>
      <w:r>
        <w:rPr>
          <w:rStyle w:val="normaltextrun1"/>
          <w:sz w:val="20"/>
          <w:szCs w:val="20"/>
        </w:rPr>
        <w:t xml:space="preserve"> En febrero de 2020, Ecuador se ha convertido en el octavo país en ratificar el Acuerdo, lo que significa que sólo hace falta que lo ratifiquen otros tres más para que entre en vigor.</w:t>
      </w:r>
    </w:p>
    <w:p w14:paraId="17A8D53B" w14:textId="77777777" w:rsidR="00FA564F" w:rsidRPr="00F258C4" w:rsidRDefault="00FA564F" w:rsidP="005E5C52">
      <w:pPr>
        <w:pStyle w:val="ListParagraph"/>
        <w:ind w:left="360"/>
        <w:rPr>
          <w:sz w:val="20"/>
          <w:szCs w:val="20"/>
        </w:rPr>
      </w:pPr>
    </w:p>
    <w:p w14:paraId="4CC727D8" w14:textId="0F506C4D" w:rsidR="00FA564F" w:rsidRPr="00F258C4" w:rsidRDefault="00FA564F" w:rsidP="00FD6259">
      <w:pPr>
        <w:pStyle w:val="ListParagraph"/>
        <w:rPr>
          <w:sz w:val="20"/>
          <w:szCs w:val="20"/>
        </w:rPr>
      </w:pPr>
    </w:p>
    <w:sectPr w:rsidR="00FA564F" w:rsidRPr="00F258C4"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14D2" w14:textId="77777777" w:rsidR="00BC233E" w:rsidRDefault="00BC233E">
      <w:r>
        <w:separator/>
      </w:r>
    </w:p>
  </w:endnote>
  <w:endnote w:type="continuationSeparator" w:id="0">
    <w:p w14:paraId="3DE896AB" w14:textId="77777777" w:rsidR="00BC233E" w:rsidRDefault="00B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Courier"/>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Arial"/>
    <w:panose1 w:val="020B0403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7AC0" w14:textId="77777777" w:rsidR="00BC233E" w:rsidRDefault="00BC233E">
      <w:r>
        <w:separator/>
      </w:r>
    </w:p>
  </w:footnote>
  <w:footnote w:type="continuationSeparator" w:id="0">
    <w:p w14:paraId="5C47F83A" w14:textId="77777777" w:rsidR="00BC233E" w:rsidRDefault="00BC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4C6B73"/>
    <w:multiLevelType w:val="hybridMultilevel"/>
    <w:tmpl w:val="B54225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7E273ED"/>
    <w:multiLevelType w:val="hybridMultilevel"/>
    <w:tmpl w:val="995AB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B4A7C83"/>
    <w:multiLevelType w:val="hybridMultilevel"/>
    <w:tmpl w:val="C3982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87201C"/>
    <w:multiLevelType w:val="multilevel"/>
    <w:tmpl w:val="5B58B218"/>
    <w:numStyleLink w:val="AIBulletList"/>
  </w:abstractNum>
  <w:abstractNum w:abstractNumId="21"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2" w15:restartNumberingAfterBreak="0">
    <w:nsid w:val="31943E62"/>
    <w:multiLevelType w:val="multilevel"/>
    <w:tmpl w:val="5B58B218"/>
    <w:numStyleLink w:val="AIBulletList"/>
  </w:abstractNum>
  <w:abstractNum w:abstractNumId="23"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362F6822"/>
    <w:multiLevelType w:val="hybridMultilevel"/>
    <w:tmpl w:val="CA720B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CF13FF"/>
    <w:multiLevelType w:val="hybridMultilevel"/>
    <w:tmpl w:val="91A02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7" w15:restartNumberingAfterBreak="0">
    <w:nsid w:val="456452DF"/>
    <w:multiLevelType w:val="multilevel"/>
    <w:tmpl w:val="5B58B218"/>
    <w:numStyleLink w:val="AIBulletList"/>
  </w:abstractNum>
  <w:abstractNum w:abstractNumId="28"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4E1E12A2"/>
    <w:multiLevelType w:val="multilevel"/>
    <w:tmpl w:val="5B58B218"/>
    <w:numStyleLink w:val="AIBulletList"/>
  </w:abstractNum>
  <w:abstractNum w:abstractNumId="30"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5A07084D"/>
    <w:multiLevelType w:val="multilevel"/>
    <w:tmpl w:val="5B58B218"/>
    <w:numStyleLink w:val="AIBulletList"/>
  </w:abstractNum>
  <w:abstractNum w:abstractNumId="34" w15:restartNumberingAfterBreak="0">
    <w:nsid w:val="5C267409"/>
    <w:multiLevelType w:val="hybridMultilevel"/>
    <w:tmpl w:val="BBA08B2E"/>
    <w:lvl w:ilvl="0" w:tplc="EE666112">
      <w:start w:val="1"/>
      <w:numFmt w:val="bullet"/>
      <w:lvlText w:val=""/>
      <w:lvlJc w:val="left"/>
      <w:pPr>
        <w:ind w:left="720" w:hanging="360"/>
      </w:pPr>
      <w:rPr>
        <w:rFonts w:ascii="Symbol" w:hAnsi="Symbol" w:hint="default"/>
      </w:rPr>
    </w:lvl>
    <w:lvl w:ilvl="1" w:tplc="6F34A362">
      <w:start w:val="1"/>
      <w:numFmt w:val="bullet"/>
      <w:lvlText w:val="o"/>
      <w:lvlJc w:val="left"/>
      <w:pPr>
        <w:ind w:left="1440" w:hanging="360"/>
      </w:pPr>
      <w:rPr>
        <w:rFonts w:ascii="Courier New" w:hAnsi="Courier New" w:hint="default"/>
      </w:rPr>
    </w:lvl>
    <w:lvl w:ilvl="2" w:tplc="97D40844">
      <w:start w:val="1"/>
      <w:numFmt w:val="bullet"/>
      <w:lvlText w:val=""/>
      <w:lvlJc w:val="left"/>
      <w:pPr>
        <w:ind w:left="2160" w:hanging="360"/>
      </w:pPr>
      <w:rPr>
        <w:rFonts w:ascii="Wingdings" w:hAnsi="Wingdings" w:hint="default"/>
      </w:rPr>
    </w:lvl>
    <w:lvl w:ilvl="3" w:tplc="65B431B6">
      <w:start w:val="1"/>
      <w:numFmt w:val="bullet"/>
      <w:lvlText w:val=""/>
      <w:lvlJc w:val="left"/>
      <w:pPr>
        <w:ind w:left="2880" w:hanging="360"/>
      </w:pPr>
      <w:rPr>
        <w:rFonts w:ascii="Symbol" w:hAnsi="Symbol" w:hint="default"/>
      </w:rPr>
    </w:lvl>
    <w:lvl w:ilvl="4" w:tplc="A0F09F28">
      <w:start w:val="1"/>
      <w:numFmt w:val="bullet"/>
      <w:lvlText w:val="o"/>
      <w:lvlJc w:val="left"/>
      <w:pPr>
        <w:ind w:left="3600" w:hanging="360"/>
      </w:pPr>
      <w:rPr>
        <w:rFonts w:ascii="Courier New" w:hAnsi="Courier New" w:hint="default"/>
      </w:rPr>
    </w:lvl>
    <w:lvl w:ilvl="5" w:tplc="5B08DB7E">
      <w:start w:val="1"/>
      <w:numFmt w:val="bullet"/>
      <w:lvlText w:val=""/>
      <w:lvlJc w:val="left"/>
      <w:pPr>
        <w:ind w:left="4320" w:hanging="360"/>
      </w:pPr>
      <w:rPr>
        <w:rFonts w:ascii="Wingdings" w:hAnsi="Wingdings" w:hint="default"/>
      </w:rPr>
    </w:lvl>
    <w:lvl w:ilvl="6" w:tplc="099057CA">
      <w:start w:val="1"/>
      <w:numFmt w:val="bullet"/>
      <w:lvlText w:val=""/>
      <w:lvlJc w:val="left"/>
      <w:pPr>
        <w:ind w:left="5040" w:hanging="360"/>
      </w:pPr>
      <w:rPr>
        <w:rFonts w:ascii="Symbol" w:hAnsi="Symbol" w:hint="default"/>
      </w:rPr>
    </w:lvl>
    <w:lvl w:ilvl="7" w:tplc="4D1EE88C">
      <w:start w:val="1"/>
      <w:numFmt w:val="bullet"/>
      <w:lvlText w:val="o"/>
      <w:lvlJc w:val="left"/>
      <w:pPr>
        <w:ind w:left="5760" w:hanging="360"/>
      </w:pPr>
      <w:rPr>
        <w:rFonts w:ascii="Courier New" w:hAnsi="Courier New" w:hint="default"/>
      </w:rPr>
    </w:lvl>
    <w:lvl w:ilvl="8" w:tplc="C8667154">
      <w:start w:val="1"/>
      <w:numFmt w:val="bullet"/>
      <w:lvlText w:val=""/>
      <w:lvlJc w:val="left"/>
      <w:pPr>
        <w:ind w:left="6480" w:hanging="360"/>
      </w:pPr>
      <w:rPr>
        <w:rFonts w:ascii="Wingdings" w:hAnsi="Wingdings" w:hint="default"/>
      </w:rPr>
    </w:lvl>
  </w:abstractNum>
  <w:abstractNum w:abstractNumId="35"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1B94255"/>
    <w:multiLevelType w:val="hybridMultilevel"/>
    <w:tmpl w:val="CD282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639054E0"/>
    <w:multiLevelType w:val="hybridMultilevel"/>
    <w:tmpl w:val="AB626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41"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6A44978"/>
    <w:multiLevelType w:val="multilevel"/>
    <w:tmpl w:val="5B58B218"/>
    <w:numStyleLink w:val="AIBulletList"/>
  </w:abstractNum>
  <w:abstractNum w:abstractNumId="43"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4"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5"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6"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7" w15:restartNumberingAfterBreak="0">
    <w:nsid w:val="7BC57971"/>
    <w:multiLevelType w:val="hybridMultilevel"/>
    <w:tmpl w:val="6B54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8"/>
  </w:num>
  <w:num w:numId="7">
    <w:abstractNumId w:val="9"/>
  </w:num>
  <w:num w:numId="8">
    <w:abstractNumId w:val="30"/>
  </w:num>
  <w:num w:numId="9">
    <w:abstractNumId w:val="23"/>
  </w:num>
  <w:num w:numId="10">
    <w:abstractNumId w:val="4"/>
  </w:num>
  <w:num w:numId="11">
    <w:abstractNumId w:val="15"/>
  </w:num>
  <w:num w:numId="12">
    <w:abstractNumId w:val="5"/>
  </w:num>
  <w:num w:numId="13">
    <w:abstractNumId w:val="44"/>
  </w:num>
  <w:num w:numId="14">
    <w:abstractNumId w:val="18"/>
  </w:num>
  <w:num w:numId="15">
    <w:abstractNumId w:val="31"/>
  </w:num>
  <w:num w:numId="16">
    <w:abstractNumId w:val="37"/>
  </w:num>
  <w:num w:numId="17">
    <w:abstractNumId w:val="45"/>
  </w:num>
  <w:num w:numId="18">
    <w:abstractNumId w:val="35"/>
  </w:num>
  <w:num w:numId="19">
    <w:abstractNumId w:val="28"/>
  </w:num>
  <w:num w:numId="20">
    <w:abstractNumId w:val="26"/>
  </w:num>
  <w:num w:numId="21">
    <w:abstractNumId w:val="32"/>
  </w:num>
  <w:num w:numId="22">
    <w:abstractNumId w:val="41"/>
  </w:num>
  <w:num w:numId="23">
    <w:abstractNumId w:val="40"/>
  </w:num>
  <w:num w:numId="24">
    <w:abstractNumId w:val="13"/>
  </w:num>
  <w:num w:numId="25">
    <w:abstractNumId w:val="21"/>
  </w:num>
  <w:num w:numId="26">
    <w:abstractNumId w:val="46"/>
  </w:num>
  <w:num w:numId="27">
    <w:abstractNumId w:val="10"/>
  </w:num>
  <w:num w:numId="28">
    <w:abstractNumId w:val="33"/>
  </w:num>
  <w:num w:numId="29">
    <w:abstractNumId w:val="17"/>
  </w:num>
  <w:num w:numId="30">
    <w:abstractNumId w:val="43"/>
  </w:num>
  <w:num w:numId="31">
    <w:abstractNumId w:val="14"/>
  </w:num>
  <w:num w:numId="32">
    <w:abstractNumId w:val="39"/>
  </w:num>
  <w:num w:numId="33">
    <w:abstractNumId w:val="3"/>
  </w:num>
  <w:num w:numId="34">
    <w:abstractNumId w:val="42"/>
  </w:num>
  <w:num w:numId="35">
    <w:abstractNumId w:val="27"/>
  </w:num>
  <w:num w:numId="36">
    <w:abstractNumId w:val="48"/>
  </w:num>
  <w:num w:numId="37">
    <w:abstractNumId w:val="29"/>
  </w:num>
  <w:num w:numId="38">
    <w:abstractNumId w:val="20"/>
  </w:num>
  <w:num w:numId="39">
    <w:abstractNumId w:val="22"/>
  </w:num>
  <w:num w:numId="40">
    <w:abstractNumId w:val="7"/>
  </w:num>
  <w:num w:numId="41">
    <w:abstractNumId w:val="24"/>
  </w:num>
  <w:num w:numId="42">
    <w:abstractNumId w:val="38"/>
  </w:num>
  <w:num w:numId="43">
    <w:abstractNumId w:val="47"/>
  </w:num>
  <w:num w:numId="44">
    <w:abstractNumId w:val="34"/>
  </w:num>
  <w:num w:numId="45">
    <w:abstractNumId w:val="19"/>
  </w:num>
  <w:num w:numId="46">
    <w:abstractNumId w:val="11"/>
  </w:num>
  <w:num w:numId="47">
    <w:abstractNumId w:val="25"/>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FD"/>
    <w:rsid w:val="00001A6D"/>
    <w:rsid w:val="0000500A"/>
    <w:rsid w:val="00013F07"/>
    <w:rsid w:val="00022540"/>
    <w:rsid w:val="00025B55"/>
    <w:rsid w:val="00032461"/>
    <w:rsid w:val="00062A30"/>
    <w:rsid w:val="00085086"/>
    <w:rsid w:val="00092096"/>
    <w:rsid w:val="000A1AB5"/>
    <w:rsid w:val="000B0E17"/>
    <w:rsid w:val="000B28F3"/>
    <w:rsid w:val="000B4A8C"/>
    <w:rsid w:val="000C2F2C"/>
    <w:rsid w:val="000C6C1C"/>
    <w:rsid w:val="000D1D9A"/>
    <w:rsid w:val="000F0007"/>
    <w:rsid w:val="001011BA"/>
    <w:rsid w:val="001151EC"/>
    <w:rsid w:val="0011579A"/>
    <w:rsid w:val="00162298"/>
    <w:rsid w:val="00171FAA"/>
    <w:rsid w:val="00174532"/>
    <w:rsid w:val="00180B32"/>
    <w:rsid w:val="001A1321"/>
    <w:rsid w:val="001B6144"/>
    <w:rsid w:val="001C51CA"/>
    <w:rsid w:val="00221079"/>
    <w:rsid w:val="002412A3"/>
    <w:rsid w:val="002451ED"/>
    <w:rsid w:val="00245655"/>
    <w:rsid w:val="00253532"/>
    <w:rsid w:val="0025797A"/>
    <w:rsid w:val="002639C3"/>
    <w:rsid w:val="002745A5"/>
    <w:rsid w:val="002A127E"/>
    <w:rsid w:val="002A4C7D"/>
    <w:rsid w:val="002B137E"/>
    <w:rsid w:val="002B4871"/>
    <w:rsid w:val="002C37B4"/>
    <w:rsid w:val="002E3999"/>
    <w:rsid w:val="002E45DF"/>
    <w:rsid w:val="003070EF"/>
    <w:rsid w:val="003103BC"/>
    <w:rsid w:val="00315CAB"/>
    <w:rsid w:val="00323904"/>
    <w:rsid w:val="00335BA1"/>
    <w:rsid w:val="0034186D"/>
    <w:rsid w:val="003521FA"/>
    <w:rsid w:val="0035327E"/>
    <w:rsid w:val="00392BFD"/>
    <w:rsid w:val="003B4588"/>
    <w:rsid w:val="003C1C49"/>
    <w:rsid w:val="003E781B"/>
    <w:rsid w:val="004027CF"/>
    <w:rsid w:val="004238D9"/>
    <w:rsid w:val="00464128"/>
    <w:rsid w:val="0047076A"/>
    <w:rsid w:val="00470A03"/>
    <w:rsid w:val="00470A72"/>
    <w:rsid w:val="004A2E46"/>
    <w:rsid w:val="004B1B46"/>
    <w:rsid w:val="004B7A6C"/>
    <w:rsid w:val="004C0661"/>
    <w:rsid w:val="004E169F"/>
    <w:rsid w:val="004F0931"/>
    <w:rsid w:val="0051444C"/>
    <w:rsid w:val="0052511E"/>
    <w:rsid w:val="005260B6"/>
    <w:rsid w:val="00533EE6"/>
    <w:rsid w:val="00535B1B"/>
    <w:rsid w:val="005407DE"/>
    <w:rsid w:val="00552A3A"/>
    <w:rsid w:val="00557EB7"/>
    <w:rsid w:val="00565D3E"/>
    <w:rsid w:val="0057249E"/>
    <w:rsid w:val="00574CC8"/>
    <w:rsid w:val="00577060"/>
    <w:rsid w:val="00580EE5"/>
    <w:rsid w:val="0059554B"/>
    <w:rsid w:val="005A2799"/>
    <w:rsid w:val="005B4A41"/>
    <w:rsid w:val="005C3139"/>
    <w:rsid w:val="005D1A79"/>
    <w:rsid w:val="005E5C52"/>
    <w:rsid w:val="005E5D20"/>
    <w:rsid w:val="005E7207"/>
    <w:rsid w:val="005F3606"/>
    <w:rsid w:val="005F6375"/>
    <w:rsid w:val="00602F51"/>
    <w:rsid w:val="00607A68"/>
    <w:rsid w:val="00640D32"/>
    <w:rsid w:val="00651FE1"/>
    <w:rsid w:val="0066172F"/>
    <w:rsid w:val="00670965"/>
    <w:rsid w:val="006768BF"/>
    <w:rsid w:val="00683DC8"/>
    <w:rsid w:val="00691C2A"/>
    <w:rsid w:val="00695D97"/>
    <w:rsid w:val="006B02E1"/>
    <w:rsid w:val="006B1EBF"/>
    <w:rsid w:val="006B2B70"/>
    <w:rsid w:val="006B6851"/>
    <w:rsid w:val="006C16CE"/>
    <w:rsid w:val="006F7655"/>
    <w:rsid w:val="00723001"/>
    <w:rsid w:val="00726498"/>
    <w:rsid w:val="00727A99"/>
    <w:rsid w:val="007321BD"/>
    <w:rsid w:val="0077060D"/>
    <w:rsid w:val="0077125B"/>
    <w:rsid w:val="00771940"/>
    <w:rsid w:val="0078045D"/>
    <w:rsid w:val="00786F3A"/>
    <w:rsid w:val="007A4071"/>
    <w:rsid w:val="007C26BF"/>
    <w:rsid w:val="007C7F1F"/>
    <w:rsid w:val="007D3D18"/>
    <w:rsid w:val="007E0910"/>
    <w:rsid w:val="007E7456"/>
    <w:rsid w:val="0080103C"/>
    <w:rsid w:val="00802B84"/>
    <w:rsid w:val="00826312"/>
    <w:rsid w:val="0086333C"/>
    <w:rsid w:val="00865824"/>
    <w:rsid w:val="008B584E"/>
    <w:rsid w:val="008D746D"/>
    <w:rsid w:val="0091109F"/>
    <w:rsid w:val="00947A19"/>
    <w:rsid w:val="009624C7"/>
    <w:rsid w:val="00982544"/>
    <w:rsid w:val="009E1C87"/>
    <w:rsid w:val="00A06B14"/>
    <w:rsid w:val="00A20357"/>
    <w:rsid w:val="00A2699E"/>
    <w:rsid w:val="00A549D7"/>
    <w:rsid w:val="00A62A67"/>
    <w:rsid w:val="00A65A98"/>
    <w:rsid w:val="00A75017"/>
    <w:rsid w:val="00A85B7F"/>
    <w:rsid w:val="00A96E32"/>
    <w:rsid w:val="00AA189C"/>
    <w:rsid w:val="00AC1459"/>
    <w:rsid w:val="00AE29B2"/>
    <w:rsid w:val="00B072A2"/>
    <w:rsid w:val="00B30687"/>
    <w:rsid w:val="00B33C7D"/>
    <w:rsid w:val="00B512C4"/>
    <w:rsid w:val="00B52929"/>
    <w:rsid w:val="00B64495"/>
    <w:rsid w:val="00B6765C"/>
    <w:rsid w:val="00B75FBA"/>
    <w:rsid w:val="00B77EDD"/>
    <w:rsid w:val="00B83F92"/>
    <w:rsid w:val="00BB586B"/>
    <w:rsid w:val="00BB60B7"/>
    <w:rsid w:val="00BC233E"/>
    <w:rsid w:val="00BC4C43"/>
    <w:rsid w:val="00BD5B66"/>
    <w:rsid w:val="00BE1F83"/>
    <w:rsid w:val="00BE797E"/>
    <w:rsid w:val="00BE7FD6"/>
    <w:rsid w:val="00C01F18"/>
    <w:rsid w:val="00C41595"/>
    <w:rsid w:val="00C5605A"/>
    <w:rsid w:val="00CA1F6D"/>
    <w:rsid w:val="00CA4292"/>
    <w:rsid w:val="00CB053B"/>
    <w:rsid w:val="00CB352F"/>
    <w:rsid w:val="00CB3802"/>
    <w:rsid w:val="00CC7E9D"/>
    <w:rsid w:val="00D26B22"/>
    <w:rsid w:val="00D3431C"/>
    <w:rsid w:val="00D35685"/>
    <w:rsid w:val="00D35E5D"/>
    <w:rsid w:val="00D54BCD"/>
    <w:rsid w:val="00D649F2"/>
    <w:rsid w:val="00D85DA5"/>
    <w:rsid w:val="00D90DAF"/>
    <w:rsid w:val="00DB238A"/>
    <w:rsid w:val="00DD7535"/>
    <w:rsid w:val="00DE6FAC"/>
    <w:rsid w:val="00DF0354"/>
    <w:rsid w:val="00E052FB"/>
    <w:rsid w:val="00E1436F"/>
    <w:rsid w:val="00E177FD"/>
    <w:rsid w:val="00E25D16"/>
    <w:rsid w:val="00E42145"/>
    <w:rsid w:val="00E4789E"/>
    <w:rsid w:val="00E47C2B"/>
    <w:rsid w:val="00E5133E"/>
    <w:rsid w:val="00E91CDD"/>
    <w:rsid w:val="00EA5F1B"/>
    <w:rsid w:val="00EB6DC1"/>
    <w:rsid w:val="00ED3135"/>
    <w:rsid w:val="00ED48B1"/>
    <w:rsid w:val="00ED5C45"/>
    <w:rsid w:val="00EE3141"/>
    <w:rsid w:val="00EE443B"/>
    <w:rsid w:val="00EE5863"/>
    <w:rsid w:val="00EE66DA"/>
    <w:rsid w:val="00EF0FF2"/>
    <w:rsid w:val="00F10D98"/>
    <w:rsid w:val="00F15D23"/>
    <w:rsid w:val="00F16E1B"/>
    <w:rsid w:val="00F258C4"/>
    <w:rsid w:val="00F455D2"/>
    <w:rsid w:val="00F46AAC"/>
    <w:rsid w:val="00F528DB"/>
    <w:rsid w:val="00F752A3"/>
    <w:rsid w:val="00F814E2"/>
    <w:rsid w:val="00F85AF9"/>
    <w:rsid w:val="00F86786"/>
    <w:rsid w:val="00FA43B2"/>
    <w:rsid w:val="00FA564F"/>
    <w:rsid w:val="00FD5BBC"/>
    <w:rsid w:val="00FD6259"/>
    <w:rsid w:val="00FF016A"/>
    <w:rsid w:val="00FF2A19"/>
  </w:rsids>
  <m:mathPr>
    <m:mathFont m:val="Cambria Math"/>
    <m:brkBin m:val="before"/>
    <m:brkBinSub m:val="--"/>
    <m:smallFrac m:val="0"/>
    <m:dispDef/>
    <m:lMargin m:val="0"/>
    <m:rMargin m:val="0"/>
    <m:defJc m:val="centerGroup"/>
    <m:wrapIndent m:val="1440"/>
    <m:intLim m:val="subSup"/>
    <m:naryLim m:val="undOvr"/>
  </m:mathPr>
  <w:themeFontLang w:val="en-GB"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FC83D"/>
  <w15:chartTrackingRefBased/>
  <w15:docId w15:val="{EACD4C7A-6096-4A04-9B3C-90A6BBA5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BFD"/>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es-ES"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es-ES"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es-ES"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es-ES"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es-ES"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es-ES"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es-ES"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es-ES"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es-ES"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es-ES"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es-ES"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es-ES"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es-ES"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es-ES"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basedOn w:val="DefaultParagraphFont"/>
    <w:rsid w:val="00174532"/>
    <w:rPr>
      <w:sz w:val="16"/>
      <w:szCs w:val="16"/>
    </w:rPr>
  </w:style>
  <w:style w:type="paragraph" w:styleId="CommentText">
    <w:name w:val="annotation text"/>
    <w:basedOn w:val="Normal"/>
    <w:link w:val="CommentTextChar"/>
    <w:rsid w:val="00174532"/>
    <w:pPr>
      <w:spacing w:line="240" w:lineRule="auto"/>
    </w:pPr>
    <w:rPr>
      <w:sz w:val="20"/>
      <w:szCs w:val="20"/>
    </w:rPr>
  </w:style>
  <w:style w:type="character" w:customStyle="1" w:styleId="CommentTextChar">
    <w:name w:val="Comment Text Char"/>
    <w:basedOn w:val="DefaultParagraphFont"/>
    <w:link w:val="CommentText"/>
    <w:rsid w:val="00174532"/>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174532"/>
    <w:rPr>
      <w:b/>
      <w:bCs/>
    </w:rPr>
  </w:style>
  <w:style w:type="character" w:customStyle="1" w:styleId="CommentSubjectChar">
    <w:name w:val="Comment Subject Char"/>
    <w:basedOn w:val="CommentTextChar"/>
    <w:link w:val="CommentSubject"/>
    <w:rsid w:val="00174532"/>
    <w:rPr>
      <w:rFonts w:ascii="Amnesty Trade Gothic" w:hAnsi="Amnesty Trade Gothic"/>
      <w:b/>
      <w:bCs/>
      <w:color w:val="000000"/>
      <w:lang w:eastAsia="ar-SA"/>
    </w:rPr>
  </w:style>
  <w:style w:type="paragraph" w:styleId="BalloonText">
    <w:name w:val="Balloon Text"/>
    <w:basedOn w:val="Normal"/>
    <w:link w:val="BalloonTextChar"/>
    <w:rsid w:val="00174532"/>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74532"/>
    <w:rPr>
      <w:rFonts w:ascii="Segoe UI" w:hAnsi="Segoe UI" w:cs="Segoe UI"/>
      <w:color w:val="000000"/>
      <w:sz w:val="18"/>
      <w:szCs w:val="18"/>
      <w:lang w:eastAsia="ar-SA"/>
    </w:rPr>
  </w:style>
  <w:style w:type="paragraph" w:styleId="ListParagraph">
    <w:name w:val="List Paragraph"/>
    <w:basedOn w:val="Normal"/>
    <w:uiPriority w:val="34"/>
    <w:qFormat/>
    <w:rsid w:val="00174532"/>
    <w:pPr>
      <w:ind w:left="720"/>
      <w:contextualSpacing/>
    </w:pPr>
  </w:style>
  <w:style w:type="character" w:customStyle="1" w:styleId="spellingerror">
    <w:name w:val="spellingerror"/>
    <w:basedOn w:val="DefaultParagraphFont"/>
    <w:rsid w:val="00C41595"/>
  </w:style>
  <w:style w:type="character" w:customStyle="1" w:styleId="normaltextrun1">
    <w:name w:val="normaltextrun1"/>
    <w:basedOn w:val="DefaultParagraphFont"/>
    <w:rsid w:val="00C41595"/>
  </w:style>
  <w:style w:type="character" w:customStyle="1" w:styleId="eop">
    <w:name w:val="eop"/>
    <w:basedOn w:val="DefaultParagraphFont"/>
    <w:rsid w:val="00C41595"/>
  </w:style>
  <w:style w:type="character" w:customStyle="1" w:styleId="Mencinsinresolver1">
    <w:name w:val="Mención sin resolver1"/>
    <w:basedOn w:val="DefaultParagraphFont"/>
    <w:uiPriority w:val="99"/>
    <w:semiHidden/>
    <w:unhideWhenUsed/>
    <w:rsid w:val="00BB60B7"/>
    <w:rPr>
      <w:color w:val="808080"/>
      <w:shd w:val="clear" w:color="auto" w:fill="E6E6E6"/>
    </w:rPr>
  </w:style>
  <w:style w:type="character" w:styleId="FollowedHyperlink">
    <w:name w:val="FollowedHyperlink"/>
    <w:basedOn w:val="DefaultParagraphFont"/>
    <w:rsid w:val="00DB238A"/>
    <w:rPr>
      <w:color w:val="954F72" w:themeColor="followedHyperlink"/>
      <w:u w:val="single"/>
    </w:rPr>
  </w:style>
  <w:style w:type="character" w:customStyle="1" w:styleId="contextualspellingandgrammarerror">
    <w:name w:val="contextualspellingandgrammarerror"/>
    <w:basedOn w:val="DefaultParagraphFont"/>
    <w:rsid w:val="0091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KJuYxujjYP4KPYWbuxPRtrpVnu2inzMy/view" TargetMode="External"/><Relationship Id="rId18" Type="http://schemas.openxmlformats.org/officeDocument/2006/relationships/hyperlink" Target="https://www.cepal.org/sites/default/files/pr/files/table-growth_projections_november-2019_eng_rev.pdf%20(en%20ingl&#233;s)" TargetMode="External"/><Relationship Id="rId3" Type="http://schemas.openxmlformats.org/officeDocument/2006/relationships/customXml" Target="../customXml/item3.xml"/><Relationship Id="rId21" Type="http://schemas.openxmlformats.org/officeDocument/2006/relationships/hyperlink" Target="http://portales.segob.gob.mx/work/models/PoliticaMigratoria/CEM/Estadisticas/Boletines_Estadisticos/2019/Boletin_2019.pdf" TargetMode="External"/><Relationship Id="rId7" Type="http://schemas.openxmlformats.org/officeDocument/2006/relationships/settings" Target="settings.xml"/><Relationship Id="rId12" Type="http://schemas.openxmlformats.org/officeDocument/2006/relationships/hyperlink" Target="https://www.insightcrime.org/news/analysis/insight-crime-2019-homicide-round-up/" TargetMode="External"/><Relationship Id="rId17" Type="http://schemas.openxmlformats.org/officeDocument/2006/relationships/hyperlink" Target="https://repositorio.cepal.org/handle/11362/44989" TargetMode="External"/><Relationship Id="rId2" Type="http://schemas.openxmlformats.org/officeDocument/2006/relationships/customXml" Target="../customXml/item2.xml"/><Relationship Id="rId16" Type="http://schemas.openxmlformats.org/officeDocument/2006/relationships/hyperlink" Target="https://www.transparency.org/cpi2019" TargetMode="External"/><Relationship Id="rId20" Type="http://schemas.openxmlformats.org/officeDocument/2006/relationships/hyperlink" Target="https://trac.syr.edu/phptools/immigration/m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ontlinedefenders.org/sites/default/files/global_analysis_2019_web.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nesty.org/es/documents/AMR51/0566/2019/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2.unhcr.org/en/situations/plat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j.org/data/?status=Killed&amp;start_year=2019&amp;end_year=2019&amp;group_by=location_sorted&amp;motiveConfirmed%5b%5d=Confirmed&amp;motiveUnconfirmed%5b%5d=Unconfirmed&amp;type%5b%5d=Journalist" TargetMode="External"/><Relationship Id="rId22" Type="http://schemas.openxmlformats.org/officeDocument/2006/relationships/hyperlink" Target="http://portales.segob.gob.mx/work/models/PoliticaMigratoria/CEM/Estadisticas/Boletines_Estadisticos/2019/Boletin_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7C20014491A438A56961D49A6DF32" ma:contentTypeVersion="13" ma:contentTypeDescription="Create a new document." ma:contentTypeScope="" ma:versionID="25d32669d2cb1040301d9fe80f18c9b4">
  <xsd:schema xmlns:xsd="http://www.w3.org/2001/XMLSchema" xmlns:xs="http://www.w3.org/2001/XMLSchema" xmlns:p="http://schemas.microsoft.com/office/2006/metadata/properties" xmlns:ns3="eb80afa9-0af0-42af-b735-b3a9bb7bb097" xmlns:ns4="39fd867c-6b61-463a-90cc-3abad52d0dbf" targetNamespace="http://schemas.microsoft.com/office/2006/metadata/properties" ma:root="true" ma:fieldsID="a32b2f6505dcb602ef565747830d8f21" ns3:_="" ns4:_="">
    <xsd:import namespace="eb80afa9-0af0-42af-b735-b3a9bb7bb097"/>
    <xsd:import namespace="39fd867c-6b61-463a-90cc-3abad52d0d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0afa9-0af0-42af-b735-b3a9bb7b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d867c-6b61-463a-90cc-3abad52d0d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A9B9-638A-4AE0-942E-67E4E6FD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0afa9-0af0-42af-b735-b3a9bb7bb097"/>
    <ds:schemaRef ds:uri="39fd867c-6b61-463a-90cc-3abad52d0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ADAA7-66F5-4A64-AF87-E80D15A41648}">
  <ds:schemaRefs>
    <ds:schemaRef ds:uri="http://schemas.microsoft.com/sharepoint/v3/contenttype/forms"/>
  </ds:schemaRefs>
</ds:datastoreItem>
</file>

<file path=customXml/itemProps3.xml><?xml version="1.0" encoding="utf-8"?>
<ds:datastoreItem xmlns:ds="http://schemas.openxmlformats.org/officeDocument/2006/customXml" ds:itemID="{A297AB87-B256-426B-9B25-1276D88400CF}">
  <ds:schemaRefs>
    <ds:schemaRef ds:uri="http://schemas.openxmlformats.org/package/2006/metadata/core-properties"/>
    <ds:schemaRef ds:uri="http://schemas.microsoft.com/office/2006/documentManagement/types"/>
    <ds:schemaRef ds:uri="39fd867c-6b61-463a-90cc-3abad52d0dbf"/>
    <ds:schemaRef ds:uri="http://purl.org/dc/elements/1.1/"/>
    <ds:schemaRef ds:uri="http://schemas.microsoft.com/office/2006/metadata/properties"/>
    <ds:schemaRef ds:uri="eb80afa9-0af0-42af-b735-b3a9bb7bb09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2A0AC4B-A65A-4A0F-91E4-9E9AC386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Tucker</dc:creator>
  <cp:keywords/>
  <dc:description/>
  <cp:lastModifiedBy>Duncan Tucker</cp:lastModifiedBy>
  <cp:revision>4</cp:revision>
  <cp:lastPrinted>2008-10-01T16:32:00Z</cp:lastPrinted>
  <dcterms:created xsi:type="dcterms:W3CDTF">2020-02-12T08:17:00Z</dcterms:created>
  <dcterms:modified xsi:type="dcterms:W3CDTF">2020-02-19T22:30:00Z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0x010100C3C7C20014491A438A56961D49A6DF32</vt:lpwstr>
  </property>
</Properties>
</file>