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79D45B" w14:textId="77777777" w:rsidR="00170D91" w:rsidRPr="009B0B19" w:rsidRDefault="00170D91" w:rsidP="00170D91">
      <w:pPr>
        <w:rPr>
          <w:b/>
          <w:sz w:val="24"/>
        </w:rPr>
      </w:pPr>
      <w:r w:rsidRPr="009B0B19">
        <w:rPr>
          <w:b/>
          <w:sz w:val="24"/>
        </w:rPr>
        <w:t xml:space="preserve">The State of Emergency has ended </w:t>
      </w:r>
      <w:r>
        <w:rPr>
          <w:b/>
          <w:sz w:val="24"/>
        </w:rPr>
        <w:t xml:space="preserve">but urgent </w:t>
      </w:r>
      <w:r w:rsidRPr="009B0B19">
        <w:rPr>
          <w:b/>
          <w:sz w:val="24"/>
        </w:rPr>
        <w:t xml:space="preserve">measures are </w:t>
      </w:r>
      <w:r>
        <w:rPr>
          <w:b/>
          <w:sz w:val="24"/>
        </w:rPr>
        <w:t xml:space="preserve">now </w:t>
      </w:r>
      <w:r w:rsidRPr="009B0B19">
        <w:rPr>
          <w:b/>
          <w:sz w:val="24"/>
        </w:rPr>
        <w:t>need</w:t>
      </w:r>
      <w:r>
        <w:rPr>
          <w:b/>
          <w:sz w:val="24"/>
        </w:rPr>
        <w:t>ed</w:t>
      </w:r>
      <w:r w:rsidRPr="009B0B19">
        <w:rPr>
          <w:b/>
          <w:sz w:val="24"/>
        </w:rPr>
        <w:t xml:space="preserve"> to reverse the roll back of human rights</w:t>
      </w:r>
    </w:p>
    <w:p w14:paraId="4625CB8B" w14:textId="3B775805" w:rsidR="00CD51E5" w:rsidRDefault="008D1E1F" w:rsidP="008D1E1F">
      <w:pPr>
        <w:rPr>
          <w:sz w:val="24"/>
          <w:lang w:val="tr-TR"/>
        </w:rPr>
      </w:pPr>
      <w:bookmarkStart w:id="0" w:name="_GoBack"/>
      <w:bookmarkEnd w:id="0"/>
      <w:r w:rsidRPr="00716DB0">
        <w:rPr>
          <w:sz w:val="24"/>
          <w:lang w:val="tr-TR"/>
        </w:rPr>
        <w:t>The Turkish government announce</w:t>
      </w:r>
      <w:r w:rsidR="00ED6B94">
        <w:rPr>
          <w:sz w:val="24"/>
          <w:lang w:val="tr-TR"/>
        </w:rPr>
        <w:t xml:space="preserve">d </w:t>
      </w:r>
      <w:r w:rsidRPr="00716DB0">
        <w:rPr>
          <w:sz w:val="24"/>
          <w:lang w:val="tr-TR"/>
        </w:rPr>
        <w:t>that the two year</w:t>
      </w:r>
      <w:r w:rsidR="00470AFF" w:rsidRPr="00716DB0">
        <w:rPr>
          <w:sz w:val="24"/>
          <w:lang w:val="tr-TR"/>
        </w:rPr>
        <w:t xml:space="preserve"> long</w:t>
      </w:r>
      <w:r w:rsidRPr="00716DB0">
        <w:rPr>
          <w:sz w:val="24"/>
          <w:lang w:val="tr-TR"/>
        </w:rPr>
        <w:t xml:space="preserve"> state of emergency is to end </w:t>
      </w:r>
      <w:r w:rsidR="00ED6B94">
        <w:rPr>
          <w:sz w:val="24"/>
          <w:lang w:val="tr-TR"/>
        </w:rPr>
        <w:t>today (1</w:t>
      </w:r>
      <w:r w:rsidR="00012DD9">
        <w:rPr>
          <w:sz w:val="24"/>
          <w:lang w:val="tr-TR"/>
        </w:rPr>
        <w:t>8</w:t>
      </w:r>
      <w:r w:rsidR="00ED6B94">
        <w:rPr>
          <w:sz w:val="24"/>
          <w:lang w:val="tr-TR"/>
        </w:rPr>
        <w:t xml:space="preserve"> July 2018) when its last extension runs out. This </w:t>
      </w:r>
      <w:r w:rsidRPr="00716DB0">
        <w:rPr>
          <w:sz w:val="24"/>
          <w:lang w:val="tr-TR"/>
        </w:rPr>
        <w:t xml:space="preserve">is long overdue and welcome news. </w:t>
      </w:r>
    </w:p>
    <w:p w14:paraId="08040910" w14:textId="2E8AAF62" w:rsidR="00953111" w:rsidRDefault="00CD51E5" w:rsidP="00CD51E5">
      <w:pPr>
        <w:rPr>
          <w:color w:val="auto"/>
          <w:sz w:val="24"/>
          <w:lang w:val="en"/>
        </w:rPr>
      </w:pPr>
      <w:r w:rsidRPr="00716DB0">
        <w:rPr>
          <w:color w:val="auto"/>
          <w:sz w:val="24"/>
          <w:lang w:val="tr-TR"/>
        </w:rPr>
        <w:t>However</w:t>
      </w:r>
      <w:r w:rsidR="00F9171D" w:rsidRPr="00716DB0">
        <w:rPr>
          <w:color w:val="auto"/>
          <w:sz w:val="24"/>
          <w:lang w:val="tr-TR"/>
        </w:rPr>
        <w:t>,</w:t>
      </w:r>
      <w:r w:rsidRPr="00716DB0">
        <w:rPr>
          <w:color w:val="auto"/>
          <w:sz w:val="24"/>
          <w:lang w:val="tr-TR"/>
        </w:rPr>
        <w:t xml:space="preserve"> </w:t>
      </w:r>
      <w:r w:rsidRPr="00716DB0">
        <w:rPr>
          <w:color w:val="auto"/>
          <w:sz w:val="24"/>
        </w:rPr>
        <w:t>if it is to be anything more than a cosmetic exercise, it needs to be accompanied by urgent measures</w:t>
      </w:r>
      <w:r w:rsidR="00C22D01" w:rsidRPr="00716DB0">
        <w:rPr>
          <w:color w:val="auto"/>
          <w:sz w:val="24"/>
        </w:rPr>
        <w:t>. The</w:t>
      </w:r>
      <w:r w:rsidR="00F9171D" w:rsidRPr="00716DB0">
        <w:rPr>
          <w:color w:val="auto"/>
          <w:sz w:val="24"/>
        </w:rPr>
        <w:t xml:space="preserve"> state of</w:t>
      </w:r>
      <w:r w:rsidR="00803571">
        <w:rPr>
          <w:color w:val="auto"/>
          <w:sz w:val="24"/>
        </w:rPr>
        <w:t xml:space="preserve"> </w:t>
      </w:r>
      <w:r w:rsidR="00803571" w:rsidRPr="00716DB0">
        <w:rPr>
          <w:color w:val="auto"/>
          <w:sz w:val="24"/>
          <w:lang w:val="en"/>
        </w:rPr>
        <w:t>emergency</w:t>
      </w:r>
      <w:r w:rsidRPr="00716DB0">
        <w:rPr>
          <w:color w:val="auto"/>
          <w:sz w:val="24"/>
          <w:lang w:val="en"/>
        </w:rPr>
        <w:t xml:space="preserve"> </w:t>
      </w:r>
      <w:r w:rsidR="00F9171D" w:rsidRPr="00716DB0">
        <w:rPr>
          <w:color w:val="auto"/>
          <w:sz w:val="24"/>
          <w:lang w:val="en"/>
        </w:rPr>
        <w:t xml:space="preserve">has been used </w:t>
      </w:r>
      <w:r w:rsidRPr="00716DB0">
        <w:rPr>
          <w:color w:val="auto"/>
          <w:sz w:val="24"/>
          <w:lang w:val="en"/>
        </w:rPr>
        <w:t xml:space="preserve">to consolidate draconian </w:t>
      </w:r>
      <w:r w:rsidR="00970E50">
        <w:rPr>
          <w:color w:val="auto"/>
          <w:sz w:val="24"/>
          <w:lang w:val="en"/>
        </w:rPr>
        <w:t xml:space="preserve">governmental </w:t>
      </w:r>
      <w:r w:rsidRPr="00716DB0">
        <w:rPr>
          <w:color w:val="auto"/>
          <w:sz w:val="24"/>
          <w:lang w:val="en"/>
        </w:rPr>
        <w:t xml:space="preserve">powers, silence critical voices and strip away basic rights. </w:t>
      </w:r>
    </w:p>
    <w:p w14:paraId="1C317706" w14:textId="5D823268" w:rsidR="00CD51E5" w:rsidRDefault="00953111" w:rsidP="00CD51E5">
      <w:pPr>
        <w:rPr>
          <w:color w:val="auto"/>
          <w:sz w:val="24"/>
          <w:lang w:val="en"/>
        </w:rPr>
      </w:pPr>
      <w:r>
        <w:rPr>
          <w:sz w:val="24"/>
          <w:lang w:val="tr-TR"/>
        </w:rPr>
        <w:t xml:space="preserve">In the last two years, </w:t>
      </w:r>
      <w:r w:rsidRPr="00716DB0">
        <w:rPr>
          <w:sz w:val="24"/>
          <w:lang w:val="tr-TR"/>
        </w:rPr>
        <w:t xml:space="preserve">evidence of the escalating human rights </w:t>
      </w:r>
      <w:r w:rsidR="00970E50">
        <w:rPr>
          <w:sz w:val="24"/>
          <w:lang w:val="tr-TR"/>
        </w:rPr>
        <w:t>v</w:t>
      </w:r>
      <w:r w:rsidR="00ED6B94">
        <w:rPr>
          <w:sz w:val="24"/>
          <w:lang w:val="tr-TR"/>
        </w:rPr>
        <w:t>iolations</w:t>
      </w:r>
      <w:r w:rsidR="00970E50" w:rsidRPr="00716DB0">
        <w:rPr>
          <w:sz w:val="24"/>
          <w:lang w:val="tr-TR"/>
        </w:rPr>
        <w:t xml:space="preserve"> </w:t>
      </w:r>
      <w:r w:rsidRPr="00716DB0">
        <w:rPr>
          <w:sz w:val="24"/>
          <w:lang w:val="tr-TR"/>
        </w:rPr>
        <w:t>abound</w:t>
      </w:r>
      <w:r>
        <w:rPr>
          <w:sz w:val="24"/>
          <w:lang w:val="tr-TR"/>
        </w:rPr>
        <w:t>:</w:t>
      </w:r>
      <w:r w:rsidRPr="00803571">
        <w:rPr>
          <w:sz w:val="24"/>
          <w:lang w:val="tr-TR"/>
        </w:rPr>
        <w:t xml:space="preserve"> </w:t>
      </w:r>
      <w:r>
        <w:rPr>
          <w:sz w:val="24"/>
          <w:lang w:val="tr-TR"/>
        </w:rPr>
        <w:t>f</w:t>
      </w:r>
      <w:r w:rsidRPr="00716DB0">
        <w:rPr>
          <w:sz w:val="24"/>
          <w:lang w:val="tr-TR"/>
        </w:rPr>
        <w:t>rom arbitrary detentions to abusive prosecutions, from shutting down of media outlets to permanent closure</w:t>
      </w:r>
      <w:r>
        <w:rPr>
          <w:sz w:val="24"/>
          <w:lang w:val="tr-TR"/>
        </w:rPr>
        <w:t xml:space="preserve"> of civil society organisations. </w:t>
      </w:r>
      <w:r w:rsidR="00CD51E5" w:rsidRPr="00716DB0">
        <w:rPr>
          <w:color w:val="auto"/>
          <w:sz w:val="24"/>
          <w:lang w:val="en"/>
        </w:rPr>
        <w:t xml:space="preserve">Many </w:t>
      </w:r>
      <w:r w:rsidR="00B647A7" w:rsidRPr="00716DB0">
        <w:rPr>
          <w:color w:val="auto"/>
          <w:sz w:val="24"/>
          <w:lang w:val="en"/>
        </w:rPr>
        <w:t xml:space="preserve">of the measures issued under the state of emergency </w:t>
      </w:r>
      <w:r w:rsidR="00CD51E5" w:rsidRPr="00716DB0">
        <w:rPr>
          <w:color w:val="auto"/>
          <w:sz w:val="24"/>
          <w:lang w:val="en"/>
        </w:rPr>
        <w:t>wi</w:t>
      </w:r>
      <w:r w:rsidR="00B647A7" w:rsidRPr="00716DB0">
        <w:rPr>
          <w:color w:val="auto"/>
          <w:sz w:val="24"/>
          <w:lang w:val="en"/>
        </w:rPr>
        <w:t>ll remain in force following its</w:t>
      </w:r>
      <w:r w:rsidR="00CD51E5" w:rsidRPr="00716DB0">
        <w:rPr>
          <w:color w:val="auto"/>
          <w:sz w:val="24"/>
          <w:lang w:val="en"/>
        </w:rPr>
        <w:t xml:space="preserve"> lifting</w:t>
      </w:r>
      <w:r w:rsidR="00B647A7" w:rsidRPr="00716DB0">
        <w:rPr>
          <w:color w:val="auto"/>
          <w:sz w:val="24"/>
          <w:lang w:val="en"/>
        </w:rPr>
        <w:t xml:space="preserve">. </w:t>
      </w:r>
    </w:p>
    <w:p w14:paraId="56A45C08" w14:textId="06C31E00" w:rsidR="00953111" w:rsidRDefault="00953111" w:rsidP="00953111">
      <w:pPr>
        <w:rPr>
          <w:sz w:val="24"/>
        </w:rPr>
      </w:pPr>
      <w:r w:rsidRPr="00716DB0">
        <w:rPr>
          <w:sz w:val="24"/>
        </w:rPr>
        <w:t>The last two years were also marked by sections of civil society</w:t>
      </w:r>
      <w:r>
        <w:rPr>
          <w:sz w:val="24"/>
        </w:rPr>
        <w:t xml:space="preserve"> </w:t>
      </w:r>
      <w:r w:rsidR="00970E50">
        <w:rPr>
          <w:sz w:val="24"/>
        </w:rPr>
        <w:t xml:space="preserve">being </w:t>
      </w:r>
      <w:r>
        <w:rPr>
          <w:sz w:val="24"/>
        </w:rPr>
        <w:t>targeted for doing their work, yet</w:t>
      </w:r>
      <w:r w:rsidRPr="00716DB0">
        <w:rPr>
          <w:sz w:val="24"/>
        </w:rPr>
        <w:t xml:space="preserve"> refusing to bow down and resisting the attacks on human rights</w:t>
      </w:r>
      <w:r w:rsidRPr="000C2195">
        <w:rPr>
          <w:sz w:val="24"/>
        </w:rPr>
        <w:t xml:space="preserve">. </w:t>
      </w:r>
      <w:r w:rsidR="000C2195" w:rsidRPr="000C2195">
        <w:rPr>
          <w:sz w:val="24"/>
        </w:rPr>
        <w:t xml:space="preserve">Even though they were </w:t>
      </w:r>
      <w:r w:rsidRPr="000C2195">
        <w:rPr>
          <w:sz w:val="24"/>
        </w:rPr>
        <w:t>particularly threatened, human rights defenders</w:t>
      </w:r>
      <w:r w:rsidRPr="00716DB0">
        <w:rPr>
          <w:sz w:val="24"/>
        </w:rPr>
        <w:t xml:space="preserve"> working on freedom of expression, LGBTI rights, </w:t>
      </w:r>
      <w:r w:rsidR="00970E50">
        <w:rPr>
          <w:sz w:val="24"/>
        </w:rPr>
        <w:t xml:space="preserve">and </w:t>
      </w:r>
      <w:r w:rsidRPr="00716DB0">
        <w:rPr>
          <w:sz w:val="24"/>
        </w:rPr>
        <w:t xml:space="preserve">women’s rights, </w:t>
      </w:r>
      <w:r w:rsidR="00970E50">
        <w:rPr>
          <w:sz w:val="24"/>
        </w:rPr>
        <w:t xml:space="preserve">as well as </w:t>
      </w:r>
      <w:r w:rsidRPr="00716DB0">
        <w:rPr>
          <w:sz w:val="24"/>
        </w:rPr>
        <w:t xml:space="preserve">trade unionists, children’s rights activists and those supporting refugees have continued to stand up for those bearing the brunt of the clampdown, some doing so at great risk to themselves. </w:t>
      </w:r>
    </w:p>
    <w:p w14:paraId="33CEB415" w14:textId="77777777" w:rsidR="00A77424" w:rsidRPr="00716DB0" w:rsidRDefault="00A77424" w:rsidP="00A77424">
      <w:pPr>
        <w:rPr>
          <w:b/>
          <w:sz w:val="24"/>
        </w:rPr>
      </w:pPr>
      <w:r w:rsidRPr="00716DB0">
        <w:rPr>
          <w:b/>
          <w:sz w:val="24"/>
        </w:rPr>
        <w:t xml:space="preserve">Looking ahead </w:t>
      </w:r>
    </w:p>
    <w:p w14:paraId="1BDF6618" w14:textId="2CD3B67A" w:rsidR="00A77424" w:rsidRPr="00716DB0" w:rsidRDefault="00A77424" w:rsidP="00A77424">
      <w:pPr>
        <w:rPr>
          <w:sz w:val="24"/>
        </w:rPr>
      </w:pPr>
      <w:r>
        <w:rPr>
          <w:sz w:val="24"/>
        </w:rPr>
        <w:t>The</w:t>
      </w:r>
      <w:r w:rsidRPr="00716DB0">
        <w:rPr>
          <w:sz w:val="24"/>
        </w:rPr>
        <w:t xml:space="preserve"> ending of the state of emergency is the first step </w:t>
      </w:r>
      <w:r w:rsidR="00970E50">
        <w:rPr>
          <w:sz w:val="24"/>
        </w:rPr>
        <w:t xml:space="preserve">which is necessary </w:t>
      </w:r>
      <w:r w:rsidRPr="00716DB0">
        <w:rPr>
          <w:sz w:val="24"/>
        </w:rPr>
        <w:t>in a long line of measures that the new government must undertake, if Turkey is to return to a state of normalcy. Amnesty International</w:t>
      </w:r>
      <w:r w:rsidR="00201172">
        <w:rPr>
          <w:sz w:val="24"/>
        </w:rPr>
        <w:t xml:space="preserve"> calls for </w:t>
      </w:r>
      <w:r w:rsidRPr="00716DB0">
        <w:rPr>
          <w:sz w:val="24"/>
        </w:rPr>
        <w:t xml:space="preserve">the following five urgent steps </w:t>
      </w:r>
      <w:r w:rsidR="00201172">
        <w:rPr>
          <w:sz w:val="24"/>
        </w:rPr>
        <w:t>to</w:t>
      </w:r>
      <w:r w:rsidR="00201172" w:rsidRPr="00716DB0">
        <w:rPr>
          <w:sz w:val="24"/>
        </w:rPr>
        <w:t xml:space="preserve"> </w:t>
      </w:r>
      <w:r w:rsidRPr="00716DB0">
        <w:rPr>
          <w:sz w:val="24"/>
        </w:rPr>
        <w:t xml:space="preserve">be implemented to reverse the worst effects of the crackdown on human rights </w:t>
      </w:r>
      <w:r w:rsidR="00B54AD3">
        <w:rPr>
          <w:sz w:val="24"/>
        </w:rPr>
        <w:t>during the two-year state of emergency</w:t>
      </w:r>
      <w:r w:rsidR="00B54AD3" w:rsidRPr="00716DB0">
        <w:rPr>
          <w:sz w:val="24"/>
        </w:rPr>
        <w:t xml:space="preserve"> </w:t>
      </w:r>
      <w:r w:rsidRPr="00716DB0">
        <w:rPr>
          <w:sz w:val="24"/>
        </w:rPr>
        <w:t xml:space="preserve">in Turkey. </w:t>
      </w:r>
    </w:p>
    <w:p w14:paraId="645C5FBD" w14:textId="350A64E1" w:rsidR="00A77424" w:rsidRPr="00E06585" w:rsidRDefault="00A77424" w:rsidP="00A77424">
      <w:pPr>
        <w:rPr>
          <w:sz w:val="24"/>
        </w:rPr>
      </w:pPr>
      <w:r w:rsidRPr="00716DB0">
        <w:rPr>
          <w:sz w:val="24"/>
        </w:rPr>
        <w:t>•</w:t>
      </w:r>
      <w:r w:rsidRPr="00716DB0">
        <w:rPr>
          <w:sz w:val="24"/>
        </w:rPr>
        <w:tab/>
      </w:r>
      <w:bookmarkStart w:id="1" w:name="_Hlk519238962"/>
      <w:r w:rsidRPr="009836FA">
        <w:rPr>
          <w:sz w:val="24"/>
        </w:rPr>
        <w:t xml:space="preserve">Repeal all emergency measures </w:t>
      </w:r>
      <w:r w:rsidR="002A2854" w:rsidRPr="009836FA">
        <w:rPr>
          <w:sz w:val="24"/>
        </w:rPr>
        <w:t xml:space="preserve">which are not demonstrably necessary and proportionate for protection against threats to national security or public safety, or which entail disproportionate restrictions on the exercise of human rights. </w:t>
      </w:r>
    </w:p>
    <w:p w14:paraId="46D1B844" w14:textId="00C6D830" w:rsidR="00A77424" w:rsidRPr="00716DB0" w:rsidRDefault="00A77424" w:rsidP="00A77424">
      <w:pPr>
        <w:rPr>
          <w:sz w:val="24"/>
        </w:rPr>
      </w:pPr>
      <w:r w:rsidRPr="00E06585">
        <w:rPr>
          <w:sz w:val="24"/>
        </w:rPr>
        <w:t>•</w:t>
      </w:r>
      <w:r w:rsidRPr="00E06585">
        <w:rPr>
          <w:sz w:val="24"/>
        </w:rPr>
        <w:tab/>
      </w:r>
      <w:r w:rsidRPr="009836FA">
        <w:rPr>
          <w:sz w:val="24"/>
        </w:rPr>
        <w:t xml:space="preserve">Immediately release Taner Kılıç and </w:t>
      </w:r>
      <w:r w:rsidR="000079C8" w:rsidRPr="009836FA">
        <w:rPr>
          <w:sz w:val="24"/>
        </w:rPr>
        <w:t xml:space="preserve">all </w:t>
      </w:r>
      <w:r w:rsidRPr="009836FA">
        <w:rPr>
          <w:sz w:val="24"/>
        </w:rPr>
        <w:t xml:space="preserve">other imprisoned human rights </w:t>
      </w:r>
      <w:r w:rsidRPr="009836FA">
        <w:rPr>
          <w:sz w:val="24"/>
        </w:rPr>
        <w:lastRenderedPageBreak/>
        <w:t xml:space="preserve">defenders, journalists and </w:t>
      </w:r>
      <w:r w:rsidR="000079C8" w:rsidRPr="009836FA">
        <w:rPr>
          <w:sz w:val="24"/>
        </w:rPr>
        <w:t xml:space="preserve">others </w:t>
      </w:r>
      <w:r w:rsidRPr="009836FA">
        <w:rPr>
          <w:sz w:val="24"/>
        </w:rPr>
        <w:t>who have been detained on baseless charges</w:t>
      </w:r>
      <w:r w:rsidR="00235E3C">
        <w:rPr>
          <w:sz w:val="24"/>
        </w:rPr>
        <w:t>.</w:t>
      </w:r>
    </w:p>
    <w:p w14:paraId="7696E40A" w14:textId="21CAB507" w:rsidR="00A77424" w:rsidRPr="00716DB0" w:rsidRDefault="00A77424" w:rsidP="00A77424">
      <w:pPr>
        <w:rPr>
          <w:sz w:val="24"/>
        </w:rPr>
      </w:pPr>
      <w:r w:rsidRPr="00716DB0">
        <w:rPr>
          <w:sz w:val="24"/>
        </w:rPr>
        <w:t>•</w:t>
      </w:r>
      <w:r w:rsidRPr="00716DB0">
        <w:rPr>
          <w:sz w:val="24"/>
        </w:rPr>
        <w:tab/>
        <w:t xml:space="preserve">Ensure people can gather and protest </w:t>
      </w:r>
      <w:r>
        <w:rPr>
          <w:sz w:val="24"/>
        </w:rPr>
        <w:t>peacefully</w:t>
      </w:r>
      <w:r w:rsidRPr="00716DB0">
        <w:rPr>
          <w:sz w:val="24"/>
        </w:rPr>
        <w:t xml:space="preserve"> without fear, including by </w:t>
      </w:r>
      <w:r w:rsidR="00E06585">
        <w:rPr>
          <w:sz w:val="24"/>
        </w:rPr>
        <w:t>putting a stop to the repeated</w:t>
      </w:r>
      <w:r w:rsidR="001B61A0">
        <w:rPr>
          <w:sz w:val="24"/>
        </w:rPr>
        <w:t xml:space="preserve"> bans</w:t>
      </w:r>
      <w:r w:rsidRPr="00716DB0">
        <w:rPr>
          <w:sz w:val="24"/>
        </w:rPr>
        <w:t xml:space="preserve"> </w:t>
      </w:r>
      <w:r w:rsidR="002A62C5">
        <w:rPr>
          <w:sz w:val="24"/>
        </w:rPr>
        <w:t xml:space="preserve">which have been imposed </w:t>
      </w:r>
      <w:r w:rsidRPr="00716DB0">
        <w:rPr>
          <w:sz w:val="24"/>
        </w:rPr>
        <w:t>on LGBTI events</w:t>
      </w:r>
      <w:r w:rsidR="001B61A0">
        <w:rPr>
          <w:sz w:val="24"/>
        </w:rPr>
        <w:t xml:space="preserve"> across the country</w:t>
      </w:r>
    </w:p>
    <w:p w14:paraId="15B73D96" w14:textId="5A3558A7" w:rsidR="00A77424" w:rsidRPr="00716DB0" w:rsidRDefault="00A77424" w:rsidP="00A77424">
      <w:pPr>
        <w:rPr>
          <w:sz w:val="24"/>
        </w:rPr>
      </w:pPr>
      <w:r w:rsidRPr="00716DB0">
        <w:rPr>
          <w:sz w:val="24"/>
        </w:rPr>
        <w:t>•</w:t>
      </w:r>
      <w:r w:rsidR="00840816">
        <w:rPr>
          <w:sz w:val="24"/>
        </w:rPr>
        <w:t xml:space="preserve"> </w:t>
      </w:r>
      <w:bookmarkStart w:id="2" w:name="_Hlk519643691"/>
      <w:r w:rsidR="00B5358F">
        <w:rPr>
          <w:sz w:val="24"/>
        </w:rPr>
        <w:t xml:space="preserve">Do not continue with the arbitrary dismissal of public sector employees as intended by a new law tabled at the Parliament on 16 July 2018 </w:t>
      </w:r>
      <w:bookmarkEnd w:id="2"/>
      <w:r w:rsidR="00B5358F">
        <w:rPr>
          <w:sz w:val="24"/>
        </w:rPr>
        <w:t>and e</w:t>
      </w:r>
      <w:r w:rsidR="00B5358F" w:rsidRPr="00840816">
        <w:rPr>
          <w:sz w:val="24"/>
        </w:rPr>
        <w:t>nsure </w:t>
      </w:r>
      <w:r w:rsidR="00840816" w:rsidRPr="00840816">
        <w:rPr>
          <w:sz w:val="24"/>
        </w:rPr>
        <w:t>all public sector employees arbitrarily dismissed during the state of emergency are reinstated to their previous jobs and appropriately compensated for any harm, including loss of earnings. In any cases where individuals are reasonably suspected of wrongdoing or misconduct in their employment, or of a criminal offence, any decision on their dismissal should be made only in a regular disciplinary process with full procedural safeguards.</w:t>
      </w:r>
    </w:p>
    <w:p w14:paraId="1C507BA6" w14:textId="0D41EBD4" w:rsidR="00953111" w:rsidRPr="00306992" w:rsidRDefault="00A77424" w:rsidP="00CD51E5">
      <w:pPr>
        <w:rPr>
          <w:sz w:val="24"/>
        </w:rPr>
      </w:pPr>
      <w:r w:rsidRPr="00716DB0">
        <w:rPr>
          <w:sz w:val="24"/>
        </w:rPr>
        <w:t>•</w:t>
      </w:r>
      <w:r w:rsidRPr="00716DB0">
        <w:rPr>
          <w:sz w:val="24"/>
        </w:rPr>
        <w:tab/>
        <w:t xml:space="preserve">Allow human rights organizations and media outlets that </w:t>
      </w:r>
      <w:r w:rsidR="00A1427C">
        <w:rPr>
          <w:sz w:val="24"/>
        </w:rPr>
        <w:t>have been</w:t>
      </w:r>
      <w:r w:rsidR="00A1427C" w:rsidRPr="00716DB0">
        <w:rPr>
          <w:sz w:val="24"/>
        </w:rPr>
        <w:t xml:space="preserve"> </w:t>
      </w:r>
      <w:r w:rsidRPr="00716DB0">
        <w:rPr>
          <w:sz w:val="24"/>
        </w:rPr>
        <w:t xml:space="preserve">arbitrarily closed </w:t>
      </w:r>
      <w:r w:rsidR="00AD502C">
        <w:rPr>
          <w:sz w:val="24"/>
        </w:rPr>
        <w:t>to reopen</w:t>
      </w:r>
      <w:r w:rsidR="00970E50">
        <w:rPr>
          <w:sz w:val="24"/>
        </w:rPr>
        <w:t>,</w:t>
      </w:r>
      <w:r w:rsidR="00AD502C">
        <w:rPr>
          <w:sz w:val="24"/>
        </w:rPr>
        <w:t xml:space="preserve"> </w:t>
      </w:r>
      <w:r w:rsidRPr="00716DB0">
        <w:rPr>
          <w:sz w:val="24"/>
        </w:rPr>
        <w:t xml:space="preserve">and give back </w:t>
      </w:r>
      <w:r w:rsidR="00AD502C">
        <w:rPr>
          <w:sz w:val="24"/>
        </w:rPr>
        <w:t>their</w:t>
      </w:r>
      <w:r w:rsidRPr="00716DB0">
        <w:rPr>
          <w:sz w:val="24"/>
        </w:rPr>
        <w:t xml:space="preserve"> confiscated p</w:t>
      </w:r>
      <w:r w:rsidR="00AE059C">
        <w:rPr>
          <w:sz w:val="24"/>
        </w:rPr>
        <w:t>roperty</w:t>
      </w:r>
      <w:bookmarkEnd w:id="1"/>
    </w:p>
    <w:p w14:paraId="709F8CD1" w14:textId="49C69D24" w:rsidR="00CD51E5" w:rsidRPr="00716DB0" w:rsidRDefault="00CD51E5" w:rsidP="008D1E1F">
      <w:pPr>
        <w:rPr>
          <w:b/>
          <w:sz w:val="24"/>
          <w:lang w:val="tr-TR"/>
        </w:rPr>
      </w:pPr>
      <w:r w:rsidRPr="00716DB0">
        <w:rPr>
          <w:b/>
          <w:sz w:val="24"/>
          <w:lang w:val="tr-TR"/>
        </w:rPr>
        <w:t>Overview</w:t>
      </w:r>
    </w:p>
    <w:p w14:paraId="2BAA1A95" w14:textId="5EE31120" w:rsidR="00803571" w:rsidRDefault="008D1E1F" w:rsidP="008D1E1F">
      <w:pPr>
        <w:rPr>
          <w:sz w:val="24"/>
          <w:lang w:val="tr-TR"/>
        </w:rPr>
      </w:pPr>
      <w:r w:rsidRPr="00716DB0">
        <w:rPr>
          <w:sz w:val="24"/>
          <w:lang w:val="tr-TR"/>
        </w:rPr>
        <w:t xml:space="preserve">Introduced following the bloody coup </w:t>
      </w:r>
      <w:r w:rsidR="00470AFF" w:rsidRPr="00716DB0">
        <w:rPr>
          <w:sz w:val="24"/>
          <w:lang w:val="tr-TR"/>
        </w:rPr>
        <w:t xml:space="preserve">attempt </w:t>
      </w:r>
      <w:r w:rsidRPr="00716DB0">
        <w:rPr>
          <w:sz w:val="24"/>
          <w:lang w:val="tr-TR"/>
        </w:rPr>
        <w:t>of 15 July 2016</w:t>
      </w:r>
      <w:r w:rsidR="004C674B">
        <w:rPr>
          <w:sz w:val="24"/>
          <w:lang w:val="tr-TR"/>
        </w:rPr>
        <w:t xml:space="preserve"> during which more than 240 people were killed</w:t>
      </w:r>
      <w:r w:rsidRPr="00716DB0">
        <w:rPr>
          <w:sz w:val="24"/>
          <w:lang w:val="tr-TR"/>
        </w:rPr>
        <w:t xml:space="preserve">, the state of emergency has </w:t>
      </w:r>
      <w:r w:rsidR="00263C9F" w:rsidRPr="00716DB0">
        <w:rPr>
          <w:sz w:val="24"/>
          <w:lang w:val="tr-TR"/>
        </w:rPr>
        <w:t>been used to facilitate</w:t>
      </w:r>
      <w:r w:rsidRPr="00716DB0">
        <w:rPr>
          <w:sz w:val="24"/>
          <w:lang w:val="tr-TR"/>
        </w:rPr>
        <w:t xml:space="preserve"> a massive crackdown on human rights</w:t>
      </w:r>
      <w:r w:rsidR="00803571">
        <w:rPr>
          <w:sz w:val="24"/>
          <w:lang w:val="tr-TR"/>
        </w:rPr>
        <w:t>,</w:t>
      </w:r>
      <w:r w:rsidRPr="00716DB0">
        <w:rPr>
          <w:sz w:val="24"/>
          <w:lang w:val="tr-TR"/>
        </w:rPr>
        <w:t xml:space="preserve"> during which </w:t>
      </w:r>
      <w:r w:rsidR="00263C9F" w:rsidRPr="00716DB0">
        <w:rPr>
          <w:sz w:val="24"/>
          <w:lang w:val="tr-TR"/>
        </w:rPr>
        <w:t xml:space="preserve">hundreds </w:t>
      </w:r>
      <w:r w:rsidRPr="00716DB0">
        <w:rPr>
          <w:sz w:val="24"/>
          <w:lang w:val="tr-TR"/>
        </w:rPr>
        <w:t xml:space="preserve">of thousands of people have been caught up in the dragnet. </w:t>
      </w:r>
      <w:r w:rsidR="004C674B">
        <w:rPr>
          <w:sz w:val="24"/>
          <w:lang w:val="tr-TR"/>
        </w:rPr>
        <w:t xml:space="preserve">While it is </w:t>
      </w:r>
      <w:r w:rsidR="004C674B" w:rsidRPr="002A2854">
        <w:rPr>
          <w:sz w:val="24"/>
          <w:lang w:val="tr-TR"/>
        </w:rPr>
        <w:t xml:space="preserve">legitimate </w:t>
      </w:r>
      <w:r w:rsidR="00803571" w:rsidRPr="002A2854">
        <w:rPr>
          <w:sz w:val="24"/>
          <w:lang w:val="tr-TR"/>
        </w:rPr>
        <w:t>and</w:t>
      </w:r>
      <w:r w:rsidR="004C674B" w:rsidRPr="002A2854">
        <w:rPr>
          <w:sz w:val="24"/>
          <w:lang w:val="tr-TR"/>
        </w:rPr>
        <w:t xml:space="preserve"> expected that the</w:t>
      </w:r>
      <w:r w:rsidR="004C674B">
        <w:rPr>
          <w:sz w:val="24"/>
          <w:lang w:val="tr-TR"/>
        </w:rPr>
        <w:t xml:space="preserve"> state protects </w:t>
      </w:r>
      <w:r w:rsidR="00683341">
        <w:rPr>
          <w:sz w:val="24"/>
          <w:lang w:val="tr-TR"/>
        </w:rPr>
        <w:t xml:space="preserve">the population </w:t>
      </w:r>
      <w:r w:rsidR="004C674B">
        <w:rPr>
          <w:sz w:val="24"/>
          <w:lang w:val="tr-TR"/>
        </w:rPr>
        <w:t xml:space="preserve">in a situation of serious public disorder and </w:t>
      </w:r>
      <w:r w:rsidR="00683341">
        <w:rPr>
          <w:sz w:val="24"/>
          <w:lang w:val="tr-TR"/>
        </w:rPr>
        <w:t xml:space="preserve">ensures that </w:t>
      </w:r>
      <w:r w:rsidR="004C674B">
        <w:rPr>
          <w:sz w:val="24"/>
          <w:lang w:val="tr-TR"/>
        </w:rPr>
        <w:t xml:space="preserve">those responsible </w:t>
      </w:r>
      <w:r w:rsidR="00683341">
        <w:rPr>
          <w:sz w:val="24"/>
          <w:lang w:val="tr-TR"/>
        </w:rPr>
        <w:t xml:space="preserve">for criminal wrongdoing are brought </w:t>
      </w:r>
      <w:r w:rsidR="004C674B">
        <w:rPr>
          <w:sz w:val="24"/>
          <w:lang w:val="tr-TR"/>
        </w:rPr>
        <w:t xml:space="preserve">to justice, it is also the state’s duty to do so in compliance with its human rights obligations. </w:t>
      </w:r>
    </w:p>
    <w:p w14:paraId="0AF4795D" w14:textId="497DF3FF" w:rsidR="008D1E1F" w:rsidRPr="00716DB0" w:rsidRDefault="00490C16" w:rsidP="008D1E1F">
      <w:pPr>
        <w:rPr>
          <w:sz w:val="24"/>
        </w:rPr>
      </w:pPr>
      <w:r>
        <w:rPr>
          <w:sz w:val="24"/>
        </w:rPr>
        <w:t>During the time since [the 2016 coup attempt</w:t>
      </w:r>
      <w:r w:rsidR="008D1E1F" w:rsidRPr="00716DB0">
        <w:rPr>
          <w:sz w:val="24"/>
        </w:rPr>
        <w:t xml:space="preserve">, legislation </w:t>
      </w:r>
      <w:r>
        <w:rPr>
          <w:sz w:val="24"/>
        </w:rPr>
        <w:t>has been</w:t>
      </w:r>
      <w:r w:rsidRPr="00716DB0">
        <w:rPr>
          <w:sz w:val="24"/>
        </w:rPr>
        <w:t xml:space="preserve"> </w:t>
      </w:r>
      <w:r w:rsidR="008D1E1F" w:rsidRPr="00716DB0">
        <w:rPr>
          <w:sz w:val="24"/>
        </w:rPr>
        <w:t xml:space="preserve">amended by </w:t>
      </w:r>
      <w:r w:rsidR="006F5D9C" w:rsidRPr="00716DB0">
        <w:rPr>
          <w:sz w:val="24"/>
        </w:rPr>
        <w:t>3</w:t>
      </w:r>
      <w:r w:rsidR="00325A94" w:rsidRPr="00716DB0">
        <w:rPr>
          <w:sz w:val="24"/>
        </w:rPr>
        <w:t>2</w:t>
      </w:r>
      <w:r w:rsidR="006F5D9C" w:rsidRPr="00716DB0">
        <w:rPr>
          <w:sz w:val="24"/>
        </w:rPr>
        <w:t xml:space="preserve"> </w:t>
      </w:r>
      <w:r w:rsidR="00CA0BDD">
        <w:rPr>
          <w:sz w:val="24"/>
        </w:rPr>
        <w:t xml:space="preserve">state of emergency </w:t>
      </w:r>
      <w:r w:rsidR="008D1E1F" w:rsidRPr="00716DB0">
        <w:rPr>
          <w:sz w:val="24"/>
        </w:rPr>
        <w:t xml:space="preserve">executive decrees that have the force of law. </w:t>
      </w:r>
      <w:bookmarkStart w:id="3" w:name="_Hlk519605537"/>
      <w:r w:rsidR="00B647A7" w:rsidRPr="00716DB0">
        <w:rPr>
          <w:color w:val="auto"/>
          <w:sz w:val="24"/>
        </w:rPr>
        <w:t>More than</w:t>
      </w:r>
      <w:r w:rsidR="008D1E1F" w:rsidRPr="00716DB0">
        <w:rPr>
          <w:color w:val="auto"/>
          <w:sz w:val="24"/>
        </w:rPr>
        <w:t xml:space="preserve"> </w:t>
      </w:r>
      <w:r w:rsidR="00C55336">
        <w:rPr>
          <w:color w:val="auto"/>
          <w:sz w:val="24"/>
        </w:rPr>
        <w:t>300</w:t>
      </w:r>
      <w:r w:rsidR="00F52CDE" w:rsidRPr="00716DB0">
        <w:rPr>
          <w:color w:val="auto"/>
          <w:sz w:val="24"/>
        </w:rPr>
        <w:t xml:space="preserve"> </w:t>
      </w:r>
      <w:r w:rsidR="008D1E1F" w:rsidRPr="00716DB0">
        <w:rPr>
          <w:color w:val="auto"/>
          <w:sz w:val="24"/>
        </w:rPr>
        <w:t xml:space="preserve">amendments by state of emergency executive decrees were made to </w:t>
      </w:r>
      <w:r w:rsidR="00B647A7" w:rsidRPr="00716CA6">
        <w:rPr>
          <w:color w:val="auto"/>
          <w:sz w:val="24"/>
        </w:rPr>
        <w:t>more than</w:t>
      </w:r>
      <w:r w:rsidR="008D1E1F" w:rsidRPr="00716CA6">
        <w:rPr>
          <w:color w:val="auto"/>
          <w:sz w:val="24"/>
        </w:rPr>
        <w:t xml:space="preserve"> </w:t>
      </w:r>
      <w:r w:rsidR="008D1E1F" w:rsidRPr="00716CA6">
        <w:rPr>
          <w:sz w:val="24"/>
        </w:rPr>
        <w:t>150 separate laws</w:t>
      </w:r>
      <w:r w:rsidR="00C23971" w:rsidRPr="00716CA6">
        <w:rPr>
          <w:sz w:val="24"/>
        </w:rPr>
        <w:t xml:space="preserve"> many of which with human rights implications</w:t>
      </w:r>
      <w:r w:rsidR="00921EFA" w:rsidRPr="00716CA6">
        <w:rPr>
          <w:rStyle w:val="CommentReference"/>
          <w:sz w:val="24"/>
          <w:szCs w:val="24"/>
        </w:rPr>
        <w:t>.</w:t>
      </w:r>
      <w:r w:rsidR="003A7E2B" w:rsidRPr="00716CA6">
        <w:rPr>
          <w:sz w:val="24"/>
        </w:rPr>
        <w:t xml:space="preserve"> </w:t>
      </w:r>
      <w:bookmarkEnd w:id="3"/>
      <w:r w:rsidR="003A7E2B" w:rsidRPr="00716CA6">
        <w:rPr>
          <w:sz w:val="24"/>
        </w:rPr>
        <w:t>While</w:t>
      </w:r>
      <w:r w:rsidR="003A7E2B" w:rsidRPr="00716DB0">
        <w:rPr>
          <w:sz w:val="24"/>
        </w:rPr>
        <w:t xml:space="preserve"> measures taken have infringed upon many rights, for example those relating to freedom of</w:t>
      </w:r>
      <w:r>
        <w:rPr>
          <w:sz w:val="24"/>
        </w:rPr>
        <w:t xml:space="preserve"> peaceful </w:t>
      </w:r>
      <w:r w:rsidR="003A7E2B" w:rsidRPr="00716DB0">
        <w:rPr>
          <w:sz w:val="24"/>
        </w:rPr>
        <w:t xml:space="preserve">assembly, freedom of expression, fair trial, </w:t>
      </w:r>
      <w:r>
        <w:rPr>
          <w:sz w:val="24"/>
        </w:rPr>
        <w:t xml:space="preserve">the right to an </w:t>
      </w:r>
      <w:r w:rsidR="003A7E2B" w:rsidRPr="00716DB0">
        <w:rPr>
          <w:sz w:val="24"/>
        </w:rPr>
        <w:t>effective remedy,</w:t>
      </w:r>
      <w:r>
        <w:rPr>
          <w:sz w:val="24"/>
        </w:rPr>
        <w:t xml:space="preserve"> and the </w:t>
      </w:r>
      <w:r w:rsidR="007818E7" w:rsidRPr="00716DB0">
        <w:rPr>
          <w:sz w:val="24"/>
        </w:rPr>
        <w:t>right to work</w:t>
      </w:r>
      <w:r w:rsidR="003A7E2B" w:rsidRPr="00716DB0">
        <w:rPr>
          <w:sz w:val="24"/>
        </w:rPr>
        <w:t xml:space="preserve">, and </w:t>
      </w:r>
      <w:r>
        <w:rPr>
          <w:sz w:val="24"/>
        </w:rPr>
        <w:t xml:space="preserve">have also entailed confiscation </w:t>
      </w:r>
      <w:r w:rsidR="003A7E2B" w:rsidRPr="00716DB0">
        <w:rPr>
          <w:sz w:val="24"/>
        </w:rPr>
        <w:t xml:space="preserve">of property, they were not subject to effective parliamentary </w:t>
      </w:r>
      <w:r w:rsidR="003A7E2B" w:rsidRPr="00392850">
        <w:rPr>
          <w:sz w:val="24"/>
        </w:rPr>
        <w:t xml:space="preserve">scrutiny and </w:t>
      </w:r>
      <w:r w:rsidR="00096800" w:rsidRPr="00392850">
        <w:rPr>
          <w:sz w:val="24"/>
        </w:rPr>
        <w:t>have not to date been reviewed by the courts</w:t>
      </w:r>
      <w:r w:rsidR="00DB3605" w:rsidRPr="00392850">
        <w:rPr>
          <w:sz w:val="24"/>
        </w:rPr>
        <w:t>, leaving the government’s powers effectively unchecked.</w:t>
      </w:r>
    </w:p>
    <w:p w14:paraId="273E5433" w14:textId="1C5D4742" w:rsidR="001B6FEA" w:rsidRPr="001B6FEA" w:rsidRDefault="001B6FEA" w:rsidP="008D1E1F">
      <w:pPr>
        <w:rPr>
          <w:b/>
          <w:sz w:val="28"/>
          <w:szCs w:val="28"/>
        </w:rPr>
      </w:pPr>
      <w:r w:rsidRPr="001B6FEA">
        <w:rPr>
          <w:b/>
          <w:sz w:val="28"/>
          <w:szCs w:val="28"/>
        </w:rPr>
        <w:lastRenderedPageBreak/>
        <w:t>An overview of some of the worst abuses under the state of emergency</w:t>
      </w:r>
    </w:p>
    <w:p w14:paraId="4432EB8D" w14:textId="1260D0FE" w:rsidR="008D1E1F" w:rsidRPr="00716DB0" w:rsidRDefault="008D1E1F" w:rsidP="008D1E1F">
      <w:pPr>
        <w:rPr>
          <w:b/>
          <w:sz w:val="24"/>
        </w:rPr>
      </w:pPr>
      <w:r w:rsidRPr="00716DB0">
        <w:rPr>
          <w:b/>
          <w:sz w:val="24"/>
        </w:rPr>
        <w:t>Arbitrary detentions and abusive prosecutions</w:t>
      </w:r>
    </w:p>
    <w:p w14:paraId="28601E47" w14:textId="7EC9126E" w:rsidR="00211A51" w:rsidRDefault="00920777" w:rsidP="008D1E1F">
      <w:pPr>
        <w:rPr>
          <w:sz w:val="24"/>
        </w:rPr>
      </w:pPr>
      <w:r>
        <w:rPr>
          <w:sz w:val="24"/>
        </w:rPr>
        <w:t xml:space="preserve">According to statistics made available by the Ministry of </w:t>
      </w:r>
      <w:r w:rsidR="00211A51">
        <w:rPr>
          <w:sz w:val="24"/>
        </w:rPr>
        <w:t xml:space="preserve">Interior </w:t>
      </w:r>
      <w:r w:rsidR="0085647F">
        <w:rPr>
          <w:sz w:val="24"/>
        </w:rPr>
        <w:t>and the Ministry of Justice, o</w:t>
      </w:r>
      <w:r w:rsidR="0052314B">
        <w:rPr>
          <w:sz w:val="24"/>
        </w:rPr>
        <w:t>ver 150,000 people are estimated to be taken into police custody during the state of emergency.</w:t>
      </w:r>
      <w:r w:rsidR="00C103C1">
        <w:rPr>
          <w:sz w:val="24"/>
        </w:rPr>
        <w:t xml:space="preserve"> </w:t>
      </w:r>
    </w:p>
    <w:p w14:paraId="70834860" w14:textId="6D03862A" w:rsidR="008D1E1F" w:rsidRPr="00716DB0" w:rsidRDefault="008D1E1F" w:rsidP="008D1E1F">
      <w:pPr>
        <w:rPr>
          <w:sz w:val="24"/>
        </w:rPr>
      </w:pPr>
      <w:r w:rsidRPr="00716DB0">
        <w:rPr>
          <w:sz w:val="24"/>
        </w:rPr>
        <w:t xml:space="preserve">The </w:t>
      </w:r>
      <w:r w:rsidR="002D0D92">
        <w:rPr>
          <w:sz w:val="24"/>
        </w:rPr>
        <w:t>m</w:t>
      </w:r>
      <w:r w:rsidR="0091546A" w:rsidRPr="00716DB0">
        <w:rPr>
          <w:sz w:val="24"/>
        </w:rPr>
        <w:t xml:space="preserve">aximum pre-charge detention period </w:t>
      </w:r>
      <w:r w:rsidR="0052314B">
        <w:rPr>
          <w:sz w:val="24"/>
        </w:rPr>
        <w:t>f</w:t>
      </w:r>
      <w:r w:rsidR="00C103C1">
        <w:rPr>
          <w:sz w:val="24"/>
        </w:rPr>
        <w:t xml:space="preserve">or </w:t>
      </w:r>
      <w:r w:rsidR="003263DA">
        <w:rPr>
          <w:sz w:val="24"/>
        </w:rPr>
        <w:t xml:space="preserve">certain </w:t>
      </w:r>
      <w:r w:rsidR="00C103C1">
        <w:rPr>
          <w:sz w:val="24"/>
        </w:rPr>
        <w:t>crimes relating to</w:t>
      </w:r>
      <w:r w:rsidR="003263DA">
        <w:rPr>
          <w:sz w:val="24"/>
        </w:rPr>
        <w:t>,</w:t>
      </w:r>
      <w:r w:rsidR="00C103C1">
        <w:rPr>
          <w:sz w:val="24"/>
        </w:rPr>
        <w:t xml:space="preserve"> </w:t>
      </w:r>
      <w:r w:rsidR="003263DA">
        <w:rPr>
          <w:sz w:val="24"/>
        </w:rPr>
        <w:t xml:space="preserve">for example, </w:t>
      </w:r>
      <w:r w:rsidR="00C103C1">
        <w:rPr>
          <w:sz w:val="24"/>
        </w:rPr>
        <w:t xml:space="preserve">‘terrorism,’ national and state security, and constitutional order </w:t>
      </w:r>
      <w:r w:rsidR="0091546A" w:rsidRPr="00716DB0">
        <w:rPr>
          <w:sz w:val="24"/>
        </w:rPr>
        <w:t>was increased</w:t>
      </w:r>
      <w:r w:rsidR="00211A51">
        <w:rPr>
          <w:sz w:val="24"/>
        </w:rPr>
        <w:t xml:space="preserve"> in July 2016</w:t>
      </w:r>
      <w:r w:rsidR="0091546A" w:rsidRPr="00716DB0">
        <w:rPr>
          <w:sz w:val="24"/>
        </w:rPr>
        <w:t xml:space="preserve"> from four to </w:t>
      </w:r>
      <w:r w:rsidR="00211A51">
        <w:rPr>
          <w:sz w:val="24"/>
        </w:rPr>
        <w:t>30</w:t>
      </w:r>
      <w:r w:rsidR="00211A51" w:rsidRPr="00716DB0">
        <w:rPr>
          <w:sz w:val="24"/>
        </w:rPr>
        <w:t xml:space="preserve"> </w:t>
      </w:r>
      <w:r w:rsidR="0091546A" w:rsidRPr="00716DB0">
        <w:rPr>
          <w:sz w:val="24"/>
        </w:rPr>
        <w:t>days, later reduced to 14 days</w:t>
      </w:r>
      <w:r w:rsidR="0052314B">
        <w:rPr>
          <w:sz w:val="24"/>
        </w:rPr>
        <w:t xml:space="preserve"> in January 2017. These </w:t>
      </w:r>
      <w:r w:rsidR="0091546A" w:rsidRPr="00716DB0">
        <w:rPr>
          <w:sz w:val="24"/>
        </w:rPr>
        <w:t xml:space="preserve">maximum detention periods </w:t>
      </w:r>
      <w:r w:rsidR="00734F5A">
        <w:rPr>
          <w:sz w:val="24"/>
        </w:rPr>
        <w:t xml:space="preserve">were </w:t>
      </w:r>
      <w:r w:rsidR="0091546A" w:rsidRPr="00716DB0">
        <w:rPr>
          <w:sz w:val="24"/>
        </w:rPr>
        <w:t>routinely and arbitrarily applied</w:t>
      </w:r>
      <w:r w:rsidR="002D0D92">
        <w:rPr>
          <w:sz w:val="24"/>
        </w:rPr>
        <w:t>.</w:t>
      </w:r>
      <w:r w:rsidR="0091546A" w:rsidRPr="00716DB0">
        <w:rPr>
          <w:sz w:val="24"/>
        </w:rPr>
        <w:t xml:space="preserve"> </w:t>
      </w:r>
      <w:r w:rsidR="00734F5A">
        <w:rPr>
          <w:sz w:val="24"/>
        </w:rPr>
        <w:t>The maximum period for pre-trial detention was increased from five to seven years</w:t>
      </w:r>
      <w:r w:rsidR="0052314B">
        <w:rPr>
          <w:sz w:val="24"/>
        </w:rPr>
        <w:t xml:space="preserve"> in August 2017</w:t>
      </w:r>
      <w:r w:rsidR="00734F5A">
        <w:rPr>
          <w:sz w:val="24"/>
        </w:rPr>
        <w:t xml:space="preserve">. </w:t>
      </w:r>
    </w:p>
    <w:p w14:paraId="777C8801" w14:textId="6E1AFE39" w:rsidR="008D1E1F" w:rsidRPr="00716DB0" w:rsidRDefault="008D1E1F" w:rsidP="008D1E1F">
      <w:pPr>
        <w:rPr>
          <w:sz w:val="24"/>
        </w:rPr>
      </w:pPr>
      <w:r w:rsidRPr="00716DB0">
        <w:rPr>
          <w:sz w:val="24"/>
        </w:rPr>
        <w:t xml:space="preserve">The </w:t>
      </w:r>
      <w:r w:rsidR="00D100C4">
        <w:rPr>
          <w:sz w:val="24"/>
        </w:rPr>
        <w:t xml:space="preserve">total </w:t>
      </w:r>
      <w:r w:rsidRPr="00716DB0">
        <w:rPr>
          <w:sz w:val="24"/>
        </w:rPr>
        <w:t>number of detainees in prison pending prosecution</w:t>
      </w:r>
      <w:r w:rsidR="00B12F23">
        <w:rPr>
          <w:sz w:val="24"/>
        </w:rPr>
        <w:t xml:space="preserve"> or pending trial</w:t>
      </w:r>
      <w:r w:rsidRPr="00716DB0">
        <w:rPr>
          <w:sz w:val="24"/>
        </w:rPr>
        <w:t xml:space="preserve"> rose fr</w:t>
      </w:r>
      <w:r w:rsidR="009D201C" w:rsidRPr="00716DB0">
        <w:rPr>
          <w:sz w:val="24"/>
        </w:rPr>
        <w:t>om just over 26,000 people in</w:t>
      </w:r>
      <w:r w:rsidRPr="00716DB0">
        <w:rPr>
          <w:sz w:val="24"/>
        </w:rPr>
        <w:t xml:space="preserve"> July 2016 </w:t>
      </w:r>
      <w:r w:rsidRPr="00716DB0">
        <w:rPr>
          <w:color w:val="auto"/>
          <w:sz w:val="24"/>
        </w:rPr>
        <w:t xml:space="preserve">to </w:t>
      </w:r>
      <w:r w:rsidR="00BC0C99" w:rsidRPr="00716DB0">
        <w:rPr>
          <w:color w:val="auto"/>
          <w:sz w:val="24"/>
        </w:rPr>
        <w:t>more than</w:t>
      </w:r>
      <w:r w:rsidRPr="00716DB0">
        <w:rPr>
          <w:color w:val="auto"/>
          <w:sz w:val="24"/>
        </w:rPr>
        <w:t xml:space="preserve"> </w:t>
      </w:r>
      <w:r w:rsidRPr="00716DB0">
        <w:rPr>
          <w:sz w:val="24"/>
        </w:rPr>
        <w:t>70,000 in March 2018</w:t>
      </w:r>
      <w:r w:rsidR="00E36B6E">
        <w:rPr>
          <w:sz w:val="24"/>
        </w:rPr>
        <w:t>.</w:t>
      </w:r>
      <w:r w:rsidR="003F70D3">
        <w:rPr>
          <w:sz w:val="24"/>
        </w:rPr>
        <w:t xml:space="preserve"> In many cases examined by Amnesty International individuals were remanded in pre-trial detention without any credible evidence that they had participated in recognisably criminal acts.  </w:t>
      </w:r>
    </w:p>
    <w:p w14:paraId="7F7A7563" w14:textId="0ED4C847" w:rsidR="008D1E1F" w:rsidRPr="00716DB0" w:rsidRDefault="006D4E5D" w:rsidP="006D4E5D">
      <w:pPr>
        <w:rPr>
          <w:sz w:val="24"/>
        </w:rPr>
      </w:pPr>
      <w:r w:rsidRPr="00CC3E56">
        <w:rPr>
          <w:sz w:val="24"/>
        </w:rPr>
        <w:t xml:space="preserve">According to statistics provided by the Turkish  government found in the latest European Union country </w:t>
      </w:r>
      <w:hyperlink r:id="rId8" w:history="1">
        <w:r w:rsidRPr="00CC3E56">
          <w:rPr>
            <w:rStyle w:val="Hyperlink"/>
            <w:sz w:val="24"/>
          </w:rPr>
          <w:t>report</w:t>
        </w:r>
      </w:hyperlink>
      <w:r w:rsidRPr="00CC3E56">
        <w:rPr>
          <w:sz w:val="24"/>
        </w:rPr>
        <w:t xml:space="preserve"> published in April 2018, </w:t>
      </w:r>
      <w:r w:rsidR="0085647F" w:rsidRPr="00CC3E56">
        <w:rPr>
          <w:sz w:val="24"/>
        </w:rPr>
        <w:t>over</w:t>
      </w:r>
      <w:r w:rsidRPr="00CC3E56">
        <w:rPr>
          <w:sz w:val="24"/>
        </w:rPr>
        <w:t xml:space="preserve"> 78,000 people </w:t>
      </w:r>
      <w:r w:rsidR="0085647F" w:rsidRPr="00CC3E56">
        <w:rPr>
          <w:sz w:val="24"/>
        </w:rPr>
        <w:t xml:space="preserve">have been </w:t>
      </w:r>
      <w:r w:rsidRPr="00CC3E56">
        <w:rPr>
          <w:sz w:val="24"/>
        </w:rPr>
        <w:t xml:space="preserve">detained under anti-terrorism laws, of whom more than 24,000 remained in pre-trial detention </w:t>
      </w:r>
      <w:r w:rsidR="0085647F" w:rsidRPr="00CC3E56">
        <w:rPr>
          <w:sz w:val="24"/>
        </w:rPr>
        <w:t>in January 2018</w:t>
      </w:r>
      <w:r w:rsidRPr="00CC3E56">
        <w:rPr>
          <w:sz w:val="24"/>
        </w:rPr>
        <w:t>.</w:t>
      </w:r>
      <w:r w:rsidR="0085647F" w:rsidRPr="00CC3E56">
        <w:rPr>
          <w:sz w:val="24"/>
        </w:rPr>
        <w:t xml:space="preserve"> </w:t>
      </w:r>
      <w:r w:rsidR="00EE5DAF" w:rsidRPr="00CC3E56">
        <w:rPr>
          <w:sz w:val="24"/>
        </w:rPr>
        <w:t>Thousands of criminal prosecutions were brought, including</w:t>
      </w:r>
      <w:r w:rsidR="00EE5DAF" w:rsidRPr="00EE5DAF">
        <w:rPr>
          <w:sz w:val="24"/>
        </w:rPr>
        <w:t xml:space="preserve"> under laws prohibiting defamation and on trumped-up terrorism-related charges, based on people</w:t>
      </w:r>
      <w:r w:rsidR="003352E1">
        <w:rPr>
          <w:sz w:val="24"/>
        </w:rPr>
        <w:t>’</w:t>
      </w:r>
      <w:r w:rsidR="00EE5DAF" w:rsidRPr="00EE5DAF">
        <w:rPr>
          <w:sz w:val="24"/>
        </w:rPr>
        <w:t xml:space="preserve">s peaceful exercise of their right to freedom of expression </w:t>
      </w:r>
      <w:r w:rsidR="00BC5130" w:rsidRPr="00716DB0">
        <w:rPr>
          <w:sz w:val="24"/>
        </w:rPr>
        <w:t>during t</w:t>
      </w:r>
      <w:r w:rsidR="006E72A2" w:rsidRPr="00716DB0">
        <w:rPr>
          <w:sz w:val="24"/>
        </w:rPr>
        <w:t>he state of emergency.</w:t>
      </w:r>
    </w:p>
    <w:p w14:paraId="453CA15C" w14:textId="77777777" w:rsidR="005609A9" w:rsidRPr="00716DB0" w:rsidRDefault="005609A9" w:rsidP="005E3214">
      <w:pPr>
        <w:rPr>
          <w:b/>
          <w:sz w:val="24"/>
        </w:rPr>
      </w:pPr>
      <w:r w:rsidRPr="00716DB0">
        <w:rPr>
          <w:b/>
          <w:sz w:val="24"/>
        </w:rPr>
        <w:t>Torture and other ill-treatment</w:t>
      </w:r>
    </w:p>
    <w:p w14:paraId="3C7A84CA" w14:textId="2B27D952" w:rsidR="005609A9" w:rsidRPr="00716DB0" w:rsidRDefault="005609A9" w:rsidP="005E3214">
      <w:pPr>
        <w:rPr>
          <w:sz w:val="24"/>
        </w:rPr>
      </w:pPr>
      <w:r w:rsidRPr="00716DB0">
        <w:rPr>
          <w:sz w:val="24"/>
        </w:rPr>
        <w:t xml:space="preserve">Reports of </w:t>
      </w:r>
      <w:r w:rsidR="00CB7FE7">
        <w:rPr>
          <w:sz w:val="24"/>
        </w:rPr>
        <w:t xml:space="preserve">people being subjected to </w:t>
      </w:r>
      <w:r w:rsidRPr="00716DB0">
        <w:rPr>
          <w:sz w:val="24"/>
        </w:rPr>
        <w:t xml:space="preserve">torture and other ill-treatment, especially in police custody, significantly increased following the announcement of </w:t>
      </w:r>
      <w:r w:rsidR="00102F0E">
        <w:rPr>
          <w:sz w:val="24"/>
        </w:rPr>
        <w:t xml:space="preserve">the </w:t>
      </w:r>
      <w:r w:rsidRPr="00716DB0">
        <w:rPr>
          <w:sz w:val="24"/>
        </w:rPr>
        <w:t>state of emergency</w:t>
      </w:r>
      <w:r w:rsidR="005E3214" w:rsidRPr="00716DB0">
        <w:rPr>
          <w:sz w:val="24"/>
        </w:rPr>
        <w:t xml:space="preserve">, especially </w:t>
      </w:r>
      <w:r w:rsidRPr="00716DB0">
        <w:rPr>
          <w:sz w:val="24"/>
        </w:rPr>
        <w:t xml:space="preserve">in the weeks following the July 2016 coup attempt. </w:t>
      </w:r>
      <w:r w:rsidR="005E3214" w:rsidRPr="00716DB0">
        <w:rPr>
          <w:sz w:val="24"/>
        </w:rPr>
        <w:t xml:space="preserve">Authorities </w:t>
      </w:r>
      <w:r w:rsidR="00102F0E">
        <w:rPr>
          <w:sz w:val="24"/>
        </w:rPr>
        <w:t xml:space="preserve">have </w:t>
      </w:r>
      <w:r w:rsidR="005E3214" w:rsidRPr="00716DB0">
        <w:rPr>
          <w:sz w:val="24"/>
        </w:rPr>
        <w:t xml:space="preserve">continuously denied such allegations instead of carrying </w:t>
      </w:r>
      <w:r w:rsidR="003352E1">
        <w:rPr>
          <w:sz w:val="24"/>
        </w:rPr>
        <w:t xml:space="preserve">out </w:t>
      </w:r>
      <w:r w:rsidR="005E3214" w:rsidRPr="00716DB0">
        <w:rPr>
          <w:sz w:val="24"/>
        </w:rPr>
        <w:t>effective investigations into the</w:t>
      </w:r>
      <w:r w:rsidR="00790FFA" w:rsidRPr="00716DB0">
        <w:rPr>
          <w:sz w:val="24"/>
        </w:rPr>
        <w:t>m</w:t>
      </w:r>
      <w:r w:rsidR="00CB7FE7">
        <w:rPr>
          <w:sz w:val="24"/>
        </w:rPr>
        <w:t xml:space="preserve"> or taking action to prevent these violations</w:t>
      </w:r>
      <w:r w:rsidRPr="00716DB0">
        <w:rPr>
          <w:sz w:val="24"/>
        </w:rPr>
        <w:t>.</w:t>
      </w:r>
    </w:p>
    <w:p w14:paraId="17F64DE1" w14:textId="1DF433F8" w:rsidR="008D1E1F" w:rsidRPr="00716DB0" w:rsidRDefault="008D1E1F" w:rsidP="008D1E1F">
      <w:pPr>
        <w:rPr>
          <w:b/>
          <w:sz w:val="24"/>
        </w:rPr>
      </w:pPr>
      <w:r w:rsidRPr="00716DB0">
        <w:rPr>
          <w:b/>
          <w:sz w:val="24"/>
        </w:rPr>
        <w:t xml:space="preserve">Bans on assemblies </w:t>
      </w:r>
    </w:p>
    <w:p w14:paraId="7A965210" w14:textId="4454D0D6" w:rsidR="008D1E1F" w:rsidRPr="00716DB0" w:rsidRDefault="00BC5130" w:rsidP="008D1E1F">
      <w:pPr>
        <w:rPr>
          <w:sz w:val="24"/>
        </w:rPr>
      </w:pPr>
      <w:r w:rsidRPr="00716DB0">
        <w:rPr>
          <w:sz w:val="24"/>
        </w:rPr>
        <w:lastRenderedPageBreak/>
        <w:t xml:space="preserve">Governors in several provinces have used state of emergency powers to ban </w:t>
      </w:r>
      <w:r w:rsidR="00245B58">
        <w:rPr>
          <w:sz w:val="24"/>
        </w:rPr>
        <w:t xml:space="preserve">events and </w:t>
      </w:r>
      <w:r w:rsidRPr="00716DB0">
        <w:rPr>
          <w:sz w:val="24"/>
        </w:rPr>
        <w:t xml:space="preserve">assemblies. </w:t>
      </w:r>
      <w:r w:rsidR="00245B58">
        <w:rPr>
          <w:sz w:val="24"/>
        </w:rPr>
        <w:t>For example, in</w:t>
      </w:r>
      <w:r w:rsidRPr="00716DB0">
        <w:rPr>
          <w:sz w:val="24"/>
        </w:rPr>
        <w:t xml:space="preserve"> November 2017, </w:t>
      </w:r>
      <w:r w:rsidR="00245B58">
        <w:rPr>
          <w:sz w:val="24"/>
        </w:rPr>
        <w:t xml:space="preserve">the </w:t>
      </w:r>
      <w:r w:rsidRPr="00716DB0">
        <w:rPr>
          <w:sz w:val="24"/>
        </w:rPr>
        <w:t xml:space="preserve">Ankara governor </w:t>
      </w:r>
      <w:r w:rsidR="00245B58">
        <w:rPr>
          <w:sz w:val="24"/>
        </w:rPr>
        <w:t>issued a decision banning</w:t>
      </w:r>
      <w:r w:rsidR="00245B58" w:rsidRPr="00716DB0">
        <w:rPr>
          <w:sz w:val="24"/>
        </w:rPr>
        <w:t xml:space="preserve"> </w:t>
      </w:r>
      <w:r w:rsidRPr="00716DB0">
        <w:rPr>
          <w:sz w:val="24"/>
        </w:rPr>
        <w:t>all LGBTI events in the province</w:t>
      </w:r>
      <w:r w:rsidR="00245B58">
        <w:rPr>
          <w:sz w:val="24"/>
        </w:rPr>
        <w:t>. W</w:t>
      </w:r>
      <w:r w:rsidRPr="00716DB0">
        <w:rPr>
          <w:sz w:val="24"/>
        </w:rPr>
        <w:t xml:space="preserve">ith the exception of the Middle East Technical University </w:t>
      </w:r>
      <w:r w:rsidR="006E72A2" w:rsidRPr="00716DB0">
        <w:rPr>
          <w:sz w:val="24"/>
        </w:rPr>
        <w:t>student</w:t>
      </w:r>
      <w:r w:rsidRPr="00716DB0">
        <w:rPr>
          <w:sz w:val="24"/>
        </w:rPr>
        <w:t xml:space="preserve"> Pride march, </w:t>
      </w:r>
      <w:r w:rsidR="00245B58">
        <w:rPr>
          <w:sz w:val="24"/>
        </w:rPr>
        <w:t>which went ahead in May despite the ban</w:t>
      </w:r>
      <w:r w:rsidR="00245B58" w:rsidRPr="00CC3E56">
        <w:rPr>
          <w:sz w:val="24"/>
        </w:rPr>
        <w:t xml:space="preserve">, </w:t>
      </w:r>
      <w:r w:rsidRPr="00CC3E56">
        <w:rPr>
          <w:sz w:val="24"/>
        </w:rPr>
        <w:t xml:space="preserve">the visibility of the city’s vibrant LGBTI communities </w:t>
      </w:r>
      <w:r w:rsidR="00C8654B" w:rsidRPr="00CC3E56">
        <w:rPr>
          <w:sz w:val="24"/>
        </w:rPr>
        <w:t xml:space="preserve">and ability to exercise the right to peaceful assembly </w:t>
      </w:r>
      <w:r w:rsidRPr="00CC3E56">
        <w:rPr>
          <w:sz w:val="24"/>
        </w:rPr>
        <w:t>ha</w:t>
      </w:r>
      <w:r w:rsidR="003352E1" w:rsidRPr="00CC3E56">
        <w:rPr>
          <w:sz w:val="24"/>
        </w:rPr>
        <w:t>ve</w:t>
      </w:r>
      <w:r w:rsidRPr="00CC3E56">
        <w:rPr>
          <w:sz w:val="24"/>
        </w:rPr>
        <w:t xml:space="preserve"> been dramatically reduced.</w:t>
      </w:r>
      <w:r w:rsidRPr="00716DB0">
        <w:rPr>
          <w:sz w:val="24"/>
        </w:rPr>
        <w:t xml:space="preserve"> </w:t>
      </w:r>
    </w:p>
    <w:p w14:paraId="1DC7C454" w14:textId="03D9B662" w:rsidR="008D1E1F" w:rsidRPr="00716DB0" w:rsidRDefault="003F70D3" w:rsidP="008D1E1F">
      <w:pPr>
        <w:rPr>
          <w:b/>
          <w:sz w:val="24"/>
        </w:rPr>
      </w:pPr>
      <w:r>
        <w:rPr>
          <w:b/>
          <w:sz w:val="24"/>
        </w:rPr>
        <w:t xml:space="preserve">Summary </w:t>
      </w:r>
      <w:r w:rsidR="008D1E1F" w:rsidRPr="00716DB0">
        <w:rPr>
          <w:b/>
          <w:sz w:val="24"/>
        </w:rPr>
        <w:t>Dismissals</w:t>
      </w:r>
    </w:p>
    <w:p w14:paraId="70941C0F" w14:textId="37213A31" w:rsidR="00CC3E56" w:rsidRDefault="008D1E1F" w:rsidP="008D1E1F">
      <w:pPr>
        <w:rPr>
          <w:sz w:val="24"/>
        </w:rPr>
      </w:pPr>
      <w:r w:rsidRPr="00B622A7">
        <w:rPr>
          <w:sz w:val="24"/>
        </w:rPr>
        <w:t xml:space="preserve">During the state of emergency, </w:t>
      </w:r>
      <w:r w:rsidR="00BC0C99" w:rsidRPr="00B622A7">
        <w:rPr>
          <w:color w:val="auto"/>
          <w:sz w:val="24"/>
        </w:rPr>
        <w:t>more than</w:t>
      </w:r>
      <w:r w:rsidRPr="00B622A7">
        <w:rPr>
          <w:color w:val="auto"/>
          <w:sz w:val="24"/>
        </w:rPr>
        <w:t xml:space="preserve"> </w:t>
      </w:r>
      <w:r w:rsidR="0031582E" w:rsidRPr="00B622A7">
        <w:rPr>
          <w:sz w:val="24"/>
        </w:rPr>
        <w:t>13</w:t>
      </w:r>
      <w:r w:rsidR="007F39A6" w:rsidRPr="00B622A7">
        <w:rPr>
          <w:sz w:val="24"/>
        </w:rPr>
        <w:t>0</w:t>
      </w:r>
      <w:r w:rsidRPr="00B622A7">
        <w:rPr>
          <w:sz w:val="24"/>
        </w:rPr>
        <w:t xml:space="preserve">,000 workers from all areas of the </w:t>
      </w:r>
      <w:r w:rsidR="00B622A7" w:rsidRPr="00B622A7">
        <w:rPr>
          <w:sz w:val="24"/>
        </w:rPr>
        <w:t>public sector</w:t>
      </w:r>
      <w:r w:rsidRPr="00B622A7">
        <w:rPr>
          <w:sz w:val="24"/>
        </w:rPr>
        <w:t xml:space="preserve"> have</w:t>
      </w:r>
      <w:r w:rsidRPr="00716DB0">
        <w:rPr>
          <w:sz w:val="24"/>
        </w:rPr>
        <w:t xml:space="preserve"> been dismissed</w:t>
      </w:r>
      <w:r w:rsidR="00EA69D0">
        <w:rPr>
          <w:sz w:val="24"/>
        </w:rPr>
        <w:t>, 129.4</w:t>
      </w:r>
      <w:r w:rsidR="007F263E">
        <w:rPr>
          <w:sz w:val="24"/>
        </w:rPr>
        <w:t xml:space="preserve">00 </w:t>
      </w:r>
      <w:r w:rsidR="00EA69D0">
        <w:rPr>
          <w:sz w:val="24"/>
        </w:rPr>
        <w:t>of them</w:t>
      </w:r>
      <w:r w:rsidRPr="00716DB0">
        <w:rPr>
          <w:sz w:val="24"/>
        </w:rPr>
        <w:t xml:space="preserve"> </w:t>
      </w:r>
      <w:r w:rsidR="00F1466D">
        <w:rPr>
          <w:sz w:val="24"/>
        </w:rPr>
        <w:t xml:space="preserve">through lists </w:t>
      </w:r>
      <w:r w:rsidR="00F53CDF">
        <w:rPr>
          <w:sz w:val="24"/>
        </w:rPr>
        <w:t>announced with</w:t>
      </w:r>
      <w:r w:rsidR="00F1466D" w:rsidRPr="00716DB0">
        <w:rPr>
          <w:sz w:val="24"/>
        </w:rPr>
        <w:t xml:space="preserve"> </w:t>
      </w:r>
      <w:r w:rsidRPr="00716DB0">
        <w:rPr>
          <w:sz w:val="24"/>
        </w:rPr>
        <w:t>executive decree</w:t>
      </w:r>
      <w:r w:rsidR="00F53CDF">
        <w:rPr>
          <w:sz w:val="24"/>
        </w:rPr>
        <w:t>s</w:t>
      </w:r>
      <w:r w:rsidRPr="00716DB0">
        <w:rPr>
          <w:sz w:val="24"/>
        </w:rPr>
        <w:t xml:space="preserve">, without individualised justifications or the </w:t>
      </w:r>
      <w:r w:rsidR="002B6A30">
        <w:rPr>
          <w:sz w:val="24"/>
        </w:rPr>
        <w:t>possibility for them</w:t>
      </w:r>
      <w:r w:rsidR="002B6A30" w:rsidRPr="00716DB0">
        <w:rPr>
          <w:sz w:val="24"/>
        </w:rPr>
        <w:t xml:space="preserve"> </w:t>
      </w:r>
      <w:r w:rsidR="006E72A2" w:rsidRPr="00716DB0">
        <w:rPr>
          <w:sz w:val="24"/>
        </w:rPr>
        <w:t>to mount an effective c</w:t>
      </w:r>
      <w:r w:rsidRPr="00716DB0">
        <w:rPr>
          <w:sz w:val="24"/>
        </w:rPr>
        <w:t xml:space="preserve">hallenge to their dismissals. </w:t>
      </w:r>
      <w:r w:rsidR="00AE490F">
        <w:rPr>
          <w:sz w:val="24"/>
        </w:rPr>
        <w:t xml:space="preserve">Only </w:t>
      </w:r>
      <w:r w:rsidR="00F1466D">
        <w:rPr>
          <w:sz w:val="24"/>
        </w:rPr>
        <w:t>3,</w:t>
      </w:r>
      <w:r w:rsidR="00F53CDF">
        <w:rPr>
          <w:sz w:val="24"/>
        </w:rPr>
        <w:t>799</w:t>
      </w:r>
      <w:r w:rsidR="00AE490F">
        <w:rPr>
          <w:sz w:val="24"/>
        </w:rPr>
        <w:t xml:space="preserve"> of </w:t>
      </w:r>
      <w:r w:rsidR="00F1466D">
        <w:rPr>
          <w:sz w:val="24"/>
        </w:rPr>
        <w:t>these</w:t>
      </w:r>
      <w:r w:rsidR="00AE490F">
        <w:rPr>
          <w:sz w:val="24"/>
        </w:rPr>
        <w:t xml:space="preserve"> </w:t>
      </w:r>
      <w:r w:rsidR="00F1466D">
        <w:rPr>
          <w:sz w:val="24"/>
        </w:rPr>
        <w:t xml:space="preserve">dismissal decisions </w:t>
      </w:r>
      <w:r w:rsidR="00AE490F">
        <w:rPr>
          <w:sz w:val="24"/>
        </w:rPr>
        <w:t>were re</w:t>
      </w:r>
      <w:r w:rsidR="00F1466D">
        <w:rPr>
          <w:sz w:val="24"/>
        </w:rPr>
        <w:t>voked</w:t>
      </w:r>
      <w:r w:rsidR="00AE490F">
        <w:rPr>
          <w:sz w:val="24"/>
        </w:rPr>
        <w:t xml:space="preserve"> through subsequent executive decrees.</w:t>
      </w:r>
    </w:p>
    <w:p w14:paraId="13C38ABB" w14:textId="30365FFD" w:rsidR="008D1E1F" w:rsidRDefault="00AB4F87" w:rsidP="008D1E1F">
      <w:pPr>
        <w:rPr>
          <w:sz w:val="24"/>
        </w:rPr>
      </w:pPr>
      <w:r w:rsidRPr="00716DB0">
        <w:rPr>
          <w:sz w:val="24"/>
        </w:rPr>
        <w:t>A</w:t>
      </w:r>
      <w:r w:rsidR="007F39A6" w:rsidRPr="00716DB0">
        <w:rPr>
          <w:sz w:val="24"/>
        </w:rPr>
        <w:t>n ad hoc</w:t>
      </w:r>
      <w:r w:rsidR="00EE5DAF">
        <w:rPr>
          <w:sz w:val="24"/>
        </w:rPr>
        <w:t xml:space="preserve"> State of Emergency Appeals</w:t>
      </w:r>
      <w:r w:rsidR="008D1E1F" w:rsidRPr="00716DB0">
        <w:rPr>
          <w:sz w:val="24"/>
        </w:rPr>
        <w:t xml:space="preserve"> </w:t>
      </w:r>
      <w:r w:rsidR="00EE5DAF">
        <w:rPr>
          <w:sz w:val="24"/>
        </w:rPr>
        <w:t>C</w:t>
      </w:r>
      <w:r w:rsidR="008D1E1F" w:rsidRPr="00716DB0">
        <w:rPr>
          <w:sz w:val="24"/>
        </w:rPr>
        <w:t xml:space="preserve">ommission was established </w:t>
      </w:r>
      <w:r w:rsidR="002B6A30">
        <w:rPr>
          <w:sz w:val="24"/>
        </w:rPr>
        <w:t>by</w:t>
      </w:r>
      <w:r w:rsidRPr="00716DB0">
        <w:rPr>
          <w:sz w:val="24"/>
        </w:rPr>
        <w:t xml:space="preserve"> executive de</w:t>
      </w:r>
      <w:r w:rsidR="002B6A30">
        <w:rPr>
          <w:sz w:val="24"/>
        </w:rPr>
        <w:t>c</w:t>
      </w:r>
      <w:r w:rsidRPr="00716DB0">
        <w:rPr>
          <w:sz w:val="24"/>
        </w:rPr>
        <w:t xml:space="preserve">ree </w:t>
      </w:r>
      <w:r w:rsidR="00B96BE9" w:rsidRPr="00716DB0">
        <w:rPr>
          <w:sz w:val="24"/>
        </w:rPr>
        <w:t xml:space="preserve">in January 2017 </w:t>
      </w:r>
      <w:r w:rsidR="00B96BE9">
        <w:rPr>
          <w:sz w:val="24"/>
        </w:rPr>
        <w:t xml:space="preserve">in response to </w:t>
      </w:r>
      <w:r w:rsidRPr="00716DB0">
        <w:rPr>
          <w:sz w:val="24"/>
        </w:rPr>
        <w:t xml:space="preserve">domestic and international pressure </w:t>
      </w:r>
      <w:r w:rsidRPr="00EC2CA0">
        <w:rPr>
          <w:sz w:val="24"/>
        </w:rPr>
        <w:t>over the lack of</w:t>
      </w:r>
      <w:r w:rsidR="006E72A2" w:rsidRPr="00EC2CA0">
        <w:rPr>
          <w:sz w:val="24"/>
        </w:rPr>
        <w:t xml:space="preserve"> an appeals procedure </w:t>
      </w:r>
      <w:r w:rsidRPr="00EC2CA0">
        <w:rPr>
          <w:sz w:val="24"/>
        </w:rPr>
        <w:t xml:space="preserve">to </w:t>
      </w:r>
      <w:r w:rsidR="006E72A2" w:rsidRPr="00EC2CA0">
        <w:rPr>
          <w:sz w:val="24"/>
        </w:rPr>
        <w:t xml:space="preserve">seek redress </w:t>
      </w:r>
      <w:r w:rsidRPr="00EC2CA0">
        <w:rPr>
          <w:sz w:val="24"/>
        </w:rPr>
        <w:t xml:space="preserve">against dismissals. The </w:t>
      </w:r>
      <w:r w:rsidR="00EE5DAF" w:rsidRPr="00EC2CA0">
        <w:rPr>
          <w:sz w:val="24"/>
        </w:rPr>
        <w:t xml:space="preserve">Commission </w:t>
      </w:r>
      <w:r w:rsidRPr="00EC2CA0">
        <w:rPr>
          <w:sz w:val="24"/>
        </w:rPr>
        <w:t>began taking applications</w:t>
      </w:r>
      <w:r w:rsidR="005B0CAC" w:rsidRPr="00EC2CA0">
        <w:rPr>
          <w:sz w:val="24"/>
        </w:rPr>
        <w:t xml:space="preserve"> o</w:t>
      </w:r>
      <w:r w:rsidRPr="00EC2CA0">
        <w:rPr>
          <w:sz w:val="24"/>
        </w:rPr>
        <w:t xml:space="preserve">n </w:t>
      </w:r>
      <w:r w:rsidR="005B0CAC" w:rsidRPr="00EC2CA0">
        <w:rPr>
          <w:sz w:val="24"/>
        </w:rPr>
        <w:t xml:space="preserve">17 </w:t>
      </w:r>
      <w:r w:rsidRPr="00EC2CA0">
        <w:rPr>
          <w:sz w:val="24"/>
        </w:rPr>
        <w:t xml:space="preserve">July 2017 and as of </w:t>
      </w:r>
      <w:r w:rsidR="005B0CAC" w:rsidRPr="00EC2CA0">
        <w:rPr>
          <w:sz w:val="24"/>
        </w:rPr>
        <w:t xml:space="preserve">22 </w:t>
      </w:r>
      <w:r w:rsidRPr="00EC2CA0">
        <w:rPr>
          <w:sz w:val="24"/>
        </w:rPr>
        <w:t>June 2018</w:t>
      </w:r>
      <w:r w:rsidR="005B0CAC" w:rsidRPr="00EC2CA0">
        <w:rPr>
          <w:sz w:val="24"/>
        </w:rPr>
        <w:t xml:space="preserve"> had received 108,905</w:t>
      </w:r>
      <w:r w:rsidR="00B96BE9" w:rsidRPr="00EC2CA0">
        <w:rPr>
          <w:sz w:val="24"/>
        </w:rPr>
        <w:t xml:space="preserve">. These include applications </w:t>
      </w:r>
      <w:r w:rsidR="00F94DE9" w:rsidRPr="00EC2CA0">
        <w:rPr>
          <w:sz w:val="24"/>
        </w:rPr>
        <w:t>fr</w:t>
      </w:r>
      <w:r w:rsidRPr="00EC2CA0">
        <w:rPr>
          <w:sz w:val="24"/>
        </w:rPr>
        <w:t>om</w:t>
      </w:r>
      <w:r w:rsidR="00F94DE9" w:rsidRPr="00EC2CA0">
        <w:rPr>
          <w:sz w:val="24"/>
        </w:rPr>
        <w:t xml:space="preserve"> </w:t>
      </w:r>
      <w:r w:rsidR="00307E40">
        <w:rPr>
          <w:sz w:val="24"/>
        </w:rPr>
        <w:t xml:space="preserve">media and </w:t>
      </w:r>
      <w:r w:rsidR="00F94DE9" w:rsidRPr="00EC2CA0">
        <w:rPr>
          <w:sz w:val="24"/>
        </w:rPr>
        <w:t xml:space="preserve">civil society organizations that </w:t>
      </w:r>
      <w:r w:rsidR="00B96BE9" w:rsidRPr="00EC2CA0">
        <w:rPr>
          <w:sz w:val="24"/>
        </w:rPr>
        <w:t xml:space="preserve">had been </w:t>
      </w:r>
      <w:r w:rsidR="00F94DE9" w:rsidRPr="00EC2CA0">
        <w:rPr>
          <w:sz w:val="24"/>
        </w:rPr>
        <w:t>closed down by decree</w:t>
      </w:r>
      <w:r w:rsidRPr="00EC2CA0">
        <w:rPr>
          <w:sz w:val="24"/>
        </w:rPr>
        <w:t>.</w:t>
      </w:r>
      <w:r w:rsidRPr="00716DB0">
        <w:rPr>
          <w:sz w:val="24"/>
        </w:rPr>
        <w:t xml:space="preserve"> </w:t>
      </w:r>
      <w:r w:rsidR="00245B58">
        <w:rPr>
          <w:sz w:val="24"/>
        </w:rPr>
        <w:t xml:space="preserve">The </w:t>
      </w:r>
      <w:r w:rsidR="00EE5DAF">
        <w:rPr>
          <w:sz w:val="24"/>
        </w:rPr>
        <w:t>C</w:t>
      </w:r>
      <w:r w:rsidRPr="00716DB0">
        <w:rPr>
          <w:sz w:val="24"/>
        </w:rPr>
        <w:t xml:space="preserve">ommission </w:t>
      </w:r>
      <w:r w:rsidR="00B96BE9">
        <w:rPr>
          <w:sz w:val="24"/>
        </w:rPr>
        <w:t xml:space="preserve">had </w:t>
      </w:r>
      <w:r w:rsidRPr="00716DB0">
        <w:rPr>
          <w:sz w:val="24"/>
        </w:rPr>
        <w:t>issued</w:t>
      </w:r>
      <w:r w:rsidR="00F94DE9" w:rsidRPr="00716DB0">
        <w:rPr>
          <w:sz w:val="24"/>
        </w:rPr>
        <w:t xml:space="preserve"> </w:t>
      </w:r>
      <w:r w:rsidR="0066473E">
        <w:rPr>
          <w:sz w:val="24"/>
        </w:rPr>
        <w:t>19</w:t>
      </w:r>
      <w:r w:rsidR="00F94DE9" w:rsidRPr="00716DB0">
        <w:rPr>
          <w:sz w:val="24"/>
        </w:rPr>
        <w:t xml:space="preserve">,500 </w:t>
      </w:r>
      <w:r w:rsidRPr="00CC3E56">
        <w:rPr>
          <w:sz w:val="24"/>
        </w:rPr>
        <w:t xml:space="preserve">decisions </w:t>
      </w:r>
      <w:r w:rsidR="00F94DE9" w:rsidRPr="00CC3E56">
        <w:rPr>
          <w:sz w:val="24"/>
        </w:rPr>
        <w:t>by June 2018</w:t>
      </w:r>
      <w:r w:rsidR="009C347E" w:rsidRPr="00CC3E56">
        <w:rPr>
          <w:sz w:val="24"/>
        </w:rPr>
        <w:t xml:space="preserve"> and </w:t>
      </w:r>
      <w:r w:rsidR="005228AA" w:rsidRPr="00CC3E56">
        <w:rPr>
          <w:sz w:val="24"/>
        </w:rPr>
        <w:t xml:space="preserve">accepted the appeals </w:t>
      </w:r>
      <w:r w:rsidR="009C347E" w:rsidRPr="00CC3E56">
        <w:rPr>
          <w:sz w:val="24"/>
        </w:rPr>
        <w:t>in</w:t>
      </w:r>
      <w:r w:rsidR="00F94DE9" w:rsidRPr="00CC3E56">
        <w:rPr>
          <w:sz w:val="24"/>
        </w:rPr>
        <w:t xml:space="preserve"> only 1,300 of </w:t>
      </w:r>
      <w:r w:rsidR="009C347E" w:rsidRPr="00CC3E56">
        <w:rPr>
          <w:sz w:val="24"/>
        </w:rPr>
        <w:t>them</w:t>
      </w:r>
      <w:r w:rsidR="005228AA" w:rsidRPr="00CC3E56">
        <w:rPr>
          <w:sz w:val="24"/>
        </w:rPr>
        <w:t>,</w:t>
      </w:r>
      <w:r w:rsidR="0066473E" w:rsidRPr="00CC3E56">
        <w:rPr>
          <w:sz w:val="24"/>
        </w:rPr>
        <w:t xml:space="preserve"> </w:t>
      </w:r>
      <w:r w:rsidR="005228AA" w:rsidRPr="00CC3E56">
        <w:rPr>
          <w:sz w:val="24"/>
        </w:rPr>
        <w:t xml:space="preserve">representing </w:t>
      </w:r>
      <w:r w:rsidR="0066473E" w:rsidRPr="00CC3E56">
        <w:rPr>
          <w:sz w:val="24"/>
        </w:rPr>
        <w:t>less than 7</w:t>
      </w:r>
      <w:r w:rsidR="00B96BE9" w:rsidRPr="00CC3E56">
        <w:rPr>
          <w:sz w:val="24"/>
        </w:rPr>
        <w:t xml:space="preserve"> per cent</w:t>
      </w:r>
      <w:r w:rsidR="005228AA" w:rsidRPr="00CC3E56">
        <w:rPr>
          <w:sz w:val="24"/>
        </w:rPr>
        <w:t xml:space="preserve"> of the </w:t>
      </w:r>
      <w:r w:rsidR="0066473E" w:rsidRPr="00CC3E56">
        <w:rPr>
          <w:sz w:val="24"/>
        </w:rPr>
        <w:t>decisions issued</w:t>
      </w:r>
      <w:r w:rsidR="00B96BE9" w:rsidRPr="00CC3E56">
        <w:rPr>
          <w:sz w:val="24"/>
        </w:rPr>
        <w:t xml:space="preserve"> by that date</w:t>
      </w:r>
      <w:r w:rsidR="005228AA" w:rsidRPr="00CC3E56">
        <w:rPr>
          <w:sz w:val="24"/>
        </w:rPr>
        <w:t>.</w:t>
      </w:r>
    </w:p>
    <w:p w14:paraId="310D2BA0" w14:textId="7387D843" w:rsidR="00B5358F" w:rsidRPr="00CC3E56" w:rsidRDefault="00B5358F" w:rsidP="008D1E1F">
      <w:pPr>
        <w:rPr>
          <w:sz w:val="24"/>
        </w:rPr>
      </w:pPr>
      <w:r>
        <w:rPr>
          <w:sz w:val="24"/>
        </w:rPr>
        <w:t>A new law tabled at the Parliament on 16 July 2018, if passed, would allow for the arbitrary dismissals to continue for three years from its adoption.</w:t>
      </w:r>
    </w:p>
    <w:p w14:paraId="4A7317B8" w14:textId="77777777" w:rsidR="007017E0" w:rsidRPr="00716DB0" w:rsidRDefault="007017E0" w:rsidP="007017E0">
      <w:pPr>
        <w:rPr>
          <w:b/>
          <w:sz w:val="24"/>
        </w:rPr>
      </w:pPr>
      <w:r w:rsidRPr="00716DB0">
        <w:rPr>
          <w:b/>
          <w:sz w:val="24"/>
        </w:rPr>
        <w:t xml:space="preserve">Clampdown on the </w:t>
      </w:r>
      <w:r>
        <w:rPr>
          <w:b/>
          <w:sz w:val="24"/>
        </w:rPr>
        <w:t xml:space="preserve">right to </w:t>
      </w:r>
      <w:r w:rsidRPr="00716DB0">
        <w:rPr>
          <w:b/>
          <w:sz w:val="24"/>
        </w:rPr>
        <w:t>freedom of association</w:t>
      </w:r>
    </w:p>
    <w:p w14:paraId="3C61BD45" w14:textId="77533D35" w:rsidR="007017E0" w:rsidRPr="00716DB0" w:rsidRDefault="007017E0" w:rsidP="007017E0">
      <w:pPr>
        <w:rPr>
          <w:sz w:val="24"/>
        </w:rPr>
      </w:pPr>
      <w:r w:rsidRPr="00716DB0">
        <w:rPr>
          <w:sz w:val="24"/>
        </w:rPr>
        <w:t>Civil society has also borne the brunt of the crackdown</w:t>
      </w:r>
      <w:r w:rsidRPr="00716DB0">
        <w:rPr>
          <w:color w:val="auto"/>
          <w:sz w:val="24"/>
        </w:rPr>
        <w:t xml:space="preserve">, with more than 1,500 associations, foundations, trade unions and other civil society </w:t>
      </w:r>
      <w:r w:rsidRPr="00716DB0">
        <w:rPr>
          <w:sz w:val="24"/>
        </w:rPr>
        <w:t xml:space="preserve">organizations </w:t>
      </w:r>
      <w:r w:rsidR="00612B56">
        <w:rPr>
          <w:sz w:val="24"/>
        </w:rPr>
        <w:t xml:space="preserve">summarily </w:t>
      </w:r>
      <w:r w:rsidRPr="00716DB0">
        <w:rPr>
          <w:sz w:val="24"/>
        </w:rPr>
        <w:t>closed down by executive decree</w:t>
      </w:r>
      <w:r w:rsidR="00612B56">
        <w:rPr>
          <w:sz w:val="24"/>
        </w:rPr>
        <w:t xml:space="preserve"> </w:t>
      </w:r>
      <w:r w:rsidR="00612B56" w:rsidRPr="00716DB0">
        <w:rPr>
          <w:sz w:val="24"/>
        </w:rPr>
        <w:t xml:space="preserve">without individualised justifications or the </w:t>
      </w:r>
      <w:r w:rsidR="00612B56">
        <w:rPr>
          <w:sz w:val="24"/>
        </w:rPr>
        <w:t>possibility for them</w:t>
      </w:r>
      <w:r w:rsidR="00612B56" w:rsidRPr="00716DB0">
        <w:rPr>
          <w:sz w:val="24"/>
        </w:rPr>
        <w:t xml:space="preserve"> to mount an effective c</w:t>
      </w:r>
      <w:r w:rsidR="00612B56">
        <w:rPr>
          <w:sz w:val="24"/>
        </w:rPr>
        <w:t>hallenge to their closure</w:t>
      </w:r>
      <w:r w:rsidRPr="00716DB0">
        <w:rPr>
          <w:sz w:val="24"/>
        </w:rPr>
        <w:t xml:space="preserve">. </w:t>
      </w:r>
      <w:r>
        <w:rPr>
          <w:sz w:val="24"/>
        </w:rPr>
        <w:t>Only 11</w:t>
      </w:r>
      <w:r w:rsidRPr="00716DB0">
        <w:rPr>
          <w:sz w:val="24"/>
        </w:rPr>
        <w:t xml:space="preserve"> have reportedly been reopened </w:t>
      </w:r>
      <w:r>
        <w:rPr>
          <w:sz w:val="24"/>
        </w:rPr>
        <w:t xml:space="preserve">after </w:t>
      </w:r>
      <w:r w:rsidRPr="00716DB0">
        <w:rPr>
          <w:sz w:val="24"/>
        </w:rPr>
        <w:t xml:space="preserve">the State </w:t>
      </w:r>
      <w:r>
        <w:rPr>
          <w:sz w:val="24"/>
        </w:rPr>
        <w:t>o</w:t>
      </w:r>
      <w:r w:rsidRPr="00716DB0">
        <w:rPr>
          <w:sz w:val="24"/>
        </w:rPr>
        <w:t xml:space="preserve">f Emergency </w:t>
      </w:r>
      <w:r>
        <w:rPr>
          <w:sz w:val="24"/>
        </w:rPr>
        <w:t>Appeal</w:t>
      </w:r>
      <w:r w:rsidRPr="00716DB0">
        <w:rPr>
          <w:sz w:val="24"/>
        </w:rPr>
        <w:t xml:space="preserve"> Commission conclud</w:t>
      </w:r>
      <w:r>
        <w:rPr>
          <w:sz w:val="24"/>
        </w:rPr>
        <w:t>ed</w:t>
      </w:r>
      <w:r w:rsidRPr="00716DB0">
        <w:rPr>
          <w:sz w:val="24"/>
        </w:rPr>
        <w:t xml:space="preserve"> that there was insufficient evidence linking them to proscribed </w:t>
      </w:r>
      <w:r>
        <w:rPr>
          <w:sz w:val="24"/>
        </w:rPr>
        <w:t>groups</w:t>
      </w:r>
      <w:r w:rsidRPr="00716DB0">
        <w:rPr>
          <w:sz w:val="24"/>
        </w:rPr>
        <w:t xml:space="preserve">. </w:t>
      </w:r>
    </w:p>
    <w:p w14:paraId="0CA6C83A" w14:textId="46F2A350" w:rsidR="007017E0" w:rsidRDefault="007017E0" w:rsidP="007017E0">
      <w:pPr>
        <w:rPr>
          <w:sz w:val="24"/>
        </w:rPr>
      </w:pPr>
      <w:r w:rsidRPr="00716DB0">
        <w:rPr>
          <w:sz w:val="24"/>
        </w:rPr>
        <w:lastRenderedPageBreak/>
        <w:t>In addition to the violations</w:t>
      </w:r>
      <w:r>
        <w:rPr>
          <w:sz w:val="24"/>
        </w:rPr>
        <w:t xml:space="preserve"> of rights such as freedom of association, and the right to work, and the confiscation of their property</w:t>
      </w:r>
      <w:r w:rsidRPr="00716DB0">
        <w:rPr>
          <w:sz w:val="24"/>
        </w:rPr>
        <w:t xml:space="preserve">, these arbitrary closures also had </w:t>
      </w:r>
      <w:r>
        <w:rPr>
          <w:sz w:val="24"/>
        </w:rPr>
        <w:t xml:space="preserve">a </w:t>
      </w:r>
      <w:r w:rsidRPr="00716DB0">
        <w:rPr>
          <w:sz w:val="24"/>
        </w:rPr>
        <w:t xml:space="preserve">serious impact on those who relied on </w:t>
      </w:r>
      <w:r>
        <w:rPr>
          <w:sz w:val="24"/>
        </w:rPr>
        <w:t>these organizations’</w:t>
      </w:r>
      <w:r w:rsidRPr="00716DB0">
        <w:rPr>
          <w:sz w:val="24"/>
        </w:rPr>
        <w:t xml:space="preserve"> services</w:t>
      </w:r>
      <w:r>
        <w:rPr>
          <w:sz w:val="24"/>
        </w:rPr>
        <w:t xml:space="preserve"> and support</w:t>
      </w:r>
      <w:r w:rsidRPr="00716DB0">
        <w:rPr>
          <w:sz w:val="24"/>
        </w:rPr>
        <w:t>. Leading child rights NGO G</w:t>
      </w:r>
      <w:r w:rsidRPr="00716DB0">
        <w:rPr>
          <w:sz w:val="24"/>
          <w:lang w:val="tr-TR"/>
        </w:rPr>
        <w:t>ündem Çocuk</w:t>
      </w:r>
      <w:r>
        <w:rPr>
          <w:sz w:val="24"/>
          <w:lang w:val="tr-TR"/>
        </w:rPr>
        <w:t>,</w:t>
      </w:r>
      <w:r w:rsidRPr="00716DB0">
        <w:rPr>
          <w:sz w:val="24"/>
        </w:rPr>
        <w:t xml:space="preserve"> </w:t>
      </w:r>
      <w:r>
        <w:rPr>
          <w:sz w:val="24"/>
        </w:rPr>
        <w:t xml:space="preserve">which was </w:t>
      </w:r>
      <w:r w:rsidRPr="00716DB0">
        <w:rPr>
          <w:sz w:val="24"/>
        </w:rPr>
        <w:t>closed in November 2016 by executive decree, worked on issues such as sexual abuse of children and child deaths in schools. Van Women’s Association, one of 11 women’s organizations closed down by decree also in November 2016</w:t>
      </w:r>
      <w:r>
        <w:rPr>
          <w:sz w:val="24"/>
        </w:rPr>
        <w:t>,</w:t>
      </w:r>
      <w:r w:rsidRPr="00716DB0">
        <w:rPr>
          <w:sz w:val="24"/>
        </w:rPr>
        <w:t xml:space="preserve"> was a leading civil society organization that provided support to women in hard-to-reach communities on the issue of domestic violence and sexual abuse of girls. There is no one carrying out this vital work in that region at the moment. </w:t>
      </w:r>
    </w:p>
    <w:p w14:paraId="4FADF4F6" w14:textId="77777777" w:rsidR="008D1E1F" w:rsidRPr="00716DB0" w:rsidRDefault="008D1E1F" w:rsidP="008D1E1F">
      <w:pPr>
        <w:rPr>
          <w:b/>
          <w:sz w:val="24"/>
        </w:rPr>
      </w:pPr>
      <w:r w:rsidRPr="00716DB0">
        <w:rPr>
          <w:b/>
          <w:sz w:val="24"/>
        </w:rPr>
        <w:t>Curbs to the right to freedom of expression</w:t>
      </w:r>
    </w:p>
    <w:p w14:paraId="5F9B50B7" w14:textId="3568BC7D" w:rsidR="008D1E1F" w:rsidRPr="00716DB0" w:rsidRDefault="00F94DE9" w:rsidP="008D1E1F">
      <w:pPr>
        <w:rPr>
          <w:sz w:val="24"/>
        </w:rPr>
      </w:pPr>
      <w:r w:rsidRPr="00716DB0">
        <w:rPr>
          <w:sz w:val="24"/>
        </w:rPr>
        <w:t>In 2016, Turkey became the biggest jailer of journalists in the world, a position it has maintained since</w:t>
      </w:r>
      <w:r w:rsidR="00E11A27">
        <w:rPr>
          <w:sz w:val="24"/>
        </w:rPr>
        <w:t>,</w:t>
      </w:r>
      <w:r w:rsidRPr="00716DB0">
        <w:rPr>
          <w:sz w:val="24"/>
        </w:rPr>
        <w:t xml:space="preserve"> with </w:t>
      </w:r>
      <w:r w:rsidR="00BC0C99" w:rsidRPr="00716DB0">
        <w:rPr>
          <w:color w:val="auto"/>
          <w:sz w:val="24"/>
        </w:rPr>
        <w:t>more than</w:t>
      </w:r>
      <w:r w:rsidRPr="00716DB0">
        <w:rPr>
          <w:color w:val="auto"/>
          <w:sz w:val="24"/>
        </w:rPr>
        <w:t xml:space="preserve"> </w:t>
      </w:r>
      <w:r w:rsidRPr="00716DB0">
        <w:rPr>
          <w:sz w:val="24"/>
        </w:rPr>
        <w:t xml:space="preserve">150 journalists and other media workers currently imprisoned pending the conclusion of their trials. </w:t>
      </w:r>
      <w:r w:rsidR="007115A6">
        <w:rPr>
          <w:sz w:val="24"/>
        </w:rPr>
        <w:t>In addition, i</w:t>
      </w:r>
      <w:r w:rsidR="00920EA5" w:rsidRPr="00716DB0">
        <w:rPr>
          <w:sz w:val="24"/>
        </w:rPr>
        <w:t>nvestigations and prosecutions under anti-terrorism laws have also led to convictions like in the case of 1</w:t>
      </w:r>
      <w:r w:rsidR="00F51243" w:rsidRPr="00716DB0">
        <w:rPr>
          <w:sz w:val="24"/>
        </w:rPr>
        <w:t>5</w:t>
      </w:r>
      <w:r w:rsidR="00920EA5" w:rsidRPr="00716DB0">
        <w:rPr>
          <w:sz w:val="24"/>
        </w:rPr>
        <w:t xml:space="preserve"> </w:t>
      </w:r>
      <w:r w:rsidR="00920EA5" w:rsidRPr="00716DB0">
        <w:rPr>
          <w:i/>
          <w:sz w:val="24"/>
        </w:rPr>
        <w:t>Cumhuriyet</w:t>
      </w:r>
      <w:r w:rsidR="00920EA5" w:rsidRPr="00716DB0">
        <w:rPr>
          <w:sz w:val="24"/>
        </w:rPr>
        <w:t xml:space="preserve"> journalists and executives sentenced to between two </w:t>
      </w:r>
      <w:r w:rsidR="007115A6">
        <w:rPr>
          <w:sz w:val="24"/>
        </w:rPr>
        <w:t>and</w:t>
      </w:r>
      <w:r w:rsidR="007115A6" w:rsidRPr="00716DB0">
        <w:rPr>
          <w:sz w:val="24"/>
        </w:rPr>
        <w:t xml:space="preserve"> </w:t>
      </w:r>
      <w:r w:rsidR="00920EA5" w:rsidRPr="00716DB0">
        <w:rPr>
          <w:sz w:val="24"/>
        </w:rPr>
        <w:t xml:space="preserve">eight years in prison in April 2018. In July, six out of the 11 defendants in the </w:t>
      </w:r>
      <w:r w:rsidR="006E18CE" w:rsidRPr="00716DB0">
        <w:rPr>
          <w:sz w:val="24"/>
        </w:rPr>
        <w:t>case</w:t>
      </w:r>
      <w:r w:rsidR="006E18CE">
        <w:rPr>
          <w:sz w:val="24"/>
        </w:rPr>
        <w:t xml:space="preserve"> of the </w:t>
      </w:r>
      <w:r w:rsidR="00920EA5" w:rsidRPr="00716DB0">
        <w:rPr>
          <w:i/>
          <w:sz w:val="24"/>
        </w:rPr>
        <w:t>Zaman</w:t>
      </w:r>
      <w:r w:rsidR="00920EA5" w:rsidRPr="00716DB0">
        <w:rPr>
          <w:sz w:val="24"/>
        </w:rPr>
        <w:t xml:space="preserve"> </w:t>
      </w:r>
      <w:r w:rsidR="003A2569" w:rsidRPr="00716DB0">
        <w:rPr>
          <w:sz w:val="24"/>
        </w:rPr>
        <w:t>newspaper</w:t>
      </w:r>
      <w:r w:rsidR="006E18CE">
        <w:rPr>
          <w:sz w:val="24"/>
        </w:rPr>
        <w:t>, which ha</w:t>
      </w:r>
      <w:r w:rsidR="00612B56">
        <w:rPr>
          <w:sz w:val="24"/>
        </w:rPr>
        <w:t>s</w:t>
      </w:r>
      <w:r w:rsidR="006E18CE">
        <w:rPr>
          <w:sz w:val="24"/>
        </w:rPr>
        <w:t xml:space="preserve"> been closed down,</w:t>
      </w:r>
      <w:r w:rsidR="003A2569" w:rsidRPr="00716DB0">
        <w:rPr>
          <w:sz w:val="24"/>
        </w:rPr>
        <w:t xml:space="preserve"> </w:t>
      </w:r>
      <w:r w:rsidR="00920EA5" w:rsidRPr="00716DB0">
        <w:rPr>
          <w:sz w:val="24"/>
        </w:rPr>
        <w:t xml:space="preserve">were convicted and sentenced to between </w:t>
      </w:r>
      <w:r w:rsidR="00245B58">
        <w:rPr>
          <w:sz w:val="24"/>
        </w:rPr>
        <w:t xml:space="preserve">eight-and-a-half and ten-and-a-half years </w:t>
      </w:r>
      <w:r w:rsidR="00920EA5" w:rsidRPr="00716DB0">
        <w:rPr>
          <w:sz w:val="24"/>
        </w:rPr>
        <w:t xml:space="preserve">in prison for ‘membership of a terrorist organization’. </w:t>
      </w:r>
    </w:p>
    <w:p w14:paraId="64746408" w14:textId="4A71BE50" w:rsidR="003A2569" w:rsidRPr="00716DB0" w:rsidRDefault="003A2569" w:rsidP="008D1E1F">
      <w:pPr>
        <w:rPr>
          <w:sz w:val="24"/>
        </w:rPr>
      </w:pPr>
      <w:r w:rsidRPr="00716DB0">
        <w:rPr>
          <w:sz w:val="24"/>
        </w:rPr>
        <w:t xml:space="preserve">The threat of criminal investigations, prosecutions and imprisonment pending trial has had a chilling effect on the media, with </w:t>
      </w:r>
      <w:r w:rsidR="007115A6">
        <w:rPr>
          <w:sz w:val="24"/>
        </w:rPr>
        <w:t xml:space="preserve">now </w:t>
      </w:r>
      <w:r w:rsidRPr="00716DB0">
        <w:rPr>
          <w:sz w:val="24"/>
        </w:rPr>
        <w:t xml:space="preserve">only a few small outlets offering alternative and </w:t>
      </w:r>
      <w:r w:rsidR="00612B56">
        <w:rPr>
          <w:sz w:val="24"/>
        </w:rPr>
        <w:t>dissenting</w:t>
      </w:r>
      <w:r w:rsidR="00612B56" w:rsidRPr="00716DB0">
        <w:rPr>
          <w:sz w:val="24"/>
        </w:rPr>
        <w:t xml:space="preserve"> </w:t>
      </w:r>
      <w:r w:rsidRPr="00716DB0">
        <w:rPr>
          <w:sz w:val="24"/>
        </w:rPr>
        <w:t>views.</w:t>
      </w:r>
    </w:p>
    <w:p w14:paraId="602E61CB" w14:textId="3C75FB39" w:rsidR="00920EA5" w:rsidRPr="00716DB0" w:rsidRDefault="00920EA5" w:rsidP="008D1E1F">
      <w:pPr>
        <w:rPr>
          <w:sz w:val="24"/>
        </w:rPr>
      </w:pPr>
      <w:r w:rsidRPr="00716DB0">
        <w:rPr>
          <w:sz w:val="24"/>
        </w:rPr>
        <w:t xml:space="preserve">The crackdown on </w:t>
      </w:r>
      <w:r w:rsidRPr="006F505D">
        <w:rPr>
          <w:sz w:val="24"/>
        </w:rPr>
        <w:t xml:space="preserve">media freedom also </w:t>
      </w:r>
      <w:r w:rsidR="00DC0019" w:rsidRPr="006F505D">
        <w:rPr>
          <w:sz w:val="24"/>
        </w:rPr>
        <w:t xml:space="preserve">included </w:t>
      </w:r>
      <w:r w:rsidRPr="006F505D">
        <w:rPr>
          <w:sz w:val="24"/>
        </w:rPr>
        <w:t xml:space="preserve">the </w:t>
      </w:r>
      <w:r w:rsidRPr="006F505D">
        <w:rPr>
          <w:color w:val="auto"/>
          <w:sz w:val="24"/>
        </w:rPr>
        <w:t>clos</w:t>
      </w:r>
      <w:r w:rsidR="00DC0019" w:rsidRPr="006F505D">
        <w:rPr>
          <w:color w:val="auto"/>
          <w:sz w:val="24"/>
        </w:rPr>
        <w:t>ing down</w:t>
      </w:r>
      <w:r w:rsidRPr="006F505D">
        <w:rPr>
          <w:color w:val="auto"/>
          <w:sz w:val="24"/>
        </w:rPr>
        <w:t xml:space="preserve"> of</w:t>
      </w:r>
      <w:r w:rsidRPr="00716DB0">
        <w:rPr>
          <w:color w:val="auto"/>
          <w:sz w:val="24"/>
        </w:rPr>
        <w:t xml:space="preserve"> </w:t>
      </w:r>
      <w:r w:rsidR="00BC0C99" w:rsidRPr="00716DB0">
        <w:rPr>
          <w:color w:val="auto"/>
          <w:sz w:val="24"/>
        </w:rPr>
        <w:t>more than</w:t>
      </w:r>
      <w:r w:rsidRPr="00716DB0">
        <w:rPr>
          <w:color w:val="auto"/>
          <w:sz w:val="24"/>
        </w:rPr>
        <w:t xml:space="preserve"> 1</w:t>
      </w:r>
      <w:r w:rsidR="00F51243" w:rsidRPr="00716DB0">
        <w:rPr>
          <w:color w:val="auto"/>
          <w:sz w:val="24"/>
        </w:rPr>
        <w:t>7</w:t>
      </w:r>
      <w:r w:rsidRPr="00716DB0">
        <w:rPr>
          <w:color w:val="auto"/>
          <w:sz w:val="24"/>
        </w:rPr>
        <w:t xml:space="preserve">0 </w:t>
      </w:r>
      <w:r w:rsidR="003A2569" w:rsidRPr="00716DB0">
        <w:rPr>
          <w:color w:val="auto"/>
          <w:sz w:val="24"/>
        </w:rPr>
        <w:t xml:space="preserve">media outlets, including print and broadcast media as well as publishing houses. </w:t>
      </w:r>
      <w:r w:rsidR="00BC0C99" w:rsidRPr="00716DB0">
        <w:rPr>
          <w:color w:val="auto"/>
          <w:sz w:val="24"/>
        </w:rPr>
        <w:t xml:space="preserve">More than </w:t>
      </w:r>
      <w:r w:rsidR="003A2569" w:rsidRPr="00716DB0">
        <w:rPr>
          <w:color w:val="auto"/>
          <w:sz w:val="24"/>
        </w:rPr>
        <w:t xml:space="preserve">2,500 </w:t>
      </w:r>
      <w:r w:rsidR="003A2569" w:rsidRPr="006F505D">
        <w:rPr>
          <w:color w:val="auto"/>
          <w:sz w:val="24"/>
        </w:rPr>
        <w:t>journalists and other media workers lost th</w:t>
      </w:r>
      <w:r w:rsidR="003A2569" w:rsidRPr="006F505D">
        <w:rPr>
          <w:sz w:val="24"/>
        </w:rPr>
        <w:t>eir jobs as a result</w:t>
      </w:r>
      <w:r w:rsidR="00DC0019" w:rsidRPr="006F505D">
        <w:rPr>
          <w:sz w:val="24"/>
        </w:rPr>
        <w:t xml:space="preserve"> of these closures</w:t>
      </w:r>
      <w:r w:rsidR="003A2569" w:rsidRPr="006F505D">
        <w:rPr>
          <w:sz w:val="24"/>
        </w:rPr>
        <w:t xml:space="preserve">. The media landscape became further desolate and uniform when the last remaining independent media group was sold to a conglomerate known to </w:t>
      </w:r>
      <w:r w:rsidR="00612B56">
        <w:rPr>
          <w:sz w:val="24"/>
        </w:rPr>
        <w:t>have</w:t>
      </w:r>
      <w:r w:rsidR="00612B56" w:rsidRPr="006F505D">
        <w:rPr>
          <w:sz w:val="24"/>
        </w:rPr>
        <w:t xml:space="preserve"> </w:t>
      </w:r>
      <w:r w:rsidR="003A2569" w:rsidRPr="006F505D">
        <w:rPr>
          <w:sz w:val="24"/>
        </w:rPr>
        <w:t xml:space="preserve">close </w:t>
      </w:r>
      <w:r w:rsidR="00612B56">
        <w:rPr>
          <w:sz w:val="24"/>
        </w:rPr>
        <w:t xml:space="preserve">business ties </w:t>
      </w:r>
      <w:r w:rsidR="003A2569" w:rsidRPr="006F505D">
        <w:rPr>
          <w:sz w:val="24"/>
        </w:rPr>
        <w:t>to the government.</w:t>
      </w:r>
      <w:r w:rsidR="003A2569" w:rsidRPr="00716DB0">
        <w:rPr>
          <w:sz w:val="24"/>
        </w:rPr>
        <w:t xml:space="preserve"> </w:t>
      </w:r>
    </w:p>
    <w:p w14:paraId="4C88670E" w14:textId="77777777" w:rsidR="00306992" w:rsidRPr="001B6FEA" w:rsidRDefault="00306992" w:rsidP="00306992">
      <w:pPr>
        <w:rPr>
          <w:b/>
          <w:sz w:val="24"/>
        </w:rPr>
      </w:pPr>
      <w:r>
        <w:rPr>
          <w:b/>
          <w:sz w:val="24"/>
        </w:rPr>
        <w:t>International criticism</w:t>
      </w:r>
    </w:p>
    <w:p w14:paraId="27E65E74" w14:textId="73A8C24D" w:rsidR="00306992" w:rsidRPr="00716DB0" w:rsidRDefault="00306992" w:rsidP="00306992">
      <w:pPr>
        <w:rPr>
          <w:sz w:val="24"/>
          <w:lang w:val="tr-TR"/>
        </w:rPr>
      </w:pPr>
      <w:r w:rsidRPr="00F53CDF">
        <w:rPr>
          <w:sz w:val="24"/>
        </w:rPr>
        <w:t xml:space="preserve">The calls for the end </w:t>
      </w:r>
      <w:r w:rsidR="007F2158" w:rsidRPr="00F53CDF">
        <w:rPr>
          <w:sz w:val="24"/>
        </w:rPr>
        <w:t xml:space="preserve">to measures taken under </w:t>
      </w:r>
      <w:r w:rsidRPr="00F53CDF">
        <w:rPr>
          <w:sz w:val="24"/>
        </w:rPr>
        <w:t>the state of emergency</w:t>
      </w:r>
      <w:r w:rsidR="007F2158" w:rsidRPr="00F53CDF">
        <w:rPr>
          <w:sz w:val="24"/>
        </w:rPr>
        <w:t>, and in some cases for an end to the state of emergency itself,</w:t>
      </w:r>
      <w:r w:rsidRPr="00F53CDF">
        <w:rPr>
          <w:sz w:val="24"/>
        </w:rPr>
        <w:t xml:space="preserve"> have been </w:t>
      </w:r>
      <w:r w:rsidR="007F2158" w:rsidRPr="00F53CDF">
        <w:rPr>
          <w:sz w:val="24"/>
        </w:rPr>
        <w:lastRenderedPageBreak/>
        <w:t>increasing</w:t>
      </w:r>
      <w:r w:rsidRPr="00F53CDF">
        <w:rPr>
          <w:sz w:val="24"/>
        </w:rPr>
        <w:t>. In its report on the impact of the state of emergency on human</w:t>
      </w:r>
      <w:r>
        <w:rPr>
          <w:sz w:val="24"/>
        </w:rPr>
        <w:t xml:space="preserve"> rights, the</w:t>
      </w:r>
      <w:r w:rsidR="00F53CDF">
        <w:rPr>
          <w:sz w:val="24"/>
        </w:rPr>
        <w:t xml:space="preserve"> </w:t>
      </w:r>
      <w:hyperlink r:id="rId9" w:history="1">
        <w:r w:rsidR="00F53CDF" w:rsidRPr="00F53CDF">
          <w:rPr>
            <w:rStyle w:val="Hyperlink"/>
            <w:sz w:val="24"/>
          </w:rPr>
          <w:t xml:space="preserve">Office of the </w:t>
        </w:r>
        <w:r w:rsidRPr="00F53CDF">
          <w:rPr>
            <w:rStyle w:val="Hyperlink"/>
            <w:sz w:val="24"/>
            <w:lang w:val="tr-TR"/>
          </w:rPr>
          <w:t>U</w:t>
        </w:r>
        <w:r w:rsidR="003A30A2">
          <w:rPr>
            <w:rStyle w:val="Hyperlink"/>
            <w:sz w:val="24"/>
            <w:lang w:val="tr-TR"/>
          </w:rPr>
          <w:t xml:space="preserve">nited </w:t>
        </w:r>
        <w:r w:rsidRPr="00F53CDF">
          <w:rPr>
            <w:rStyle w:val="Hyperlink"/>
            <w:sz w:val="24"/>
            <w:lang w:val="tr-TR"/>
          </w:rPr>
          <w:t>N</w:t>
        </w:r>
        <w:r w:rsidR="003A30A2">
          <w:rPr>
            <w:rStyle w:val="Hyperlink"/>
            <w:sz w:val="24"/>
            <w:lang w:val="tr-TR"/>
          </w:rPr>
          <w:t>ations</w:t>
        </w:r>
        <w:r w:rsidRPr="00F53CDF">
          <w:rPr>
            <w:rStyle w:val="Hyperlink"/>
            <w:sz w:val="24"/>
            <w:lang w:val="tr-TR"/>
          </w:rPr>
          <w:t xml:space="preserve"> </w:t>
        </w:r>
        <w:r w:rsidR="00F53CDF" w:rsidRPr="00F53CDF">
          <w:rPr>
            <w:rStyle w:val="Hyperlink"/>
            <w:sz w:val="24"/>
          </w:rPr>
          <w:t xml:space="preserve">High Commissioner for </w:t>
        </w:r>
        <w:r w:rsidR="00012DD9" w:rsidRPr="00F53CDF">
          <w:rPr>
            <w:rStyle w:val="Hyperlink"/>
            <w:sz w:val="24"/>
            <w:lang w:val="tr-TR"/>
          </w:rPr>
          <w:t>Human Rights</w:t>
        </w:r>
      </w:hyperlink>
      <w:r w:rsidR="00012DD9">
        <w:rPr>
          <w:sz w:val="24"/>
          <w:lang w:val="tr-TR"/>
        </w:rPr>
        <w:t xml:space="preserve"> </w:t>
      </w:r>
      <w:r>
        <w:rPr>
          <w:sz w:val="24"/>
          <w:lang w:val="tr-TR"/>
        </w:rPr>
        <w:t>called on Turkey among other</w:t>
      </w:r>
      <w:r w:rsidR="007F2158">
        <w:rPr>
          <w:sz w:val="24"/>
          <w:lang w:val="tr-TR"/>
        </w:rPr>
        <w:t xml:space="preserve"> th</w:t>
      </w:r>
      <w:r w:rsidR="007017E0">
        <w:rPr>
          <w:sz w:val="24"/>
          <w:lang w:val="tr-TR"/>
        </w:rPr>
        <w:t>i</w:t>
      </w:r>
      <w:r w:rsidR="007F2158">
        <w:rPr>
          <w:sz w:val="24"/>
          <w:lang w:val="tr-TR"/>
        </w:rPr>
        <w:t>ng</w:t>
      </w:r>
      <w:r>
        <w:rPr>
          <w:sz w:val="24"/>
          <w:lang w:val="tr-TR"/>
        </w:rPr>
        <w:t xml:space="preserve">s ‘to revise and repeal all legislation that is not compliant with </w:t>
      </w:r>
      <w:r w:rsidR="00142E25">
        <w:rPr>
          <w:sz w:val="24"/>
          <w:lang w:val="tr-TR"/>
        </w:rPr>
        <w:t>[</w:t>
      </w:r>
      <w:r>
        <w:rPr>
          <w:sz w:val="24"/>
          <w:lang w:val="tr-TR"/>
        </w:rPr>
        <w:t>its</w:t>
      </w:r>
      <w:r w:rsidR="00142E25">
        <w:rPr>
          <w:sz w:val="24"/>
          <w:lang w:val="tr-TR"/>
        </w:rPr>
        <w:t>]</w:t>
      </w:r>
      <w:r>
        <w:rPr>
          <w:sz w:val="24"/>
          <w:lang w:val="tr-TR"/>
        </w:rPr>
        <w:t xml:space="preserve"> international human rights obligations’; ‘reverse the ban imposed on </w:t>
      </w:r>
      <w:r w:rsidR="00142E25">
        <w:rPr>
          <w:sz w:val="24"/>
          <w:lang w:val="tr-TR"/>
        </w:rPr>
        <w:t xml:space="preserve">dismissed </w:t>
      </w:r>
      <w:r w:rsidRPr="00464A1C">
        <w:rPr>
          <w:sz w:val="24"/>
          <w:lang w:val="tr-TR"/>
        </w:rPr>
        <w:t>civil servants from rejoining the public service</w:t>
      </w:r>
      <w:r w:rsidR="002B4D37" w:rsidRPr="00464A1C">
        <w:rPr>
          <w:sz w:val="24"/>
          <w:lang w:val="tr-TR"/>
        </w:rPr>
        <w:t xml:space="preserve"> [and] ensure that [they] ... have the right to have their cases reviewed by an independent </w:t>
      </w:r>
      <w:r w:rsidRPr="00464A1C">
        <w:rPr>
          <w:sz w:val="24"/>
          <w:lang w:val="tr-TR"/>
        </w:rPr>
        <w:t>judicial and administrative bod</w:t>
      </w:r>
      <w:r w:rsidR="002B4D37" w:rsidRPr="00464A1C">
        <w:rPr>
          <w:sz w:val="24"/>
          <w:lang w:val="tr-TR"/>
        </w:rPr>
        <w:t>y ...</w:t>
      </w:r>
      <w:r w:rsidRPr="00464A1C">
        <w:rPr>
          <w:sz w:val="24"/>
          <w:lang w:val="tr-TR"/>
        </w:rPr>
        <w:t xml:space="preserve"> and </w:t>
      </w:r>
      <w:r w:rsidR="002B4D37" w:rsidRPr="00464A1C">
        <w:rPr>
          <w:sz w:val="24"/>
          <w:lang w:val="tr-TR"/>
        </w:rPr>
        <w:t xml:space="preserve">to </w:t>
      </w:r>
      <w:r w:rsidRPr="00464A1C">
        <w:rPr>
          <w:sz w:val="24"/>
          <w:lang w:val="tr-TR"/>
        </w:rPr>
        <w:t xml:space="preserve">compensation’; ‘take all </w:t>
      </w:r>
      <w:r w:rsidR="002B4D37" w:rsidRPr="00464A1C">
        <w:rPr>
          <w:sz w:val="24"/>
          <w:lang w:val="tr-TR"/>
        </w:rPr>
        <w:t xml:space="preserve">the </w:t>
      </w:r>
      <w:r w:rsidRPr="00464A1C">
        <w:rPr>
          <w:sz w:val="24"/>
          <w:lang w:val="tr-TR"/>
        </w:rPr>
        <w:t>necessary</w:t>
      </w:r>
      <w:r>
        <w:rPr>
          <w:sz w:val="24"/>
          <w:lang w:val="tr-TR"/>
        </w:rPr>
        <w:t xml:space="preserve"> measures </w:t>
      </w:r>
      <w:r w:rsidR="002B4D37">
        <w:rPr>
          <w:sz w:val="24"/>
          <w:lang w:val="tr-TR"/>
        </w:rPr>
        <w:t xml:space="preserve">to ensure an enabling environment </w:t>
      </w:r>
      <w:r>
        <w:rPr>
          <w:sz w:val="24"/>
          <w:lang w:val="tr-TR"/>
        </w:rPr>
        <w:t xml:space="preserve">for independent </w:t>
      </w:r>
      <w:r w:rsidRPr="00464A1C">
        <w:rPr>
          <w:sz w:val="24"/>
          <w:lang w:val="tr-TR"/>
        </w:rPr>
        <w:t>media and civil society organizations to operate safely and freely’</w:t>
      </w:r>
      <w:r w:rsidR="002B4D37" w:rsidRPr="00464A1C">
        <w:rPr>
          <w:sz w:val="24"/>
          <w:lang w:val="tr-TR"/>
        </w:rPr>
        <w:t>;</w:t>
      </w:r>
      <w:r w:rsidRPr="00464A1C">
        <w:rPr>
          <w:sz w:val="24"/>
          <w:lang w:val="tr-TR"/>
        </w:rPr>
        <w:t xml:space="preserve"> and ‘</w:t>
      </w:r>
      <w:r w:rsidR="002B4D37" w:rsidRPr="00464A1C">
        <w:rPr>
          <w:sz w:val="24"/>
          <w:lang w:val="tr-TR"/>
        </w:rPr>
        <w:t xml:space="preserve">immediately </w:t>
      </w:r>
      <w:r w:rsidRPr="00464A1C">
        <w:rPr>
          <w:sz w:val="24"/>
          <w:lang w:val="tr-TR"/>
        </w:rPr>
        <w:t xml:space="preserve">release journalists, writers, </w:t>
      </w:r>
      <w:r w:rsidR="002B4D37" w:rsidRPr="00464A1C">
        <w:rPr>
          <w:sz w:val="24"/>
          <w:lang w:val="tr-TR"/>
        </w:rPr>
        <w:t xml:space="preserve">judges and </w:t>
      </w:r>
      <w:r w:rsidRPr="00464A1C">
        <w:rPr>
          <w:sz w:val="24"/>
          <w:lang w:val="tr-TR"/>
        </w:rPr>
        <w:t xml:space="preserve">academics </w:t>
      </w:r>
      <w:r w:rsidR="002B4D37" w:rsidRPr="00464A1C">
        <w:rPr>
          <w:sz w:val="24"/>
          <w:lang w:val="tr-TR"/>
        </w:rPr>
        <w:t xml:space="preserve">who are </w:t>
      </w:r>
      <w:r w:rsidRPr="00464A1C">
        <w:rPr>
          <w:sz w:val="24"/>
          <w:lang w:val="tr-TR"/>
        </w:rPr>
        <w:t xml:space="preserve">detained </w:t>
      </w:r>
      <w:r w:rsidR="002B4D37" w:rsidRPr="00464A1C">
        <w:rPr>
          <w:sz w:val="24"/>
          <w:lang w:val="tr-TR"/>
        </w:rPr>
        <w:t xml:space="preserve">pursuant to </w:t>
      </w:r>
      <w:r w:rsidR="00DD2777">
        <w:rPr>
          <w:sz w:val="24"/>
          <w:lang w:val="tr-TR"/>
        </w:rPr>
        <w:t>counter</w:t>
      </w:r>
      <w:r w:rsidRPr="00464A1C">
        <w:rPr>
          <w:sz w:val="24"/>
          <w:lang w:val="tr-TR"/>
        </w:rPr>
        <w:t xml:space="preserve">-terrorism </w:t>
      </w:r>
      <w:r w:rsidR="002B4D37" w:rsidRPr="00464A1C">
        <w:rPr>
          <w:sz w:val="24"/>
          <w:lang w:val="tr-TR"/>
        </w:rPr>
        <w:t>legislation and emergency decrees</w:t>
      </w:r>
      <w:r w:rsidRPr="00464A1C">
        <w:rPr>
          <w:sz w:val="24"/>
          <w:lang w:val="tr-TR"/>
        </w:rPr>
        <w:t xml:space="preserve">’. The </w:t>
      </w:r>
      <w:hyperlink r:id="rId10" w:history="1">
        <w:r w:rsidRPr="00464A1C">
          <w:rPr>
            <w:rStyle w:val="Hyperlink"/>
            <w:sz w:val="24"/>
            <w:lang w:val="tr-TR"/>
          </w:rPr>
          <w:t>European Commission</w:t>
        </w:r>
      </w:hyperlink>
      <w:r w:rsidRPr="00464A1C">
        <w:rPr>
          <w:sz w:val="24"/>
          <w:lang w:val="tr-TR"/>
        </w:rPr>
        <w:t>’s latest report on Tur</w:t>
      </w:r>
      <w:r w:rsidR="006F505D">
        <w:rPr>
          <w:sz w:val="24"/>
          <w:lang w:val="tr-TR"/>
        </w:rPr>
        <w:t>key calls on the authorities to</w:t>
      </w:r>
      <w:r w:rsidRPr="00464A1C">
        <w:rPr>
          <w:sz w:val="24"/>
          <w:lang w:val="tr-TR"/>
        </w:rPr>
        <w:t xml:space="preserve"> lift the state of emergency</w:t>
      </w:r>
      <w:r w:rsidR="00072645">
        <w:rPr>
          <w:sz w:val="24"/>
          <w:lang w:val="tr-TR"/>
        </w:rPr>
        <w:t xml:space="preserve"> and</w:t>
      </w:r>
      <w:r w:rsidRPr="00464A1C">
        <w:rPr>
          <w:sz w:val="24"/>
          <w:lang w:val="tr-TR"/>
        </w:rPr>
        <w:t xml:space="preserve"> ensure the independence and accountability of the judiciary including through ‘limit</w:t>
      </w:r>
      <w:r w:rsidR="00072645">
        <w:rPr>
          <w:sz w:val="24"/>
          <w:lang w:val="tr-TR"/>
        </w:rPr>
        <w:t>[</w:t>
      </w:r>
      <w:r w:rsidRPr="00464A1C">
        <w:rPr>
          <w:sz w:val="24"/>
          <w:lang w:val="tr-TR"/>
        </w:rPr>
        <w:t>ing</w:t>
      </w:r>
      <w:r w:rsidR="00072645">
        <w:rPr>
          <w:sz w:val="24"/>
          <w:lang w:val="tr-TR"/>
        </w:rPr>
        <w:t>]</w:t>
      </w:r>
      <w:r w:rsidRPr="00464A1C">
        <w:rPr>
          <w:sz w:val="24"/>
          <w:lang w:val="tr-TR"/>
        </w:rPr>
        <w:t xml:space="preserve"> the role and influence of executive power within the Council of Judges and Prosecutors</w:t>
      </w:r>
      <w:r w:rsidR="00920777">
        <w:rPr>
          <w:sz w:val="24"/>
          <w:lang w:val="tr-TR"/>
        </w:rPr>
        <w:t>’</w:t>
      </w:r>
      <w:r w:rsidR="0064002D">
        <w:rPr>
          <w:sz w:val="24"/>
          <w:lang w:val="tr-TR"/>
        </w:rPr>
        <w:t xml:space="preserve"> (CJP)</w:t>
      </w:r>
      <w:r w:rsidR="006F505D">
        <w:rPr>
          <w:sz w:val="24"/>
          <w:lang w:val="tr-TR"/>
        </w:rPr>
        <w:t xml:space="preserve"> and </w:t>
      </w:r>
      <w:r w:rsidR="00920777">
        <w:rPr>
          <w:sz w:val="24"/>
          <w:lang w:val="tr-TR"/>
        </w:rPr>
        <w:t>‘</w:t>
      </w:r>
      <w:r w:rsidR="006F505D" w:rsidRPr="00920777">
        <w:rPr>
          <w:sz w:val="24"/>
          <w:lang w:val="tr-TR"/>
        </w:rPr>
        <w:t>introduce[ing] further safeguards against any interference by the CJP in judicial proceedings</w:t>
      </w:r>
      <w:r w:rsidR="006F505D">
        <w:rPr>
          <w:sz w:val="24"/>
        </w:rPr>
        <w:t>’</w:t>
      </w:r>
      <w:r w:rsidRPr="00464A1C">
        <w:rPr>
          <w:sz w:val="24"/>
          <w:lang w:val="tr-TR"/>
        </w:rPr>
        <w:t xml:space="preserve">. The </w:t>
      </w:r>
      <w:hyperlink r:id="rId11" w:history="1">
        <w:r w:rsidRPr="00464A1C">
          <w:rPr>
            <w:rStyle w:val="Hyperlink"/>
            <w:sz w:val="24"/>
            <w:lang w:val="tr-TR"/>
          </w:rPr>
          <w:t>Parliamentary Assembly of the Council of Europe</w:t>
        </w:r>
      </w:hyperlink>
      <w:r w:rsidRPr="00464A1C">
        <w:rPr>
          <w:sz w:val="24"/>
          <w:lang w:val="tr-TR"/>
        </w:rPr>
        <w:t xml:space="preserve"> in </w:t>
      </w:r>
      <w:r w:rsidR="00FD2CAA" w:rsidRPr="00464A1C">
        <w:rPr>
          <w:sz w:val="24"/>
          <w:lang w:val="tr-TR"/>
        </w:rPr>
        <w:t xml:space="preserve">an April 2018 </w:t>
      </w:r>
      <w:r w:rsidRPr="00464A1C">
        <w:rPr>
          <w:sz w:val="24"/>
          <w:lang w:val="tr-TR"/>
        </w:rPr>
        <w:t xml:space="preserve">resolution recommended that Turkey </w:t>
      </w:r>
      <w:r w:rsidR="00142E25" w:rsidRPr="00464A1C">
        <w:rPr>
          <w:sz w:val="24"/>
          <w:lang w:val="tr-TR"/>
        </w:rPr>
        <w:t>‘</w:t>
      </w:r>
      <w:r w:rsidRPr="00464A1C">
        <w:rPr>
          <w:sz w:val="24"/>
          <w:lang w:val="tr-TR"/>
        </w:rPr>
        <w:t xml:space="preserve">bring an end </w:t>
      </w:r>
      <w:r w:rsidR="00142E25" w:rsidRPr="00464A1C">
        <w:rPr>
          <w:sz w:val="24"/>
          <w:lang w:val="tr-TR"/>
        </w:rPr>
        <w:t xml:space="preserve">to </w:t>
      </w:r>
      <w:r w:rsidRPr="00464A1C">
        <w:rPr>
          <w:sz w:val="24"/>
          <w:lang w:val="tr-TR"/>
        </w:rPr>
        <w:t xml:space="preserve">the state of emergency at the expiration of the current period, withdrawing the derogation to the </w:t>
      </w:r>
      <w:r w:rsidR="00142E25" w:rsidRPr="00464A1C">
        <w:rPr>
          <w:sz w:val="24"/>
          <w:lang w:val="tr-TR"/>
        </w:rPr>
        <w:t xml:space="preserve">[European] </w:t>
      </w:r>
      <w:r w:rsidRPr="00464A1C">
        <w:rPr>
          <w:sz w:val="24"/>
          <w:lang w:val="tr-TR"/>
        </w:rPr>
        <w:t xml:space="preserve">Convention </w:t>
      </w:r>
      <w:r w:rsidR="00142E25" w:rsidRPr="00464A1C">
        <w:rPr>
          <w:sz w:val="24"/>
          <w:lang w:val="tr-TR"/>
        </w:rPr>
        <w:t xml:space="preserve">[on Human Rights] </w:t>
      </w:r>
      <w:r w:rsidRPr="00464A1C">
        <w:rPr>
          <w:sz w:val="24"/>
          <w:lang w:val="tr-TR"/>
        </w:rPr>
        <w:t>and thereafter using normal procedures to adopt any future measures that may be needed to address the security situation in the country, in conformity with Council of Europe standards, including those of the Convention as applied in full’.</w:t>
      </w:r>
      <w:r w:rsidRPr="00464A1C" w:rsidDel="00734F5A">
        <w:rPr>
          <w:sz w:val="24"/>
          <w:lang w:val="tr-TR"/>
        </w:rPr>
        <w:t xml:space="preserve"> </w:t>
      </w:r>
    </w:p>
    <w:p w14:paraId="3A32DE56" w14:textId="77777777" w:rsidR="00306992" w:rsidRPr="00EE5DAF" w:rsidRDefault="00306992" w:rsidP="008D1E1F">
      <w:pPr>
        <w:rPr>
          <w:sz w:val="24"/>
          <w:lang w:val="tr-TR"/>
        </w:rPr>
      </w:pPr>
    </w:p>
    <w:p w14:paraId="1A01DB47" w14:textId="77777777" w:rsidR="003A2569" w:rsidRPr="00716DB0" w:rsidRDefault="003A2569" w:rsidP="003A2569">
      <w:pPr>
        <w:rPr>
          <w:b/>
          <w:sz w:val="24"/>
        </w:rPr>
      </w:pPr>
      <w:r w:rsidRPr="00716DB0">
        <w:rPr>
          <w:b/>
          <w:sz w:val="24"/>
        </w:rPr>
        <w:t>Two years of State of Emergency in Turkey by numbers</w:t>
      </w:r>
    </w:p>
    <w:p w14:paraId="1A20E569" w14:textId="38295441" w:rsidR="003A2569" w:rsidRPr="00716DB0" w:rsidRDefault="003A2569" w:rsidP="003A2569">
      <w:pPr>
        <w:rPr>
          <w:sz w:val="24"/>
        </w:rPr>
      </w:pPr>
      <w:bookmarkStart w:id="4" w:name="_Hlk518901568"/>
      <w:r w:rsidRPr="00716DB0">
        <w:rPr>
          <w:sz w:val="24"/>
        </w:rPr>
        <w:t xml:space="preserve">70,000+ people currently in prison </w:t>
      </w:r>
      <w:r w:rsidR="00840816">
        <w:rPr>
          <w:sz w:val="24"/>
        </w:rPr>
        <w:t>pending prosecution or</w:t>
      </w:r>
      <w:r w:rsidR="00840816" w:rsidRPr="00716DB0">
        <w:rPr>
          <w:sz w:val="24"/>
        </w:rPr>
        <w:t xml:space="preserve"> </w:t>
      </w:r>
      <w:r w:rsidRPr="00716DB0">
        <w:rPr>
          <w:sz w:val="24"/>
        </w:rPr>
        <w:t>trial</w:t>
      </w:r>
    </w:p>
    <w:p w14:paraId="7B0DB765" w14:textId="15ED4464" w:rsidR="003A2569" w:rsidRPr="00716DB0" w:rsidRDefault="00F61A1E" w:rsidP="003A2569">
      <w:pPr>
        <w:rPr>
          <w:sz w:val="24"/>
        </w:rPr>
      </w:pPr>
      <w:r w:rsidRPr="00716DB0">
        <w:rPr>
          <w:sz w:val="24"/>
        </w:rPr>
        <w:t>17</w:t>
      </w:r>
      <w:r w:rsidR="007219D4">
        <w:rPr>
          <w:sz w:val="24"/>
        </w:rPr>
        <w:t>0+</w:t>
      </w:r>
      <w:r w:rsidR="003A2569" w:rsidRPr="00716DB0">
        <w:rPr>
          <w:sz w:val="24"/>
        </w:rPr>
        <w:t xml:space="preserve"> media outlets closed down</w:t>
      </w:r>
    </w:p>
    <w:p w14:paraId="58419E1E" w14:textId="77777777" w:rsidR="003A2569" w:rsidRPr="00716DB0" w:rsidRDefault="003A2569" w:rsidP="003A2569">
      <w:pPr>
        <w:rPr>
          <w:sz w:val="24"/>
        </w:rPr>
      </w:pPr>
      <w:r w:rsidRPr="00716DB0">
        <w:rPr>
          <w:sz w:val="24"/>
        </w:rPr>
        <w:t>150+ journalists and media workers currently in prison</w:t>
      </w:r>
    </w:p>
    <w:p w14:paraId="685BCB9F" w14:textId="77777777" w:rsidR="003A2569" w:rsidRPr="00716DB0" w:rsidRDefault="003A2569" w:rsidP="003A2569">
      <w:pPr>
        <w:rPr>
          <w:sz w:val="24"/>
        </w:rPr>
      </w:pPr>
      <w:r w:rsidRPr="00716DB0">
        <w:rPr>
          <w:sz w:val="24"/>
        </w:rPr>
        <w:t>360+ academics prosecuted for peace appeal</w:t>
      </w:r>
    </w:p>
    <w:p w14:paraId="249F9417" w14:textId="4E8EB836" w:rsidR="003A2569" w:rsidRPr="00716DB0" w:rsidRDefault="001B5DC8" w:rsidP="003A2569">
      <w:pPr>
        <w:rPr>
          <w:sz w:val="24"/>
        </w:rPr>
      </w:pPr>
      <w:r w:rsidRPr="00716DB0">
        <w:rPr>
          <w:sz w:val="24"/>
        </w:rPr>
        <w:t>1500</w:t>
      </w:r>
      <w:r w:rsidR="003A2569" w:rsidRPr="00716DB0">
        <w:rPr>
          <w:sz w:val="24"/>
        </w:rPr>
        <w:t>+ associations and foundations closed down</w:t>
      </w:r>
    </w:p>
    <w:p w14:paraId="1900FD77" w14:textId="25CC1AF8" w:rsidR="003A2569" w:rsidRPr="00716DB0" w:rsidRDefault="001B5DC8" w:rsidP="003A2569">
      <w:pPr>
        <w:rPr>
          <w:sz w:val="24"/>
        </w:rPr>
      </w:pPr>
      <w:r w:rsidRPr="00716DB0">
        <w:rPr>
          <w:sz w:val="24"/>
        </w:rPr>
        <w:t>130,000</w:t>
      </w:r>
      <w:r w:rsidR="003A2569" w:rsidRPr="00716DB0">
        <w:rPr>
          <w:sz w:val="24"/>
        </w:rPr>
        <w:t xml:space="preserve">+ public sector workers summarily dismissed </w:t>
      </w:r>
    </w:p>
    <w:bookmarkEnd w:id="4"/>
    <w:p w14:paraId="5608802B" w14:textId="3BA4577F" w:rsidR="003A2569" w:rsidRPr="00716DB0" w:rsidRDefault="003A2569" w:rsidP="008D1E1F">
      <w:pPr>
        <w:rPr>
          <w:sz w:val="24"/>
        </w:rPr>
      </w:pPr>
    </w:p>
    <w:sectPr w:rsidR="003A2569" w:rsidRPr="00716DB0"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57A26" w14:textId="77777777" w:rsidR="00C43A86" w:rsidRDefault="00C43A86">
      <w:r>
        <w:separator/>
      </w:r>
    </w:p>
  </w:endnote>
  <w:endnote w:type="continuationSeparator" w:id="0">
    <w:p w14:paraId="56A3FD22" w14:textId="77777777" w:rsidR="00C43A86" w:rsidRDefault="00C4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BD71" w14:textId="77777777" w:rsidR="00C43A86" w:rsidRDefault="00C43A86">
      <w:r>
        <w:separator/>
      </w:r>
    </w:p>
  </w:footnote>
  <w:footnote w:type="continuationSeparator" w:id="0">
    <w:p w14:paraId="3A0363D0" w14:textId="77777777" w:rsidR="00C43A86" w:rsidRDefault="00C43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110D58"/>
    <w:multiLevelType w:val="hybridMultilevel"/>
    <w:tmpl w:val="1362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1"/>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2"/>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1F"/>
    <w:rsid w:val="0000500A"/>
    <w:rsid w:val="000079C8"/>
    <w:rsid w:val="00012DD9"/>
    <w:rsid w:val="00013F07"/>
    <w:rsid w:val="00014AF4"/>
    <w:rsid w:val="00022540"/>
    <w:rsid w:val="00025B55"/>
    <w:rsid w:val="00025FB0"/>
    <w:rsid w:val="00032461"/>
    <w:rsid w:val="00062A30"/>
    <w:rsid w:val="00072645"/>
    <w:rsid w:val="00092096"/>
    <w:rsid w:val="00096800"/>
    <w:rsid w:val="000A1AB5"/>
    <w:rsid w:val="000B0E17"/>
    <w:rsid w:val="000B28F3"/>
    <w:rsid w:val="000C2195"/>
    <w:rsid w:val="000C6C1C"/>
    <w:rsid w:val="000D1A8A"/>
    <w:rsid w:val="000D1D9A"/>
    <w:rsid w:val="000F0007"/>
    <w:rsid w:val="000F7030"/>
    <w:rsid w:val="001011BA"/>
    <w:rsid w:val="00102F0E"/>
    <w:rsid w:val="0010526C"/>
    <w:rsid w:val="001151EC"/>
    <w:rsid w:val="0011579A"/>
    <w:rsid w:val="00142E25"/>
    <w:rsid w:val="00162298"/>
    <w:rsid w:val="00170D91"/>
    <w:rsid w:val="00171FAA"/>
    <w:rsid w:val="00180B32"/>
    <w:rsid w:val="001A1321"/>
    <w:rsid w:val="001B5DC8"/>
    <w:rsid w:val="001B6144"/>
    <w:rsid w:val="001B61A0"/>
    <w:rsid w:val="001B6FEA"/>
    <w:rsid w:val="001C51CA"/>
    <w:rsid w:val="001E499C"/>
    <w:rsid w:val="001E784D"/>
    <w:rsid w:val="00201172"/>
    <w:rsid w:val="00211A51"/>
    <w:rsid w:val="00217599"/>
    <w:rsid w:val="00221079"/>
    <w:rsid w:val="00235E3C"/>
    <w:rsid w:val="002449EE"/>
    <w:rsid w:val="002451ED"/>
    <w:rsid w:val="00245655"/>
    <w:rsid w:val="00245B58"/>
    <w:rsid w:val="00253532"/>
    <w:rsid w:val="002639C3"/>
    <w:rsid w:val="00263C9F"/>
    <w:rsid w:val="00266F11"/>
    <w:rsid w:val="00274EA7"/>
    <w:rsid w:val="002A127E"/>
    <w:rsid w:val="002A2854"/>
    <w:rsid w:val="002A4C7D"/>
    <w:rsid w:val="002A62C5"/>
    <w:rsid w:val="002B137E"/>
    <w:rsid w:val="002B355A"/>
    <w:rsid w:val="002B4D37"/>
    <w:rsid w:val="002B6A30"/>
    <w:rsid w:val="002C145F"/>
    <w:rsid w:val="002C37B4"/>
    <w:rsid w:val="002D0D92"/>
    <w:rsid w:val="002D2F39"/>
    <w:rsid w:val="002D41C4"/>
    <w:rsid w:val="002E1968"/>
    <w:rsid w:val="00306992"/>
    <w:rsid w:val="003070EF"/>
    <w:rsid w:val="00307E40"/>
    <w:rsid w:val="00311A6F"/>
    <w:rsid w:val="0031582E"/>
    <w:rsid w:val="00315CAB"/>
    <w:rsid w:val="00325A94"/>
    <w:rsid w:val="003263DA"/>
    <w:rsid w:val="003352E1"/>
    <w:rsid w:val="0034186D"/>
    <w:rsid w:val="00342F08"/>
    <w:rsid w:val="00343AA7"/>
    <w:rsid w:val="003521FA"/>
    <w:rsid w:val="0035327E"/>
    <w:rsid w:val="00353AD8"/>
    <w:rsid w:val="00366DA1"/>
    <w:rsid w:val="00372E13"/>
    <w:rsid w:val="00390DB8"/>
    <w:rsid w:val="00392850"/>
    <w:rsid w:val="003A2569"/>
    <w:rsid w:val="003A30A2"/>
    <w:rsid w:val="003A7E2B"/>
    <w:rsid w:val="003B4588"/>
    <w:rsid w:val="003C1567"/>
    <w:rsid w:val="003E781B"/>
    <w:rsid w:val="003F70D3"/>
    <w:rsid w:val="004027CF"/>
    <w:rsid w:val="00464128"/>
    <w:rsid w:val="00464A1C"/>
    <w:rsid w:val="0047076A"/>
    <w:rsid w:val="00470A72"/>
    <w:rsid w:val="00470AFF"/>
    <w:rsid w:val="00490C16"/>
    <w:rsid w:val="004961E2"/>
    <w:rsid w:val="004A2E46"/>
    <w:rsid w:val="004B1B46"/>
    <w:rsid w:val="004B7A6C"/>
    <w:rsid w:val="004C0661"/>
    <w:rsid w:val="004C674B"/>
    <w:rsid w:val="004D4F69"/>
    <w:rsid w:val="004E15A9"/>
    <w:rsid w:val="004E169F"/>
    <w:rsid w:val="004E6D36"/>
    <w:rsid w:val="004F0931"/>
    <w:rsid w:val="0051444C"/>
    <w:rsid w:val="005228AA"/>
    <w:rsid w:val="0052314B"/>
    <w:rsid w:val="0052511E"/>
    <w:rsid w:val="005260B6"/>
    <w:rsid w:val="00533EE6"/>
    <w:rsid w:val="00535B1B"/>
    <w:rsid w:val="005407DE"/>
    <w:rsid w:val="005511C5"/>
    <w:rsid w:val="00552884"/>
    <w:rsid w:val="00557EB7"/>
    <w:rsid w:val="005609A9"/>
    <w:rsid w:val="0057249E"/>
    <w:rsid w:val="00574CC8"/>
    <w:rsid w:val="00577060"/>
    <w:rsid w:val="00580EE5"/>
    <w:rsid w:val="00594B8A"/>
    <w:rsid w:val="0059554B"/>
    <w:rsid w:val="005B0CAC"/>
    <w:rsid w:val="005B4A41"/>
    <w:rsid w:val="005C3139"/>
    <w:rsid w:val="005D1A79"/>
    <w:rsid w:val="005E3214"/>
    <w:rsid w:val="005E5D20"/>
    <w:rsid w:val="005E7207"/>
    <w:rsid w:val="005F3606"/>
    <w:rsid w:val="00602F51"/>
    <w:rsid w:val="00612B56"/>
    <w:rsid w:val="0064002D"/>
    <w:rsid w:val="00640D32"/>
    <w:rsid w:val="0066172F"/>
    <w:rsid w:val="0066473E"/>
    <w:rsid w:val="00670965"/>
    <w:rsid w:val="006768BF"/>
    <w:rsid w:val="00683341"/>
    <w:rsid w:val="00685BA5"/>
    <w:rsid w:val="00691C2A"/>
    <w:rsid w:val="00695D97"/>
    <w:rsid w:val="00697D52"/>
    <w:rsid w:val="006B1EBF"/>
    <w:rsid w:val="006B2B70"/>
    <w:rsid w:val="006C08F4"/>
    <w:rsid w:val="006C16CE"/>
    <w:rsid w:val="006D4E5D"/>
    <w:rsid w:val="006E18CE"/>
    <w:rsid w:val="006E72A2"/>
    <w:rsid w:val="006F505D"/>
    <w:rsid w:val="006F5D9C"/>
    <w:rsid w:val="007017E0"/>
    <w:rsid w:val="007115A6"/>
    <w:rsid w:val="00716CA6"/>
    <w:rsid w:val="00716DB0"/>
    <w:rsid w:val="007219D4"/>
    <w:rsid w:val="00723001"/>
    <w:rsid w:val="00726498"/>
    <w:rsid w:val="00727A99"/>
    <w:rsid w:val="007321BD"/>
    <w:rsid w:val="00734F5A"/>
    <w:rsid w:val="00741551"/>
    <w:rsid w:val="00750F16"/>
    <w:rsid w:val="007550ED"/>
    <w:rsid w:val="0077060D"/>
    <w:rsid w:val="0077125B"/>
    <w:rsid w:val="00771940"/>
    <w:rsid w:val="0078045D"/>
    <w:rsid w:val="007818E7"/>
    <w:rsid w:val="00785EE4"/>
    <w:rsid w:val="00786F3A"/>
    <w:rsid w:val="00787410"/>
    <w:rsid w:val="00790FFA"/>
    <w:rsid w:val="007C7F1F"/>
    <w:rsid w:val="007E0910"/>
    <w:rsid w:val="007E7456"/>
    <w:rsid w:val="007F2158"/>
    <w:rsid w:val="007F263E"/>
    <w:rsid w:val="007F39A6"/>
    <w:rsid w:val="0080103C"/>
    <w:rsid w:val="00803571"/>
    <w:rsid w:val="0080731F"/>
    <w:rsid w:val="00811A3D"/>
    <w:rsid w:val="00826312"/>
    <w:rsid w:val="00840816"/>
    <w:rsid w:val="008458F2"/>
    <w:rsid w:val="0085647F"/>
    <w:rsid w:val="0086333C"/>
    <w:rsid w:val="008646EB"/>
    <w:rsid w:val="00865824"/>
    <w:rsid w:val="0087170E"/>
    <w:rsid w:val="008767A2"/>
    <w:rsid w:val="0088016B"/>
    <w:rsid w:val="008B3B69"/>
    <w:rsid w:val="008B584E"/>
    <w:rsid w:val="008C39C0"/>
    <w:rsid w:val="008D1E1F"/>
    <w:rsid w:val="008D6042"/>
    <w:rsid w:val="008F7A25"/>
    <w:rsid w:val="00902B35"/>
    <w:rsid w:val="0091546A"/>
    <w:rsid w:val="009202B9"/>
    <w:rsid w:val="00920777"/>
    <w:rsid w:val="00920EA5"/>
    <w:rsid w:val="00921EFA"/>
    <w:rsid w:val="00941AC4"/>
    <w:rsid w:val="00947A19"/>
    <w:rsid w:val="009525D1"/>
    <w:rsid w:val="00953111"/>
    <w:rsid w:val="009624C7"/>
    <w:rsid w:val="009630DF"/>
    <w:rsid w:val="00970E50"/>
    <w:rsid w:val="00982544"/>
    <w:rsid w:val="009836FA"/>
    <w:rsid w:val="0098505B"/>
    <w:rsid w:val="0098751B"/>
    <w:rsid w:val="009C0ABF"/>
    <w:rsid w:val="009C347E"/>
    <w:rsid w:val="009D201C"/>
    <w:rsid w:val="00A06B14"/>
    <w:rsid w:val="00A1427C"/>
    <w:rsid w:val="00A2699E"/>
    <w:rsid w:val="00A62A67"/>
    <w:rsid w:val="00A65A98"/>
    <w:rsid w:val="00A66D9A"/>
    <w:rsid w:val="00A75017"/>
    <w:rsid w:val="00A77424"/>
    <w:rsid w:val="00A85B7F"/>
    <w:rsid w:val="00A96E32"/>
    <w:rsid w:val="00AA189C"/>
    <w:rsid w:val="00AB4F87"/>
    <w:rsid w:val="00AB5094"/>
    <w:rsid w:val="00AD502C"/>
    <w:rsid w:val="00AE059C"/>
    <w:rsid w:val="00AE490F"/>
    <w:rsid w:val="00B072A2"/>
    <w:rsid w:val="00B12F23"/>
    <w:rsid w:val="00B24F87"/>
    <w:rsid w:val="00B430D2"/>
    <w:rsid w:val="00B512C4"/>
    <w:rsid w:val="00B52929"/>
    <w:rsid w:val="00B5358F"/>
    <w:rsid w:val="00B54AD3"/>
    <w:rsid w:val="00B614D6"/>
    <w:rsid w:val="00B622A7"/>
    <w:rsid w:val="00B647A7"/>
    <w:rsid w:val="00B6765C"/>
    <w:rsid w:val="00B75FBA"/>
    <w:rsid w:val="00B77EDD"/>
    <w:rsid w:val="00B96BE9"/>
    <w:rsid w:val="00BB586B"/>
    <w:rsid w:val="00BC0C99"/>
    <w:rsid w:val="00BC4C43"/>
    <w:rsid w:val="00BC5130"/>
    <w:rsid w:val="00BD5B66"/>
    <w:rsid w:val="00BE1F83"/>
    <w:rsid w:val="00BE797E"/>
    <w:rsid w:val="00BE7FD6"/>
    <w:rsid w:val="00C01F9E"/>
    <w:rsid w:val="00C04DAA"/>
    <w:rsid w:val="00C103C1"/>
    <w:rsid w:val="00C22324"/>
    <w:rsid w:val="00C22D01"/>
    <w:rsid w:val="00C23971"/>
    <w:rsid w:val="00C37C55"/>
    <w:rsid w:val="00C43A86"/>
    <w:rsid w:val="00C46F3F"/>
    <w:rsid w:val="00C53E01"/>
    <w:rsid w:val="00C55336"/>
    <w:rsid w:val="00C5605A"/>
    <w:rsid w:val="00C5697B"/>
    <w:rsid w:val="00C80B7E"/>
    <w:rsid w:val="00C8654B"/>
    <w:rsid w:val="00C91894"/>
    <w:rsid w:val="00C9354D"/>
    <w:rsid w:val="00CA0BDD"/>
    <w:rsid w:val="00CA1F6D"/>
    <w:rsid w:val="00CA4292"/>
    <w:rsid w:val="00CB053B"/>
    <w:rsid w:val="00CB1970"/>
    <w:rsid w:val="00CB352F"/>
    <w:rsid w:val="00CB3802"/>
    <w:rsid w:val="00CB7FE7"/>
    <w:rsid w:val="00CC3E56"/>
    <w:rsid w:val="00CC7E9D"/>
    <w:rsid w:val="00CD51E5"/>
    <w:rsid w:val="00CE6A46"/>
    <w:rsid w:val="00CF3204"/>
    <w:rsid w:val="00D026D6"/>
    <w:rsid w:val="00D100C4"/>
    <w:rsid w:val="00D26B22"/>
    <w:rsid w:val="00D3431C"/>
    <w:rsid w:val="00D35685"/>
    <w:rsid w:val="00D54BCD"/>
    <w:rsid w:val="00D649F2"/>
    <w:rsid w:val="00D82D5A"/>
    <w:rsid w:val="00D85DA5"/>
    <w:rsid w:val="00D90DAF"/>
    <w:rsid w:val="00DB3605"/>
    <w:rsid w:val="00DC0019"/>
    <w:rsid w:val="00DD2777"/>
    <w:rsid w:val="00DE6FAC"/>
    <w:rsid w:val="00DF0354"/>
    <w:rsid w:val="00DF1449"/>
    <w:rsid w:val="00E01A96"/>
    <w:rsid w:val="00E052FB"/>
    <w:rsid w:val="00E06585"/>
    <w:rsid w:val="00E11A27"/>
    <w:rsid w:val="00E1436F"/>
    <w:rsid w:val="00E25D16"/>
    <w:rsid w:val="00E354FA"/>
    <w:rsid w:val="00E361BC"/>
    <w:rsid w:val="00E36B6E"/>
    <w:rsid w:val="00E42145"/>
    <w:rsid w:val="00E4789E"/>
    <w:rsid w:val="00E47C2B"/>
    <w:rsid w:val="00E5133E"/>
    <w:rsid w:val="00E6250B"/>
    <w:rsid w:val="00E91CDD"/>
    <w:rsid w:val="00E93C3A"/>
    <w:rsid w:val="00EA47C3"/>
    <w:rsid w:val="00EA5F1B"/>
    <w:rsid w:val="00EA69D0"/>
    <w:rsid w:val="00EB6DC1"/>
    <w:rsid w:val="00EC2CA0"/>
    <w:rsid w:val="00ED48B1"/>
    <w:rsid w:val="00ED5C45"/>
    <w:rsid w:val="00ED6B94"/>
    <w:rsid w:val="00EE221B"/>
    <w:rsid w:val="00EE2F51"/>
    <w:rsid w:val="00EE443B"/>
    <w:rsid w:val="00EE5863"/>
    <w:rsid w:val="00EE5DAF"/>
    <w:rsid w:val="00EE66DA"/>
    <w:rsid w:val="00EF0FF2"/>
    <w:rsid w:val="00F10D98"/>
    <w:rsid w:val="00F1466D"/>
    <w:rsid w:val="00F15D23"/>
    <w:rsid w:val="00F16E1B"/>
    <w:rsid w:val="00F448DC"/>
    <w:rsid w:val="00F455D2"/>
    <w:rsid w:val="00F46AAC"/>
    <w:rsid w:val="00F51243"/>
    <w:rsid w:val="00F528DB"/>
    <w:rsid w:val="00F52CDE"/>
    <w:rsid w:val="00F53CDF"/>
    <w:rsid w:val="00F61A1E"/>
    <w:rsid w:val="00F658C8"/>
    <w:rsid w:val="00F752A3"/>
    <w:rsid w:val="00F85AF9"/>
    <w:rsid w:val="00F86786"/>
    <w:rsid w:val="00F9171D"/>
    <w:rsid w:val="00F91A7C"/>
    <w:rsid w:val="00F94773"/>
    <w:rsid w:val="00F94DE9"/>
    <w:rsid w:val="00FC717B"/>
    <w:rsid w:val="00FD1CAE"/>
    <w:rsid w:val="00FD2CAA"/>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2EE30"/>
  <w15:chartTrackingRefBased/>
  <w15:docId w15:val="{42C087C7-AC53-4621-8FCF-D267163E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basedOn w:val="DefaultParagraphFont"/>
    <w:rsid w:val="00470AFF"/>
    <w:rPr>
      <w:sz w:val="16"/>
      <w:szCs w:val="16"/>
    </w:rPr>
  </w:style>
  <w:style w:type="paragraph" w:styleId="CommentText">
    <w:name w:val="annotation text"/>
    <w:basedOn w:val="Normal"/>
    <w:link w:val="CommentTextChar"/>
    <w:rsid w:val="00470AFF"/>
    <w:pPr>
      <w:spacing w:line="240" w:lineRule="auto"/>
    </w:pPr>
    <w:rPr>
      <w:sz w:val="20"/>
      <w:szCs w:val="20"/>
    </w:rPr>
  </w:style>
  <w:style w:type="character" w:customStyle="1" w:styleId="CommentTextChar">
    <w:name w:val="Comment Text Char"/>
    <w:basedOn w:val="DefaultParagraphFont"/>
    <w:link w:val="CommentText"/>
    <w:rsid w:val="00470AFF"/>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470AFF"/>
    <w:rPr>
      <w:b/>
      <w:bCs/>
    </w:rPr>
  </w:style>
  <w:style w:type="character" w:customStyle="1" w:styleId="CommentSubjectChar">
    <w:name w:val="Comment Subject Char"/>
    <w:basedOn w:val="CommentTextChar"/>
    <w:link w:val="CommentSubject"/>
    <w:rsid w:val="00470AFF"/>
    <w:rPr>
      <w:rFonts w:ascii="Amnesty Trade Gothic" w:hAnsi="Amnesty Trade Gothic"/>
      <w:b/>
      <w:bCs/>
      <w:color w:val="000000"/>
      <w:lang w:eastAsia="ar-SA"/>
    </w:rPr>
  </w:style>
  <w:style w:type="paragraph" w:styleId="BalloonText">
    <w:name w:val="Balloon Text"/>
    <w:basedOn w:val="Normal"/>
    <w:link w:val="BalloonTextChar"/>
    <w:rsid w:val="00470AF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470AFF"/>
    <w:rPr>
      <w:rFonts w:ascii="Segoe UI" w:hAnsi="Segoe UI" w:cs="Segoe UI"/>
      <w:color w:val="000000"/>
      <w:sz w:val="18"/>
      <w:szCs w:val="18"/>
      <w:lang w:eastAsia="ar-SA"/>
    </w:rPr>
  </w:style>
  <w:style w:type="character" w:customStyle="1" w:styleId="UnresolvedMention1">
    <w:name w:val="Unresolved Mention1"/>
    <w:basedOn w:val="DefaultParagraphFont"/>
    <w:uiPriority w:val="99"/>
    <w:semiHidden/>
    <w:unhideWhenUsed/>
    <w:rsid w:val="008C39C0"/>
    <w:rPr>
      <w:color w:val="808080"/>
      <w:shd w:val="clear" w:color="auto" w:fill="E6E6E6"/>
    </w:rPr>
  </w:style>
  <w:style w:type="paragraph" w:styleId="NormalWeb">
    <w:name w:val="Normal (Web)"/>
    <w:basedOn w:val="Normal"/>
    <w:uiPriority w:val="99"/>
    <w:unhideWhenUsed/>
    <w:rsid w:val="005609A9"/>
    <w:pPr>
      <w:widowControl/>
      <w:suppressAutoHyphens w:val="0"/>
      <w:spacing w:before="100" w:beforeAutospacing="1" w:after="100" w:afterAutospacing="1" w:line="240" w:lineRule="auto"/>
    </w:pPr>
    <w:rPr>
      <w:rFonts w:ascii="Times New Roman" w:hAnsi="Times New Roman"/>
      <w:color w:val="auto"/>
      <w:sz w:val="24"/>
      <w:lang w:eastAsia="en-GB"/>
    </w:rPr>
  </w:style>
  <w:style w:type="character" w:styleId="FollowedHyperlink">
    <w:name w:val="FollowedHyperlink"/>
    <w:basedOn w:val="DefaultParagraphFont"/>
    <w:rsid w:val="00F52CDE"/>
    <w:rPr>
      <w:color w:val="954F72" w:themeColor="followedHyperlink"/>
      <w:u w:val="single"/>
    </w:rPr>
  </w:style>
  <w:style w:type="paragraph" w:styleId="ListParagraph">
    <w:name w:val="List Paragraph"/>
    <w:basedOn w:val="Normal"/>
    <w:uiPriority w:val="34"/>
    <w:qFormat/>
    <w:rsid w:val="00741551"/>
    <w:pPr>
      <w:ind w:left="720"/>
      <w:contextualSpacing/>
    </w:pPr>
  </w:style>
  <w:style w:type="paragraph" w:styleId="Revision">
    <w:name w:val="Revision"/>
    <w:hidden/>
    <w:uiPriority w:val="99"/>
    <w:semiHidden/>
    <w:rsid w:val="002A62C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F53C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750940">
      <w:bodyDiv w:val="1"/>
      <w:marLeft w:val="0"/>
      <w:marRight w:val="0"/>
      <w:marTop w:val="0"/>
      <w:marBottom w:val="0"/>
      <w:divBdr>
        <w:top w:val="none" w:sz="0" w:space="0" w:color="auto"/>
        <w:left w:val="none" w:sz="0" w:space="0" w:color="auto"/>
        <w:bottom w:val="none" w:sz="0" w:space="0" w:color="auto"/>
        <w:right w:val="none" w:sz="0" w:space="0" w:color="auto"/>
      </w:divBdr>
    </w:div>
    <w:div w:id="285622395">
      <w:bodyDiv w:val="1"/>
      <w:marLeft w:val="0"/>
      <w:marRight w:val="0"/>
      <w:marTop w:val="0"/>
      <w:marBottom w:val="0"/>
      <w:divBdr>
        <w:top w:val="none" w:sz="0" w:space="0" w:color="auto"/>
        <w:left w:val="none" w:sz="0" w:space="0" w:color="auto"/>
        <w:bottom w:val="none" w:sz="0" w:space="0" w:color="auto"/>
        <w:right w:val="none" w:sz="0" w:space="0" w:color="auto"/>
      </w:divBdr>
    </w:div>
    <w:div w:id="11664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ighbourhood-enlargement/sites/near/files/20180417-turkey-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mbly.coe.int/nw/xml/XRef/Xref-XML2HTML-en.asp?fileid=24680&amp;lang=en" TargetMode="External"/><Relationship Id="rId5" Type="http://schemas.openxmlformats.org/officeDocument/2006/relationships/webSettings" Target="webSettings.xml"/><Relationship Id="rId10" Type="http://schemas.openxmlformats.org/officeDocument/2006/relationships/hyperlink" Target="https://ec.europa.eu/neighbourhood-enlargement/sites/near/files/20180417-turkey-report.pdf" TargetMode="External"/><Relationship Id="rId4" Type="http://schemas.openxmlformats.org/officeDocument/2006/relationships/settings" Target="settings.xml"/><Relationship Id="rId9" Type="http://schemas.openxmlformats.org/officeDocument/2006/relationships/hyperlink" Target="https://www.ohchr.org/Documents/Countries/TR/2018-03-19_Second_OHCHR_Turkey_Repor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B294-58D0-4A35-BB7F-6FAB863D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Milena Buyum</dc:creator>
  <cp:keywords/>
  <dc:description/>
  <cp:lastModifiedBy>Stefan Simanowitz</cp:lastModifiedBy>
  <cp:revision>2</cp:revision>
  <cp:lastPrinted>2018-07-16T10:15:00Z</cp:lastPrinted>
  <dcterms:created xsi:type="dcterms:W3CDTF">2018-07-18T10:51:00Z</dcterms:created>
  <dcterms:modified xsi:type="dcterms:W3CDTF">2018-07-18T10:51:00Z</dcterms:modified>
</cp:coreProperties>
</file>