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E118C6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4C2944" w:rsidRDefault="007E53A6" w:rsidP="00E118C6">
      <w:pPr>
        <w:rPr>
          <w:rStyle w:val="AIHeadline"/>
          <w:rFonts w:cs="Arial"/>
          <w:snapToGrid w:val="0"/>
          <w:sz w:val="36"/>
          <w:szCs w:val="36"/>
        </w:rPr>
      </w:pPr>
      <w:r w:rsidRPr="004C2944">
        <w:rPr>
          <w:rStyle w:val="AIHeadline"/>
          <w:rFonts w:cs="Arial"/>
          <w:snapToGrid w:val="0"/>
          <w:sz w:val="36"/>
          <w:szCs w:val="36"/>
        </w:rPr>
        <w:t>ISRAELI GOVERNMENT STOPS FORCED DEPORTATIONS</w:t>
      </w:r>
    </w:p>
    <w:p w:rsidR="003900D6" w:rsidRPr="00F95961" w:rsidRDefault="003900D6" w:rsidP="00E118C6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 xml:space="preserve">The Israeli government </w:t>
      </w:r>
      <w:r w:rsidR="007E53A6">
        <w:rPr>
          <w:rFonts w:cs="Arial"/>
        </w:rPr>
        <w:t xml:space="preserve">has </w:t>
      </w:r>
      <w:r>
        <w:rPr>
          <w:rFonts w:cs="Arial"/>
        </w:rPr>
        <w:t>declared that it will not pursue forcible deportations of Eritrean and Sudanese asylum-seekers to third countries under the Israeli ‘</w:t>
      </w:r>
      <w:r>
        <w:rPr>
          <w:rFonts w:cs="Arial"/>
          <w:i/>
          <w:iCs/>
        </w:rPr>
        <w:t>Procedure for Deportation to Third Countries’</w:t>
      </w:r>
      <w:r>
        <w:rPr>
          <w:rFonts w:cs="Arial"/>
        </w:rPr>
        <w:t xml:space="preserve">. This follows the release of 280 asylum-seekers who had been detained </w:t>
      </w:r>
      <w:r w:rsidR="004C2944">
        <w:rPr>
          <w:rFonts w:cs="Arial"/>
        </w:rPr>
        <w:t xml:space="preserve">as a result of </w:t>
      </w:r>
      <w:r>
        <w:rPr>
          <w:rFonts w:cs="Arial"/>
        </w:rPr>
        <w:t xml:space="preserve">the policy, after an order by the High Court of Justice. </w:t>
      </w:r>
    </w:p>
    <w:p w:rsidR="004C2944" w:rsidRDefault="007E53A6" w:rsidP="00E118C6">
      <w:pPr>
        <w:pStyle w:val="Normal1"/>
        <w:tabs>
          <w:tab w:val="left" w:pos="567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Israeli authorities have now declared that they will not forcibly deport </w:t>
      </w:r>
      <w:r w:rsidRPr="004C2944">
        <w:rPr>
          <w:rFonts w:ascii="Arial" w:hAnsi="Arial" w:cs="Arial"/>
          <w:b/>
          <w:sz w:val="20"/>
          <w:szCs w:val="20"/>
        </w:rPr>
        <w:t>Eritrean and Sudanese asylum-seekers</w:t>
      </w:r>
      <w:r>
        <w:rPr>
          <w:rFonts w:ascii="Arial" w:hAnsi="Arial" w:cs="Arial"/>
          <w:sz w:val="20"/>
          <w:szCs w:val="20"/>
        </w:rPr>
        <w:t xml:space="preserve"> from Israel to an African “third country”. They will no longer be issuing deportation notices and conducting deportation hearings.</w:t>
      </w:r>
      <w:r w:rsidR="004C2944">
        <w:rPr>
          <w:rFonts w:ascii="Arial" w:hAnsi="Arial" w:cs="Arial"/>
          <w:sz w:val="20"/>
          <w:szCs w:val="20"/>
        </w:rPr>
        <w:t xml:space="preserve"> </w:t>
      </w:r>
      <w:r w:rsidR="00865032">
        <w:rPr>
          <w:rFonts w:ascii="Arial" w:hAnsi="Arial" w:cs="Arial"/>
          <w:sz w:val="20"/>
          <w:szCs w:val="20"/>
        </w:rPr>
        <w:t xml:space="preserve">However, the </w:t>
      </w:r>
      <w:r w:rsidR="00BB4164">
        <w:rPr>
          <w:rFonts w:ascii="Arial" w:hAnsi="Arial" w:cs="Arial"/>
          <w:sz w:val="20"/>
          <w:szCs w:val="20"/>
        </w:rPr>
        <w:t>government</w:t>
      </w:r>
      <w:r w:rsidR="00865032">
        <w:rPr>
          <w:rFonts w:ascii="Arial" w:hAnsi="Arial" w:cs="Arial"/>
          <w:sz w:val="20"/>
          <w:szCs w:val="20"/>
        </w:rPr>
        <w:t xml:space="preserve"> has declared that Eritrean and Sudanese asylum-seekers, considered by Israel to be </w:t>
      </w:r>
      <w:r w:rsidR="00BB4164">
        <w:rPr>
          <w:rFonts w:ascii="Arial" w:hAnsi="Arial" w:cs="Arial"/>
          <w:sz w:val="20"/>
          <w:szCs w:val="20"/>
        </w:rPr>
        <w:t>“</w:t>
      </w:r>
      <w:r w:rsidR="00865032">
        <w:rPr>
          <w:rFonts w:ascii="Arial" w:hAnsi="Arial" w:cs="Arial"/>
          <w:sz w:val="20"/>
          <w:szCs w:val="20"/>
        </w:rPr>
        <w:t>infiltrators</w:t>
      </w:r>
      <w:r w:rsidR="00BB4164">
        <w:rPr>
          <w:rFonts w:ascii="Arial" w:hAnsi="Arial" w:cs="Arial"/>
          <w:sz w:val="20"/>
          <w:szCs w:val="20"/>
        </w:rPr>
        <w:t>”</w:t>
      </w:r>
      <w:r w:rsidR="00865032">
        <w:rPr>
          <w:rFonts w:ascii="Arial" w:hAnsi="Arial" w:cs="Arial"/>
          <w:sz w:val="20"/>
          <w:szCs w:val="20"/>
        </w:rPr>
        <w:t xml:space="preserve">, will still be encouraged to </w:t>
      </w:r>
      <w:r w:rsidR="00BB4164">
        <w:rPr>
          <w:rFonts w:ascii="Arial" w:hAnsi="Arial" w:cs="Arial"/>
          <w:sz w:val="20"/>
          <w:szCs w:val="20"/>
        </w:rPr>
        <w:t>“</w:t>
      </w:r>
      <w:r w:rsidR="00865032">
        <w:rPr>
          <w:rFonts w:ascii="Arial" w:hAnsi="Arial" w:cs="Arial"/>
          <w:sz w:val="20"/>
          <w:szCs w:val="20"/>
        </w:rPr>
        <w:t>voluntar</w:t>
      </w:r>
      <w:r w:rsidR="00B13AD7">
        <w:rPr>
          <w:rFonts w:ascii="Arial" w:hAnsi="Arial" w:cs="Arial"/>
          <w:sz w:val="20"/>
          <w:szCs w:val="20"/>
        </w:rPr>
        <w:t>il</w:t>
      </w:r>
      <w:r w:rsidR="00865032">
        <w:rPr>
          <w:rFonts w:ascii="Arial" w:hAnsi="Arial" w:cs="Arial"/>
          <w:sz w:val="20"/>
          <w:szCs w:val="20"/>
        </w:rPr>
        <w:t>y</w:t>
      </w:r>
      <w:r w:rsidR="00BB4164">
        <w:rPr>
          <w:rFonts w:ascii="Arial" w:hAnsi="Arial" w:cs="Arial"/>
          <w:sz w:val="20"/>
          <w:szCs w:val="20"/>
        </w:rPr>
        <w:t>”</w:t>
      </w:r>
      <w:r w:rsidR="00865032">
        <w:rPr>
          <w:rFonts w:ascii="Arial" w:hAnsi="Arial" w:cs="Arial"/>
          <w:sz w:val="20"/>
          <w:szCs w:val="20"/>
        </w:rPr>
        <w:t xml:space="preserve"> leave Israel.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BB4164" w:rsidRDefault="00865032" w:rsidP="00E118C6">
      <w:pPr>
        <w:pStyle w:val="Normal1"/>
        <w:tabs>
          <w:tab w:val="left" w:pos="567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7E53A6">
        <w:rPr>
          <w:rFonts w:ascii="Arial" w:hAnsi="Arial" w:cs="Arial"/>
          <w:sz w:val="20"/>
          <w:szCs w:val="20"/>
        </w:rPr>
        <w:t xml:space="preserve">he Israeli authorities should ensure that Eritrean and Sudanese asylum-seekers are provided with documentation allowing them to live and work regularly in Israel and protecting them from unlawful detention </w:t>
      </w:r>
      <w:r w:rsidR="00BB4164">
        <w:rPr>
          <w:rFonts w:ascii="Arial" w:hAnsi="Arial" w:cs="Arial"/>
          <w:sz w:val="20"/>
          <w:szCs w:val="20"/>
        </w:rPr>
        <w:t>and deportation</w:t>
      </w:r>
      <w:r w:rsidR="007E53A6">
        <w:rPr>
          <w:rFonts w:ascii="Arial" w:hAnsi="Arial" w:cs="Arial"/>
          <w:sz w:val="20"/>
          <w:szCs w:val="20"/>
        </w:rPr>
        <w:t>. The authorities should under no circumstance pressure African asylum-seekers to “voluntar</w:t>
      </w:r>
      <w:r w:rsidR="00B13AD7">
        <w:rPr>
          <w:rFonts w:ascii="Arial" w:hAnsi="Arial" w:cs="Arial"/>
          <w:sz w:val="20"/>
          <w:szCs w:val="20"/>
        </w:rPr>
        <w:t>il</w:t>
      </w:r>
      <w:r w:rsidR="007E53A6">
        <w:rPr>
          <w:rFonts w:ascii="Arial" w:hAnsi="Arial" w:cs="Arial"/>
          <w:sz w:val="20"/>
          <w:szCs w:val="20"/>
        </w:rPr>
        <w:t xml:space="preserve">y” leave Israel </w:t>
      </w:r>
      <w:r w:rsidR="00B22E54">
        <w:rPr>
          <w:rFonts w:ascii="Arial" w:hAnsi="Arial" w:cs="Arial"/>
          <w:sz w:val="20"/>
          <w:szCs w:val="20"/>
        </w:rPr>
        <w:t xml:space="preserve">when the time comes to renew their visas, </w:t>
      </w:r>
      <w:r w:rsidR="007E53A6">
        <w:rPr>
          <w:rFonts w:ascii="Arial" w:hAnsi="Arial" w:cs="Arial"/>
          <w:sz w:val="20"/>
          <w:szCs w:val="20"/>
        </w:rPr>
        <w:t xml:space="preserve">in accordance with </w:t>
      </w:r>
      <w:r w:rsidR="001F5D3F">
        <w:rPr>
          <w:rFonts w:ascii="Arial" w:hAnsi="Arial" w:cs="Arial"/>
          <w:sz w:val="20"/>
          <w:szCs w:val="20"/>
        </w:rPr>
        <w:t>their</w:t>
      </w:r>
      <w:r w:rsidR="007E53A6">
        <w:rPr>
          <w:rFonts w:ascii="Arial" w:hAnsi="Arial" w:cs="Arial"/>
          <w:sz w:val="20"/>
          <w:szCs w:val="20"/>
        </w:rPr>
        <w:t xml:space="preserve"> international obligations not to transfer anyone to a country where they would be at risk of serious human rights violations</w:t>
      </w:r>
      <w:r w:rsidR="00BB4164">
        <w:rPr>
          <w:rFonts w:ascii="Arial" w:hAnsi="Arial" w:cs="Arial"/>
          <w:sz w:val="20"/>
          <w:szCs w:val="20"/>
        </w:rPr>
        <w:t>, or where they would not be protected against such transfer</w:t>
      </w:r>
      <w:r w:rsidR="007E53A6">
        <w:rPr>
          <w:rFonts w:ascii="Arial" w:hAnsi="Arial" w:cs="Arial"/>
          <w:sz w:val="20"/>
          <w:szCs w:val="20"/>
        </w:rPr>
        <w:t xml:space="preserve">.  </w:t>
      </w:r>
    </w:p>
    <w:p w:rsidR="003900D6" w:rsidRDefault="003900D6" w:rsidP="00E118C6">
      <w:pPr>
        <w:pStyle w:val="Normal1"/>
        <w:tabs>
          <w:tab w:val="left" w:pos="567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From 4 February</w:t>
      </w:r>
      <w:r w:rsidR="00BB4164">
        <w:rPr>
          <w:rFonts w:ascii="Arial" w:hAnsi="Arial" w:cs="Arial"/>
          <w:sz w:val="20"/>
          <w:szCs w:val="20"/>
        </w:rPr>
        <w:t xml:space="preserve"> 2018</w:t>
      </w:r>
      <w:r>
        <w:rPr>
          <w:rFonts w:ascii="Arial" w:hAnsi="Arial" w:cs="Arial"/>
          <w:sz w:val="20"/>
          <w:szCs w:val="20"/>
        </w:rPr>
        <w:t xml:space="preserve">, 280 </w:t>
      </w:r>
      <w:r w:rsidRPr="007E53A6">
        <w:rPr>
          <w:rFonts w:ascii="Arial" w:hAnsi="Arial" w:cs="Arial"/>
          <w:sz w:val="20"/>
          <w:szCs w:val="20"/>
        </w:rPr>
        <w:t>Eritrean and Sudanese asylum-seekers</w:t>
      </w:r>
      <w:r>
        <w:rPr>
          <w:rFonts w:ascii="Arial" w:hAnsi="Arial" w:cs="Arial"/>
          <w:sz w:val="20"/>
          <w:szCs w:val="20"/>
        </w:rPr>
        <w:t xml:space="preserve"> who were already held in Holot detention centre</w:t>
      </w:r>
      <w:r w:rsidR="001F5D3F">
        <w:rPr>
          <w:rFonts w:ascii="Arial" w:hAnsi="Arial" w:cs="Arial"/>
          <w:sz w:val="20"/>
          <w:szCs w:val="20"/>
        </w:rPr>
        <w:t>, located in the Negev/Naqab desert,</w:t>
      </w:r>
      <w:r>
        <w:rPr>
          <w:rFonts w:ascii="Arial" w:hAnsi="Arial" w:cs="Arial"/>
          <w:sz w:val="20"/>
          <w:szCs w:val="20"/>
        </w:rPr>
        <w:t xml:space="preserve"> were issued deportation notices under Israel’s new </w:t>
      </w:r>
      <w:r w:rsidR="007E53A6">
        <w:rPr>
          <w:rFonts w:ascii="Arial" w:hAnsi="Arial" w:cs="Arial"/>
          <w:sz w:val="20"/>
          <w:szCs w:val="20"/>
        </w:rPr>
        <w:t>‘</w:t>
      </w:r>
      <w:r>
        <w:rPr>
          <w:rFonts w:ascii="Arial" w:hAnsi="Arial" w:cs="Arial"/>
          <w:i/>
          <w:iCs/>
          <w:sz w:val="20"/>
          <w:szCs w:val="20"/>
        </w:rPr>
        <w:t>Procedure for Deportation to Third Countries</w:t>
      </w:r>
      <w:r w:rsidR="007E53A6">
        <w:rPr>
          <w:rFonts w:ascii="Arial" w:hAnsi="Arial" w:cs="Arial"/>
          <w:i/>
          <w:iCs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 xml:space="preserve">. Having refused to leave Israel, they were then detained in the Saharonim </w:t>
      </w:r>
      <w:r w:rsidR="00BB4164">
        <w:rPr>
          <w:rFonts w:ascii="Arial" w:hAnsi="Arial" w:cs="Arial"/>
          <w:sz w:val="20"/>
          <w:szCs w:val="20"/>
        </w:rPr>
        <w:t>prison</w:t>
      </w:r>
      <w:r>
        <w:rPr>
          <w:rFonts w:ascii="Arial" w:hAnsi="Arial" w:cs="Arial"/>
          <w:sz w:val="20"/>
          <w:szCs w:val="20"/>
        </w:rPr>
        <w:t xml:space="preserve"> while awaiting deportation. All the 280 asylum-seekers were released </w:t>
      </w:r>
      <w:r w:rsidR="00BB4164">
        <w:rPr>
          <w:rFonts w:ascii="Arial" w:hAnsi="Arial" w:cs="Arial"/>
          <w:sz w:val="20"/>
          <w:szCs w:val="20"/>
        </w:rPr>
        <w:t xml:space="preserve">between 2 and </w:t>
      </w:r>
      <w:r>
        <w:rPr>
          <w:rFonts w:ascii="Arial" w:hAnsi="Arial" w:cs="Arial"/>
          <w:sz w:val="20"/>
          <w:szCs w:val="20"/>
        </w:rPr>
        <w:t>15 April</w:t>
      </w:r>
      <w:r w:rsidR="00E027CE">
        <w:rPr>
          <w:rFonts w:ascii="Arial" w:hAnsi="Arial" w:cs="Arial"/>
          <w:sz w:val="20"/>
          <w:szCs w:val="20"/>
        </w:rPr>
        <w:t xml:space="preserve"> 2018</w:t>
      </w:r>
      <w:r>
        <w:rPr>
          <w:rFonts w:ascii="Arial" w:hAnsi="Arial" w:cs="Arial"/>
          <w:sz w:val="20"/>
          <w:szCs w:val="20"/>
        </w:rPr>
        <w:t>, as ordered by the</w:t>
      </w:r>
      <w:r w:rsidR="00B22E54">
        <w:rPr>
          <w:rFonts w:ascii="Arial" w:hAnsi="Arial" w:cs="Arial"/>
          <w:sz w:val="20"/>
          <w:szCs w:val="20"/>
        </w:rPr>
        <w:t xml:space="preserve"> </w:t>
      </w:r>
      <w:r w:rsidR="00BB4164">
        <w:rPr>
          <w:rFonts w:ascii="Arial" w:hAnsi="Arial" w:cs="Arial"/>
          <w:sz w:val="20"/>
          <w:szCs w:val="20"/>
        </w:rPr>
        <w:t>High Court of Justice</w:t>
      </w:r>
      <w:r>
        <w:rPr>
          <w:rFonts w:ascii="Arial" w:hAnsi="Arial" w:cs="Arial"/>
          <w:sz w:val="20"/>
          <w:szCs w:val="20"/>
        </w:rPr>
        <w:t xml:space="preserve">, in the context of a case on the legality of Israel’s deportations to unspecified </w:t>
      </w:r>
      <w:r w:rsidR="001F5D3F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third countries</w:t>
      </w:r>
      <w:r w:rsidR="001F5D3F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in Africa</w:t>
      </w:r>
      <w:r w:rsidR="001F5D3F">
        <w:rPr>
          <w:rFonts w:ascii="Arial" w:hAnsi="Arial" w:cs="Arial"/>
          <w:sz w:val="20"/>
          <w:szCs w:val="20"/>
        </w:rPr>
        <w:t>, widely believed to be Uganda and Rwanda</w:t>
      </w:r>
      <w:r>
        <w:rPr>
          <w:rFonts w:ascii="Arial" w:hAnsi="Arial" w:cs="Arial"/>
          <w:sz w:val="20"/>
          <w:szCs w:val="20"/>
        </w:rPr>
        <w:t xml:space="preserve">. The High Court ordered the government to stop </w:t>
      </w:r>
      <w:r w:rsidR="001F5D3F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deportations </w:t>
      </w:r>
      <w:r w:rsidR="001F5D3F">
        <w:rPr>
          <w:rFonts w:ascii="Arial" w:hAnsi="Arial" w:cs="Arial"/>
          <w:sz w:val="20"/>
          <w:szCs w:val="20"/>
        </w:rPr>
        <w:t>after it failed to</w:t>
      </w:r>
      <w:r>
        <w:rPr>
          <w:rFonts w:ascii="Arial" w:hAnsi="Arial" w:cs="Arial"/>
          <w:sz w:val="20"/>
          <w:szCs w:val="20"/>
        </w:rPr>
        <w:t xml:space="preserve"> provide additional information on the</w:t>
      </w:r>
      <w:r w:rsidR="00E027CE">
        <w:rPr>
          <w:rFonts w:ascii="Arial" w:hAnsi="Arial" w:cs="Arial"/>
          <w:sz w:val="20"/>
          <w:szCs w:val="20"/>
        </w:rPr>
        <w:t xml:space="preserve"> deportation</w:t>
      </w:r>
      <w:r>
        <w:rPr>
          <w:rFonts w:ascii="Arial" w:hAnsi="Arial" w:cs="Arial"/>
          <w:sz w:val="20"/>
          <w:szCs w:val="20"/>
        </w:rPr>
        <w:t xml:space="preserve"> agreements. However, the 280 asylum</w:t>
      </w:r>
      <w:r w:rsidR="001F5D3F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seekers were only granted one-month visas, which forbid them from working and living in the seven largest cities in Israel. </w:t>
      </w:r>
    </w:p>
    <w:p w:rsidR="003900D6" w:rsidRDefault="003900D6" w:rsidP="00E118C6">
      <w:pPr>
        <w:pStyle w:val="Normal1"/>
        <w:tabs>
          <w:tab w:val="left" w:pos="567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Those released included </w:t>
      </w:r>
      <w:r>
        <w:rPr>
          <w:rFonts w:ascii="Arial" w:hAnsi="Arial" w:cs="Arial"/>
          <w:b/>
          <w:sz w:val="20"/>
          <w:szCs w:val="20"/>
        </w:rPr>
        <w:t xml:space="preserve">“Tesfai” </w:t>
      </w: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not his real name), a 29-year-old Eritrean asylum-seeker who had his asylum claim rejected without explanation. He was arrested in November 2017 for not having a valid visa. After 100 days in detention, he was told to leave Israel to go to Rwanda. When he refused, </w:t>
      </w:r>
      <w:r>
        <w:rPr>
          <w:rFonts w:ascii="Arial" w:hAnsi="Arial" w:cs="Arial"/>
          <w:sz w:val="20"/>
          <w:szCs w:val="20"/>
          <w:highlight w:val="white"/>
        </w:rPr>
        <w:t>he was detained under the new policy introduced</w:t>
      </w:r>
      <w:r>
        <w:rPr>
          <w:rFonts w:ascii="Arial" w:hAnsi="Arial" w:cs="Arial"/>
          <w:sz w:val="20"/>
          <w:szCs w:val="20"/>
        </w:rPr>
        <w:t xml:space="preserve"> by the Israeli Population, Immigration and Border Authority (PIBA)</w:t>
      </w:r>
      <w:r>
        <w:rPr>
          <w:rFonts w:ascii="Arial" w:hAnsi="Arial" w:cs="Arial"/>
          <w:sz w:val="20"/>
          <w:szCs w:val="20"/>
          <w:highlight w:val="white"/>
        </w:rPr>
        <w:t xml:space="preserve"> for not cooperating with his removal. </w:t>
      </w:r>
    </w:p>
    <w:p w:rsidR="00597217" w:rsidRPr="00597217" w:rsidRDefault="00597217" w:rsidP="00E118C6">
      <w:pPr>
        <w:pStyle w:val="AIBodytext"/>
        <w:tabs>
          <w:tab w:val="clear" w:pos="567"/>
        </w:tabs>
        <w:spacing w:line="240" w:lineRule="auto"/>
        <w:rPr>
          <w:b/>
          <w:bCs/>
        </w:rPr>
      </w:pPr>
      <w:r w:rsidRPr="00597217">
        <w:rPr>
          <w:b/>
          <w:bCs/>
        </w:rPr>
        <w:t>Thank you to all those who sent appeals. No further action is requested from the UA network.</w:t>
      </w:r>
    </w:p>
    <w:p w:rsidR="0026766F" w:rsidRPr="00F95961" w:rsidRDefault="0026766F" w:rsidP="00E118C6">
      <w:pPr>
        <w:pStyle w:val="AITextSmallNoLineSpacing"/>
        <w:spacing w:line="240" w:lineRule="auto"/>
        <w:rPr>
          <w:rFonts w:cs="Arial"/>
        </w:rPr>
      </w:pPr>
      <w:r w:rsidRPr="00F95961">
        <w:rPr>
          <w:rFonts w:cs="Arial"/>
        </w:rPr>
        <w:t xml:space="preserve">This is the </w:t>
      </w:r>
      <w:r w:rsidR="007E53A6">
        <w:rPr>
          <w:rFonts w:cs="Arial"/>
        </w:rPr>
        <w:t>first</w:t>
      </w:r>
      <w:r w:rsidRPr="00F95961">
        <w:rPr>
          <w:rFonts w:cs="Arial"/>
        </w:rPr>
        <w:t xml:space="preserve"> update of UA </w:t>
      </w:r>
      <w:r w:rsidR="007E53A6">
        <w:rPr>
          <w:rFonts w:cs="Arial"/>
        </w:rPr>
        <w:t>64/18</w:t>
      </w:r>
      <w:r w:rsidRPr="00F95961">
        <w:rPr>
          <w:rFonts w:cs="Arial"/>
        </w:rPr>
        <w:t xml:space="preserve">. Further information: </w:t>
      </w:r>
      <w:r w:rsidR="007E53A6" w:rsidRPr="00D6408D">
        <w:rPr>
          <w:rFonts w:cs="Arial"/>
        </w:rPr>
        <w:t>https://www.amnesty.org/en/documents/mde15/8126/2018/en/</w:t>
      </w:r>
      <w:r w:rsidR="007E53A6" w:rsidRPr="00D6408D" w:rsidDel="00D6408D">
        <w:rPr>
          <w:rFonts w:cs="Arial"/>
        </w:rPr>
        <w:t xml:space="preserve"> </w:t>
      </w:r>
    </w:p>
    <w:p w:rsidR="00597217" w:rsidRDefault="00597217" w:rsidP="00E118C6">
      <w:pPr>
        <w:rPr>
          <w:rFonts w:ascii="Arial" w:hAnsi="Arial" w:cs="Arial"/>
          <w:sz w:val="16"/>
          <w:szCs w:val="16"/>
        </w:rPr>
      </w:pPr>
    </w:p>
    <w:p w:rsidR="0026766F" w:rsidRPr="00F95961" w:rsidRDefault="0026766F" w:rsidP="00E118C6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3900D6">
        <w:rPr>
          <w:rFonts w:ascii="Arial" w:hAnsi="Arial" w:cs="Arial"/>
          <w:sz w:val="16"/>
          <w:szCs w:val="16"/>
        </w:rPr>
        <w:t xml:space="preserve"> </w:t>
      </w:r>
      <w:r w:rsidR="003900D6">
        <w:rPr>
          <w:rFonts w:ascii="Arial" w:eastAsia="Times New Roman" w:hAnsi="Arial" w:cs="Arial"/>
          <w:sz w:val="16"/>
          <w:szCs w:val="16"/>
        </w:rPr>
        <w:t>Thousands of Eritrean and Sudanese asylum seekers</w:t>
      </w:r>
    </w:p>
    <w:p w:rsidR="0026766F" w:rsidRPr="00F95961" w:rsidRDefault="0026766F" w:rsidP="00E118C6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3900D6">
        <w:rPr>
          <w:rFonts w:ascii="Arial" w:hAnsi="Arial" w:cs="Arial"/>
          <w:sz w:val="16"/>
          <w:szCs w:val="16"/>
        </w:rPr>
        <w:t xml:space="preserve"> male</w:t>
      </w:r>
    </w:p>
    <w:p w:rsidR="0026766F" w:rsidRPr="00F95961" w:rsidRDefault="0026766F" w:rsidP="00E118C6">
      <w:pPr>
        <w:rPr>
          <w:rFonts w:ascii="Arial" w:hAnsi="Arial" w:cs="Arial"/>
        </w:rPr>
      </w:pPr>
    </w:p>
    <w:p w:rsidR="0026766F" w:rsidRPr="00F95961" w:rsidRDefault="0026766F" w:rsidP="00E118C6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E118C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E118C6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7E53A6">
        <w:rPr>
          <w:rFonts w:ascii="Arial" w:hAnsi="Arial" w:cs="Arial"/>
          <w:sz w:val="16"/>
          <w:szCs w:val="16"/>
        </w:rPr>
        <w:t>64/18</w:t>
      </w:r>
      <w:r w:rsidR="007E53A6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7E53A6">
        <w:rPr>
          <w:rFonts w:ascii="Arial" w:hAnsi="Arial" w:cs="Arial"/>
          <w:sz w:val="16"/>
          <w:szCs w:val="16"/>
        </w:rPr>
        <w:t>MDE 15/8240/2018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E027CE">
        <w:rPr>
          <w:rFonts w:ascii="Arial" w:hAnsi="Arial" w:cs="Arial"/>
          <w:sz w:val="16"/>
          <w:szCs w:val="16"/>
        </w:rPr>
        <w:t>8 May</w:t>
      </w:r>
      <w:r w:rsidR="007E53A6">
        <w:rPr>
          <w:rFonts w:ascii="Arial" w:hAnsi="Arial" w:cs="Arial"/>
          <w:sz w:val="16"/>
          <w:szCs w:val="16"/>
        </w:rPr>
        <w:t xml:space="preserve"> 2018</w:t>
      </w:r>
      <w:bookmarkStart w:id="0" w:name="_GoBack"/>
      <w:bookmarkEnd w:id="0"/>
    </w:p>
    <w:sectPr w:rsidR="0026766F" w:rsidRPr="00F95961" w:rsidSect="00E118C6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860" w:rsidRDefault="00534860">
      <w:r>
        <w:separator/>
      </w:r>
    </w:p>
  </w:endnote>
  <w:endnote w:type="continuationSeparator" w:id="0">
    <w:p w:rsidR="00534860" w:rsidRDefault="0053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534860">
    <w:pPr>
      <w:pStyle w:val="Footer"/>
    </w:pPr>
    <w:r w:rsidRPr="00534860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860" w:rsidRDefault="00534860">
      <w:r>
        <w:separator/>
      </w:r>
    </w:p>
  </w:footnote>
  <w:footnote w:type="continuationSeparator" w:id="0">
    <w:p w:rsidR="00534860" w:rsidRDefault="00534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B96C0B" w:rsidRDefault="00597217" w:rsidP="00B4432F">
    <w:pPr>
      <w:tabs>
        <w:tab w:val="right" w:pos="10203"/>
      </w:tabs>
      <w:rPr>
        <w:rFonts w:ascii="Arial" w:hAnsi="Arial" w:cs="Arial"/>
        <w:color w:val="FFFFFF"/>
      </w:rPr>
    </w:pPr>
    <w:r w:rsidRPr="00B96C0B">
      <w:rPr>
        <w:rFonts w:ascii="Arial" w:hAnsi="Arial" w:cs="Arial"/>
        <w:sz w:val="16"/>
        <w:szCs w:val="16"/>
      </w:rPr>
      <w:t xml:space="preserve">Further information on </w:t>
    </w:r>
    <w:r w:rsidR="0026766F" w:rsidRPr="00B96C0B">
      <w:rPr>
        <w:rFonts w:ascii="Arial" w:hAnsi="Arial" w:cs="Arial"/>
        <w:sz w:val="16"/>
        <w:szCs w:val="16"/>
      </w:rPr>
      <w:t xml:space="preserve">UA: </w:t>
    </w:r>
    <w:r w:rsidR="007E53A6">
      <w:rPr>
        <w:rFonts w:ascii="Arial" w:hAnsi="Arial" w:cs="Arial"/>
        <w:sz w:val="16"/>
        <w:szCs w:val="16"/>
      </w:rPr>
      <w:t>64/18</w:t>
    </w:r>
    <w:r w:rsidR="007E53A6" w:rsidRPr="00B96C0B">
      <w:rPr>
        <w:rFonts w:ascii="Arial" w:hAnsi="Arial" w:cs="Arial"/>
        <w:sz w:val="16"/>
        <w:szCs w:val="16"/>
      </w:rPr>
      <w:t xml:space="preserve"> </w:t>
    </w:r>
    <w:r w:rsidR="0026766F" w:rsidRPr="00B96C0B">
      <w:rPr>
        <w:rFonts w:ascii="Arial" w:hAnsi="Arial" w:cs="Arial"/>
        <w:sz w:val="16"/>
        <w:szCs w:val="16"/>
      </w:rPr>
      <w:t xml:space="preserve">Index: </w:t>
    </w:r>
    <w:r w:rsidR="007E53A6" w:rsidRPr="00AC1357">
      <w:rPr>
        <w:rFonts w:ascii="Arial" w:hAnsi="Arial" w:cs="Arial"/>
        <w:sz w:val="16"/>
        <w:szCs w:val="16"/>
      </w:rPr>
      <w:t xml:space="preserve">MDE 15/8240/2018 </w:t>
    </w:r>
    <w:r w:rsidR="007E53A6" w:rsidRPr="00AC1357">
      <w:rPr>
        <w:rFonts w:ascii="Arial" w:eastAsia="Times New Roman" w:hAnsi="Arial" w:cs="Arial"/>
        <w:sz w:val="16"/>
        <w:szCs w:val="16"/>
      </w:rPr>
      <w:t>Israel and Palestinian Occupied Territories</w:t>
    </w:r>
    <w:r w:rsidR="007E53A6" w:rsidRPr="0095152F" w:rsidDel="00D6408D">
      <w:rPr>
        <w:rFonts w:ascii="Arial" w:hAnsi="Arial" w:cs="Arial"/>
        <w:sz w:val="16"/>
        <w:szCs w:val="16"/>
      </w:rPr>
      <w:t xml:space="preserve"> </w:t>
    </w:r>
    <w:r w:rsidR="0026766F" w:rsidRPr="00B96C0B">
      <w:rPr>
        <w:rFonts w:ascii="Arial" w:hAnsi="Arial" w:cs="Arial"/>
        <w:sz w:val="16"/>
        <w:szCs w:val="16"/>
      </w:rPr>
      <w:tab/>
      <w:t xml:space="preserve">Date: </w:t>
    </w:r>
    <w:r w:rsidR="00B66CAB">
      <w:rPr>
        <w:rFonts w:ascii="Arial" w:hAnsi="Arial" w:cs="Arial"/>
        <w:sz w:val="16"/>
        <w:szCs w:val="16"/>
      </w:rPr>
      <w:t>8</w:t>
    </w:r>
    <w:r w:rsidR="001F5D3F">
      <w:rPr>
        <w:rFonts w:ascii="Arial" w:hAnsi="Arial" w:cs="Arial"/>
        <w:sz w:val="16"/>
        <w:szCs w:val="16"/>
      </w:rPr>
      <w:t xml:space="preserve"> May</w:t>
    </w:r>
    <w:r w:rsidR="007E53A6">
      <w:rPr>
        <w:rFonts w:ascii="Arial" w:hAnsi="Arial" w:cs="Arial"/>
        <w:sz w:val="16"/>
        <w:szCs w:val="16"/>
      </w:rPr>
      <w:t xml:space="preserve">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0CC343A2"/>
    <w:multiLevelType w:val="multilevel"/>
    <w:tmpl w:val="AA38B5B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38"/>
    <w:rsid w:val="00023EE0"/>
    <w:rsid w:val="000877B5"/>
    <w:rsid w:val="000B23F7"/>
    <w:rsid w:val="000B7003"/>
    <w:rsid w:val="000F11B8"/>
    <w:rsid w:val="00114598"/>
    <w:rsid w:val="001411BF"/>
    <w:rsid w:val="001624EA"/>
    <w:rsid w:val="001671E0"/>
    <w:rsid w:val="00175738"/>
    <w:rsid w:val="0018528C"/>
    <w:rsid w:val="001951FB"/>
    <w:rsid w:val="00196F3C"/>
    <w:rsid w:val="001B7B2B"/>
    <w:rsid w:val="001E0993"/>
    <w:rsid w:val="001F5D3F"/>
    <w:rsid w:val="0026766F"/>
    <w:rsid w:val="0027166B"/>
    <w:rsid w:val="002923B7"/>
    <w:rsid w:val="002932CE"/>
    <w:rsid w:val="00310926"/>
    <w:rsid w:val="00347243"/>
    <w:rsid w:val="003900D6"/>
    <w:rsid w:val="003A2A73"/>
    <w:rsid w:val="003D377A"/>
    <w:rsid w:val="00415A74"/>
    <w:rsid w:val="00475586"/>
    <w:rsid w:val="00483E30"/>
    <w:rsid w:val="004C2944"/>
    <w:rsid w:val="004D19C7"/>
    <w:rsid w:val="004E5664"/>
    <w:rsid w:val="004E6A6E"/>
    <w:rsid w:val="005040F2"/>
    <w:rsid w:val="005149A9"/>
    <w:rsid w:val="0052124B"/>
    <w:rsid w:val="00534860"/>
    <w:rsid w:val="0053584A"/>
    <w:rsid w:val="005534BC"/>
    <w:rsid w:val="00593497"/>
    <w:rsid w:val="00597217"/>
    <w:rsid w:val="005C2CBA"/>
    <w:rsid w:val="005C41FB"/>
    <w:rsid w:val="005E3947"/>
    <w:rsid w:val="005F0D06"/>
    <w:rsid w:val="005F29C5"/>
    <w:rsid w:val="005F7D33"/>
    <w:rsid w:val="00606C38"/>
    <w:rsid w:val="006814D6"/>
    <w:rsid w:val="006820E8"/>
    <w:rsid w:val="006C2190"/>
    <w:rsid w:val="006C3DE2"/>
    <w:rsid w:val="00712EA2"/>
    <w:rsid w:val="007179E8"/>
    <w:rsid w:val="00736B40"/>
    <w:rsid w:val="007459C2"/>
    <w:rsid w:val="007479B8"/>
    <w:rsid w:val="007620A6"/>
    <w:rsid w:val="0077354F"/>
    <w:rsid w:val="00795D45"/>
    <w:rsid w:val="007A1959"/>
    <w:rsid w:val="007A5DA8"/>
    <w:rsid w:val="007E0CAD"/>
    <w:rsid w:val="007E53A6"/>
    <w:rsid w:val="007E57A7"/>
    <w:rsid w:val="007F55B6"/>
    <w:rsid w:val="0081522B"/>
    <w:rsid w:val="00815508"/>
    <w:rsid w:val="008224D0"/>
    <w:rsid w:val="008241AB"/>
    <w:rsid w:val="00853546"/>
    <w:rsid w:val="0086100E"/>
    <w:rsid w:val="0086363D"/>
    <w:rsid w:val="00865032"/>
    <w:rsid w:val="00875E19"/>
    <w:rsid w:val="00896A03"/>
    <w:rsid w:val="008C6392"/>
    <w:rsid w:val="008E48B0"/>
    <w:rsid w:val="008F64FC"/>
    <w:rsid w:val="009144AA"/>
    <w:rsid w:val="00946781"/>
    <w:rsid w:val="00950C7F"/>
    <w:rsid w:val="0095152F"/>
    <w:rsid w:val="00963CA3"/>
    <w:rsid w:val="00967236"/>
    <w:rsid w:val="00985339"/>
    <w:rsid w:val="00987C31"/>
    <w:rsid w:val="009971C5"/>
    <w:rsid w:val="009C0BC3"/>
    <w:rsid w:val="009D5F0B"/>
    <w:rsid w:val="009E0910"/>
    <w:rsid w:val="009F4BB3"/>
    <w:rsid w:val="00A7582E"/>
    <w:rsid w:val="00AC1357"/>
    <w:rsid w:val="00AF4CF9"/>
    <w:rsid w:val="00B043D9"/>
    <w:rsid w:val="00B06E79"/>
    <w:rsid w:val="00B13AD7"/>
    <w:rsid w:val="00B22D7A"/>
    <w:rsid w:val="00B22E54"/>
    <w:rsid w:val="00B4432F"/>
    <w:rsid w:val="00B5536A"/>
    <w:rsid w:val="00B60FB0"/>
    <w:rsid w:val="00B66CAB"/>
    <w:rsid w:val="00B811E7"/>
    <w:rsid w:val="00B84EF8"/>
    <w:rsid w:val="00B9147D"/>
    <w:rsid w:val="00B96C0B"/>
    <w:rsid w:val="00BA31FC"/>
    <w:rsid w:val="00BB4164"/>
    <w:rsid w:val="00BE4AEB"/>
    <w:rsid w:val="00C264C5"/>
    <w:rsid w:val="00C64997"/>
    <w:rsid w:val="00C64C0F"/>
    <w:rsid w:val="00CA75CC"/>
    <w:rsid w:val="00CE6658"/>
    <w:rsid w:val="00D0106D"/>
    <w:rsid w:val="00D03746"/>
    <w:rsid w:val="00D20DEB"/>
    <w:rsid w:val="00D63AA5"/>
    <w:rsid w:val="00D6401F"/>
    <w:rsid w:val="00D6408D"/>
    <w:rsid w:val="00D740F1"/>
    <w:rsid w:val="00D85FE8"/>
    <w:rsid w:val="00DB442E"/>
    <w:rsid w:val="00DC5FB0"/>
    <w:rsid w:val="00DD3A1D"/>
    <w:rsid w:val="00DD777F"/>
    <w:rsid w:val="00DF0C26"/>
    <w:rsid w:val="00E027CE"/>
    <w:rsid w:val="00E118C6"/>
    <w:rsid w:val="00E23769"/>
    <w:rsid w:val="00E2387F"/>
    <w:rsid w:val="00E601DC"/>
    <w:rsid w:val="00E6735E"/>
    <w:rsid w:val="00E71084"/>
    <w:rsid w:val="00E903BE"/>
    <w:rsid w:val="00E96397"/>
    <w:rsid w:val="00E97E64"/>
    <w:rsid w:val="00EA7847"/>
    <w:rsid w:val="00EB3D70"/>
    <w:rsid w:val="00EC130D"/>
    <w:rsid w:val="00EC2C85"/>
    <w:rsid w:val="00ED61F1"/>
    <w:rsid w:val="00F20743"/>
    <w:rsid w:val="00F25545"/>
    <w:rsid w:val="00F311B7"/>
    <w:rsid w:val="00F35FB1"/>
    <w:rsid w:val="00F54365"/>
    <w:rsid w:val="00F7781E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810C11C-5B42-4B93-9221-C119DFC9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3900D6"/>
    <w:rPr>
      <w:color w:val="000000"/>
      <w:sz w:val="20"/>
      <w:szCs w:val="20"/>
      <w:lang w:val="en-US" w:eastAsia="en-US" w:bidi="he-IL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900D6"/>
    <w:rPr>
      <w:rFonts w:eastAsia="Times New Roman"/>
      <w:color w:val="000000"/>
    </w:rPr>
  </w:style>
  <w:style w:type="character" w:styleId="CommentReference">
    <w:name w:val="annotation reference"/>
    <w:basedOn w:val="DefaultParagraphFont"/>
    <w:uiPriority w:val="99"/>
    <w:unhideWhenUsed/>
    <w:rsid w:val="003900D6"/>
    <w:rPr>
      <w:sz w:val="16"/>
    </w:rPr>
  </w:style>
  <w:style w:type="paragraph" w:styleId="BalloonText">
    <w:name w:val="Balloon Text"/>
    <w:basedOn w:val="Normal"/>
    <w:link w:val="BalloonTextChar"/>
    <w:uiPriority w:val="99"/>
    <w:rsid w:val="003900D6"/>
    <w:rPr>
      <w:rFonts w:ascii="Segoe UI" w:hAnsi="Segoe UI"/>
      <w:sz w:val="18"/>
      <w:szCs w:val="18"/>
      <w:lang w:val="en-US" w:bidi="he-IL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900D6"/>
    <w:rPr>
      <w:rFonts w:ascii="Segoe UI" w:hAnsi="Segoe UI"/>
      <w:sz w:val="18"/>
      <w:lang w:val="x-none" w:eastAsia="zh-CN"/>
    </w:rPr>
  </w:style>
  <w:style w:type="paragraph" w:customStyle="1" w:styleId="Normal1">
    <w:name w:val="Normal1"/>
    <w:rsid w:val="003900D6"/>
    <w:rPr>
      <w:color w:val="000000"/>
      <w:sz w:val="24"/>
      <w:szCs w:val="24"/>
      <w:lang w:val="en-GB" w:eastAsia="en-GB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E53A6"/>
    <w:rPr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E53A6"/>
    <w:rPr>
      <w:rFonts w:eastAsia="Times New Roman"/>
      <w:b/>
      <w:color w:val="000000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80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708B6-AD41-4F74-95CB-6FE0B5B0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1</TotalTime>
  <Pages>1</Pages>
  <Words>469</Words>
  <Characters>2676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IAR2 Team</cp:lastModifiedBy>
  <cp:revision>2</cp:revision>
  <dcterms:created xsi:type="dcterms:W3CDTF">2018-05-08T14:03:00Z</dcterms:created>
  <dcterms:modified xsi:type="dcterms:W3CDTF">2018-05-08T14:03:00Z</dcterms:modified>
</cp:coreProperties>
</file>