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E261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90FF7" w:rsidRPr="000F0AF1" w:rsidRDefault="00FC3E14" w:rsidP="00FE2618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law </w:t>
      </w:r>
      <w:r w:rsidR="00190FF7" w:rsidRPr="00015904">
        <w:rPr>
          <w:rStyle w:val="AIHeadline"/>
          <w:rFonts w:cs="Arial"/>
          <w:snapToGrid w:val="0"/>
          <w:sz w:val="38"/>
          <w:szCs w:val="38"/>
        </w:rPr>
        <w:t xml:space="preserve">leading to military impunity </w:t>
      </w:r>
      <w:r w:rsidR="00015904" w:rsidRPr="00015904">
        <w:rPr>
          <w:rStyle w:val="AIHeadline"/>
          <w:rFonts w:cs="Arial"/>
          <w:snapToGrid w:val="0"/>
          <w:sz w:val="38"/>
          <w:szCs w:val="38"/>
        </w:rPr>
        <w:t>sanctioned</w:t>
      </w:r>
    </w:p>
    <w:p w:rsidR="004C4F14" w:rsidRPr="00566A4F" w:rsidRDefault="005F28A2" w:rsidP="00FE2618">
      <w:pPr>
        <w:pStyle w:val="AIintropara"/>
        <w:spacing w:line="240" w:lineRule="auto"/>
        <w:rPr>
          <w:rFonts w:cs="Arial"/>
          <w:lang w:val="en-US"/>
        </w:rPr>
      </w:pPr>
      <w:r>
        <w:rPr>
          <w:rStyle w:val="StyleAIBodytextAsianSimSunChar"/>
          <w:rFonts w:cs="Arial"/>
        </w:rPr>
        <w:t xml:space="preserve">The </w:t>
      </w:r>
      <w:r w:rsidR="00566A4F">
        <w:rPr>
          <w:rStyle w:val="StyleAIBodytextAsianSimSunChar"/>
          <w:rFonts w:cs="Arial"/>
        </w:rPr>
        <w:t xml:space="preserve">Brazilian </w:t>
      </w:r>
      <w:r w:rsidR="009942A1">
        <w:rPr>
          <w:rStyle w:val="StyleAIBodytextAsianSimSunChar"/>
          <w:rFonts w:cs="Arial"/>
        </w:rPr>
        <w:t>President sanctioned</w:t>
      </w:r>
      <w:r w:rsidR="00015904">
        <w:rPr>
          <w:rStyle w:val="StyleAIBodytextAsianSimSunChar"/>
          <w:rFonts w:cs="Arial"/>
        </w:rPr>
        <w:t xml:space="preserve"> the</w:t>
      </w:r>
      <w:r w:rsidR="009942A1">
        <w:rPr>
          <w:rStyle w:val="StyleAIBodytextAsianSimSunChar"/>
          <w:rFonts w:cs="Arial"/>
        </w:rPr>
        <w:t xml:space="preserve"> law</w:t>
      </w:r>
      <w:r w:rsidR="00FA7918">
        <w:rPr>
          <w:rStyle w:val="StyleAIBodytextAsianSimSunChar"/>
          <w:rFonts w:cs="Arial"/>
        </w:rPr>
        <w:t xml:space="preserve"> that transfer</w:t>
      </w:r>
      <w:r w:rsidR="00015904">
        <w:rPr>
          <w:rStyle w:val="StyleAIBodytextAsianSimSunChar"/>
          <w:rFonts w:cs="Arial"/>
        </w:rPr>
        <w:t>s</w:t>
      </w:r>
      <w:r w:rsidR="00FA7918">
        <w:rPr>
          <w:rStyle w:val="StyleAIBodytextAsianSimSunChar"/>
          <w:rFonts w:cs="Arial"/>
        </w:rPr>
        <w:t xml:space="preserve"> to the Military Court the ability </w:t>
      </w:r>
      <w:r w:rsidR="00015904">
        <w:rPr>
          <w:rStyle w:val="StyleAIBodytextAsianSimSunChar"/>
          <w:rFonts w:cs="Arial"/>
        </w:rPr>
        <w:t xml:space="preserve">to try human rights violations and crimes against life, </w:t>
      </w:r>
      <w:r w:rsidR="00FA7918">
        <w:rPr>
          <w:rStyle w:val="StyleAIBodytextAsianSimSunChar"/>
          <w:rFonts w:cs="Arial"/>
        </w:rPr>
        <w:t xml:space="preserve">such as </w:t>
      </w:r>
      <w:r w:rsidR="00284B0C">
        <w:rPr>
          <w:rStyle w:val="StyleAIBodytextAsianSimSunChar"/>
          <w:rFonts w:cs="Arial"/>
        </w:rPr>
        <w:t>killings and extrajudicial executions</w:t>
      </w:r>
      <w:r w:rsidR="00015904">
        <w:rPr>
          <w:rStyle w:val="StyleAIBodytextAsianSimSunChar"/>
          <w:rFonts w:cs="Arial"/>
        </w:rPr>
        <w:t xml:space="preserve">, </w:t>
      </w:r>
      <w:r w:rsidR="00910E74">
        <w:rPr>
          <w:rFonts w:cs="Arial"/>
          <w:lang w:val="en-US"/>
        </w:rPr>
        <w:t>carried out</w:t>
      </w:r>
      <w:r w:rsidR="00910E74" w:rsidRPr="00566A4F">
        <w:rPr>
          <w:rFonts w:cs="Arial"/>
          <w:lang w:val="en-US"/>
        </w:rPr>
        <w:t xml:space="preserve"> </w:t>
      </w:r>
      <w:r w:rsidR="00566A4F" w:rsidRPr="00566A4F">
        <w:rPr>
          <w:rFonts w:cs="Arial"/>
          <w:lang w:val="en-US"/>
        </w:rPr>
        <w:t xml:space="preserve">by military </w:t>
      </w:r>
      <w:r w:rsidR="00910E74">
        <w:rPr>
          <w:rFonts w:cs="Arial"/>
          <w:lang w:val="en-US"/>
        </w:rPr>
        <w:t xml:space="preserve">personnel </w:t>
      </w:r>
      <w:r w:rsidR="00566A4F" w:rsidRPr="00566A4F">
        <w:rPr>
          <w:rFonts w:cs="Arial"/>
          <w:lang w:val="en-US"/>
        </w:rPr>
        <w:t xml:space="preserve">against civilians. </w:t>
      </w:r>
      <w:r w:rsidR="001E6C44">
        <w:rPr>
          <w:rFonts w:cs="Arial"/>
          <w:lang w:val="en-US"/>
        </w:rPr>
        <w:t>This contradicts the fundamental principles of fair trial,</w:t>
      </w:r>
      <w:r w:rsidR="001E6C44" w:rsidRPr="00566A4F">
        <w:rPr>
          <w:rFonts w:cs="Arial"/>
          <w:lang w:val="en-US"/>
        </w:rPr>
        <w:t xml:space="preserve"> judicial independence and impartiality of the decisions.</w:t>
      </w:r>
      <w:r w:rsidR="001E6C44">
        <w:rPr>
          <w:rFonts w:cs="Arial"/>
          <w:lang w:val="en-US"/>
        </w:rPr>
        <w:t xml:space="preserve"> </w:t>
      </w:r>
      <w:r w:rsidR="00FA7918" w:rsidRPr="00FA7918">
        <w:rPr>
          <w:rFonts w:cs="Arial"/>
          <w:lang w:val="en-US"/>
        </w:rPr>
        <w:t>It is now up to the Att</w:t>
      </w:r>
      <w:r w:rsidR="00447B92">
        <w:rPr>
          <w:rFonts w:cs="Arial"/>
          <w:lang w:val="en-US"/>
        </w:rPr>
        <w:t>orney General to appeal to the Supreme C</w:t>
      </w:r>
      <w:r w:rsidR="00FA7918" w:rsidRPr="00FA7918">
        <w:rPr>
          <w:rFonts w:cs="Arial"/>
          <w:lang w:val="en-US"/>
        </w:rPr>
        <w:t>ourt</w:t>
      </w:r>
      <w:r w:rsidR="00910E74">
        <w:rPr>
          <w:rFonts w:cs="Arial"/>
          <w:lang w:val="en-US"/>
        </w:rPr>
        <w:t xml:space="preserve"> </w:t>
      </w:r>
      <w:r w:rsidR="00C71602">
        <w:rPr>
          <w:rFonts w:cs="Arial"/>
          <w:lang w:val="en-US"/>
        </w:rPr>
        <w:t>to stop law from entering into force.</w:t>
      </w:r>
    </w:p>
    <w:p w:rsidR="00E10E16" w:rsidRDefault="00FA7918" w:rsidP="00FE2618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Fonts w:cs="Arial"/>
          <w:iCs/>
          <w:color w:val="000000"/>
          <w:shd w:val="clear" w:color="auto" w:fill="FFFFFF"/>
          <w:lang w:val="en-US"/>
        </w:rPr>
        <w:t>On 13</w:t>
      </w:r>
      <w:r w:rsidR="001E6C44">
        <w:rPr>
          <w:rFonts w:cs="Arial"/>
          <w:iCs/>
          <w:color w:val="000000"/>
          <w:shd w:val="clear" w:color="auto" w:fill="FFFFFF"/>
          <w:lang w:val="en-US"/>
        </w:rPr>
        <w:t xml:space="preserve"> October, the Brazilian </w:t>
      </w:r>
      <w:r>
        <w:rPr>
          <w:rFonts w:cs="Arial"/>
          <w:iCs/>
          <w:color w:val="000000"/>
          <w:shd w:val="clear" w:color="auto" w:fill="FFFFFF"/>
          <w:lang w:val="en-US"/>
        </w:rPr>
        <w:t xml:space="preserve">President sanctioned </w:t>
      </w:r>
      <w:r w:rsidR="009942A1">
        <w:rPr>
          <w:rFonts w:cs="Arial"/>
          <w:iCs/>
          <w:color w:val="000000"/>
          <w:shd w:val="clear" w:color="auto" w:fill="FFFFFF"/>
          <w:lang w:val="en-US"/>
        </w:rPr>
        <w:t>law</w:t>
      </w:r>
      <w:r w:rsidR="00B96B23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No.</w:t>
      </w:r>
      <w:r w:rsidR="000278C0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iCs/>
          <w:color w:val="000000"/>
          <w:shd w:val="clear" w:color="auto" w:fill="FFFFFF"/>
          <w:lang w:val="en-US"/>
        </w:rPr>
        <w:t>13.491</w:t>
      </w:r>
      <w:r w:rsidR="00E10E16">
        <w:rPr>
          <w:rFonts w:cs="Arial"/>
          <w:iCs/>
          <w:color w:val="000000"/>
          <w:shd w:val="clear" w:color="auto" w:fill="FFFFFF"/>
          <w:lang w:val="en-US"/>
        </w:rPr>
        <w:t xml:space="preserve"> (previously numbered in Congress PLC 44/2016)</w:t>
      </w:r>
      <w:r w:rsidR="00850DFC">
        <w:rPr>
          <w:rFonts w:cs="Arial"/>
          <w:iCs/>
          <w:color w:val="000000"/>
          <w:shd w:val="clear" w:color="auto" w:fill="FFFFFF"/>
          <w:lang w:val="en-US"/>
        </w:rPr>
        <w:t xml:space="preserve">, </w:t>
      </w:r>
      <w:r w:rsidR="001E6C44">
        <w:rPr>
          <w:rFonts w:cs="Arial"/>
          <w:iCs/>
          <w:color w:val="000000"/>
          <w:shd w:val="clear" w:color="auto" w:fill="FFFFFF"/>
          <w:lang w:val="en-US"/>
        </w:rPr>
        <w:t xml:space="preserve">which 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>amend</w:t>
      </w:r>
      <w:r w:rsidR="00850DFC">
        <w:rPr>
          <w:rFonts w:cs="Arial"/>
          <w:iCs/>
          <w:color w:val="000000"/>
          <w:shd w:val="clear" w:color="auto" w:fill="FFFFFF"/>
          <w:lang w:val="en-US"/>
        </w:rPr>
        <w:t>s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>L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aw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o. 9.299/2016</w:t>
      </w:r>
      <w:r w:rsidR="009144DC">
        <w:rPr>
          <w:rFonts w:cs="Arial"/>
          <w:iCs/>
          <w:color w:val="000000"/>
          <w:shd w:val="clear" w:color="auto" w:fill="FFFFFF"/>
          <w:lang w:val="en-US"/>
        </w:rPr>
        <w:t>.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9144DC">
        <w:rPr>
          <w:rFonts w:cs="Arial"/>
          <w:iCs/>
          <w:color w:val="000000"/>
          <w:shd w:val="clear" w:color="auto" w:fill="FFFFFF"/>
          <w:lang w:val="en-US"/>
        </w:rPr>
        <w:t xml:space="preserve">Under the sanctioned law </w:t>
      </w:r>
      <w:r w:rsidR="009144DC" w:rsidRPr="00FB157B">
        <w:rPr>
          <w:rFonts w:cs="Arial"/>
          <w:iCs/>
          <w:color w:val="000000"/>
          <w:shd w:val="clear" w:color="auto" w:fill="FFFFFF"/>
          <w:lang w:val="en-US"/>
        </w:rPr>
        <w:t>Military Court</w:t>
      </w:r>
      <w:r w:rsidR="009144DC">
        <w:rPr>
          <w:rFonts w:cs="Arial"/>
          <w:iCs/>
          <w:color w:val="000000"/>
          <w:shd w:val="clear" w:color="auto" w:fill="FFFFFF"/>
          <w:lang w:val="en-US"/>
        </w:rPr>
        <w:t>s</w:t>
      </w:r>
      <w:r w:rsidR="005D2FF9">
        <w:rPr>
          <w:rFonts w:cs="Arial"/>
          <w:iCs/>
          <w:color w:val="000000"/>
          <w:shd w:val="clear" w:color="auto" w:fill="FFFFFF"/>
          <w:lang w:val="en-US"/>
        </w:rPr>
        <w:t xml:space="preserve"> will try</w:t>
      </w:r>
      <w:r w:rsidR="00A258E2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 xml:space="preserve">human rights violations, including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crimes against life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(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>murder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or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attempted murder, among others)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committed by military 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 xml:space="preserve">personnel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against civilians</w:t>
      </w:r>
      <w:r w:rsidR="009144DC">
        <w:rPr>
          <w:rFonts w:cs="Arial"/>
          <w:iCs/>
          <w:color w:val="000000"/>
          <w:shd w:val="clear" w:color="auto" w:fill="FFFFFF"/>
          <w:lang w:val="en-US"/>
        </w:rPr>
        <w:t>.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. </w:t>
      </w:r>
      <w:r w:rsidR="009144DC">
        <w:rPr>
          <w:rFonts w:cs="Arial"/>
          <w:lang w:val="en-US"/>
        </w:rPr>
        <w:t xml:space="preserve">This </w:t>
      </w:r>
      <w:r w:rsidR="00D32DD2" w:rsidRPr="00FB157B">
        <w:rPr>
          <w:rFonts w:cs="Arial"/>
          <w:lang w:val="en-US"/>
        </w:rPr>
        <w:t>violate</w:t>
      </w:r>
      <w:r w:rsidR="00850DFC">
        <w:rPr>
          <w:rFonts w:cs="Arial"/>
          <w:lang w:val="en-US"/>
        </w:rPr>
        <w:t>s</w:t>
      </w:r>
      <w:r w:rsidR="00D32DD2" w:rsidRPr="00FB157B">
        <w:rPr>
          <w:rFonts w:cs="Arial"/>
          <w:lang w:val="en-US"/>
        </w:rPr>
        <w:t xml:space="preserve"> </w:t>
      </w:r>
      <w:r w:rsidR="000F5D92">
        <w:rPr>
          <w:rFonts w:cs="Arial"/>
          <w:lang w:val="en-US"/>
        </w:rPr>
        <w:t>Brazil's obligations under international law, including</w:t>
      </w:r>
      <w:r w:rsidR="00D32DD2" w:rsidRPr="00FB157B">
        <w:rPr>
          <w:rFonts w:cs="Arial"/>
          <w:lang w:val="en-US"/>
        </w:rPr>
        <w:t xml:space="preserve"> </w:t>
      </w:r>
      <w:r w:rsidR="00CD10E7">
        <w:rPr>
          <w:rFonts w:cs="Arial"/>
          <w:lang w:val="en-US"/>
        </w:rPr>
        <w:t xml:space="preserve">the right to a </w:t>
      </w:r>
      <w:r w:rsidR="00D93B32">
        <w:rPr>
          <w:rFonts w:cs="Arial"/>
          <w:lang w:val="en-US"/>
        </w:rPr>
        <w:t>fair trial</w:t>
      </w:r>
      <w:r w:rsidR="00D32DD2" w:rsidRPr="00FB157B">
        <w:rPr>
          <w:rFonts w:cs="Arial"/>
          <w:lang w:val="en-US"/>
        </w:rPr>
        <w:t xml:space="preserve">, as </w:t>
      </w:r>
      <w:r w:rsidR="00CD10E7">
        <w:rPr>
          <w:rFonts w:cs="Arial"/>
          <w:lang w:val="en-US"/>
        </w:rPr>
        <w:t xml:space="preserve">military courts </w:t>
      </w:r>
      <w:r w:rsidR="00D32DD2" w:rsidRPr="00FB157B">
        <w:rPr>
          <w:rFonts w:cs="Arial"/>
          <w:lang w:val="en-US"/>
        </w:rPr>
        <w:t xml:space="preserve">do not guarantee judicial independence. </w:t>
      </w:r>
      <w:r w:rsidR="005F28A2">
        <w:rPr>
          <w:rFonts w:cs="Arial"/>
          <w:lang w:val="en-US"/>
        </w:rPr>
        <w:t xml:space="preserve">The </w:t>
      </w:r>
      <w:r w:rsidR="00C71602">
        <w:rPr>
          <w:rFonts w:cs="Arial"/>
          <w:lang w:val="en-US"/>
        </w:rPr>
        <w:t xml:space="preserve">Attorney General should now appeal to the Supreme Court </w:t>
      </w:r>
      <w:r w:rsidR="00E10E16">
        <w:rPr>
          <w:rFonts w:cs="Arial"/>
          <w:lang w:val="en-US"/>
        </w:rPr>
        <w:t xml:space="preserve">in order to stop </w:t>
      </w:r>
      <w:r w:rsidR="004071FA" w:rsidRPr="004071FA">
        <w:rPr>
          <w:rFonts w:cs="Arial"/>
          <w:lang w:val="en-US"/>
        </w:rPr>
        <w:t xml:space="preserve">the </w:t>
      </w:r>
      <w:r w:rsidR="00C71602">
        <w:rPr>
          <w:rFonts w:cs="Arial"/>
          <w:lang w:val="en-US"/>
        </w:rPr>
        <w:t xml:space="preserve">law from entering into force, as it </w:t>
      </w:r>
      <w:r w:rsidR="00284B0C">
        <w:rPr>
          <w:rFonts w:cs="Arial"/>
          <w:lang w:val="en-US"/>
        </w:rPr>
        <w:t>violates</w:t>
      </w:r>
      <w:r w:rsidR="004071FA" w:rsidRPr="004071FA">
        <w:rPr>
          <w:rFonts w:cs="Arial"/>
          <w:lang w:val="en-US"/>
        </w:rPr>
        <w:t xml:space="preserve"> international human rights treaties </w:t>
      </w:r>
      <w:r w:rsidR="008701B2">
        <w:rPr>
          <w:rFonts w:cs="Arial"/>
          <w:lang w:val="en-US"/>
        </w:rPr>
        <w:t xml:space="preserve">and </w:t>
      </w:r>
      <w:r w:rsidR="00C71602">
        <w:rPr>
          <w:rFonts w:cs="Arial"/>
          <w:lang w:val="en-US"/>
        </w:rPr>
        <w:t xml:space="preserve">a </w:t>
      </w:r>
      <w:r w:rsidR="00284B0C">
        <w:rPr>
          <w:rFonts w:cs="Arial"/>
          <w:lang w:val="en-US"/>
        </w:rPr>
        <w:t>ruling</w:t>
      </w:r>
      <w:r w:rsidR="008701B2">
        <w:rPr>
          <w:rFonts w:cs="Arial"/>
          <w:lang w:val="en-US"/>
        </w:rPr>
        <w:t xml:space="preserve"> </w:t>
      </w:r>
      <w:r w:rsidR="00C71602">
        <w:rPr>
          <w:rFonts w:cs="Arial"/>
          <w:lang w:val="en-US"/>
        </w:rPr>
        <w:t>by</w:t>
      </w:r>
      <w:r w:rsidR="008701B2">
        <w:rPr>
          <w:rFonts w:cs="Arial"/>
          <w:lang w:val="en-US"/>
        </w:rPr>
        <w:t xml:space="preserve"> </w:t>
      </w:r>
      <w:r w:rsidR="00284B0C">
        <w:rPr>
          <w:rFonts w:cs="Arial"/>
          <w:lang w:val="en-US"/>
        </w:rPr>
        <w:t xml:space="preserve">the </w:t>
      </w:r>
      <w:r w:rsidR="008701B2">
        <w:rPr>
          <w:rFonts w:cs="Arial"/>
          <w:lang w:val="en-US"/>
        </w:rPr>
        <w:t>Inter-American C</w:t>
      </w:r>
      <w:r w:rsidR="004071FA" w:rsidRPr="004071FA">
        <w:rPr>
          <w:rFonts w:cs="Arial"/>
          <w:lang w:val="en-US"/>
        </w:rPr>
        <w:t xml:space="preserve">ourt of </w:t>
      </w:r>
      <w:r w:rsidR="00C71602">
        <w:rPr>
          <w:rFonts w:cs="Arial"/>
          <w:lang w:val="en-US"/>
        </w:rPr>
        <w:t>H</w:t>
      </w:r>
      <w:r w:rsidR="004071FA" w:rsidRPr="004071FA">
        <w:rPr>
          <w:rFonts w:cs="Arial"/>
          <w:lang w:val="en-US"/>
        </w:rPr>
        <w:t xml:space="preserve">uman </w:t>
      </w:r>
      <w:r w:rsidR="00C71602">
        <w:rPr>
          <w:rFonts w:cs="Arial"/>
          <w:lang w:val="en-US"/>
        </w:rPr>
        <w:t>R</w:t>
      </w:r>
      <w:r w:rsidR="004071FA" w:rsidRPr="004071FA">
        <w:rPr>
          <w:rFonts w:cs="Arial"/>
          <w:lang w:val="en-US"/>
        </w:rPr>
        <w:t>ights</w:t>
      </w:r>
      <w:r w:rsidR="00C71602">
        <w:rPr>
          <w:rFonts w:cs="Arial"/>
          <w:lang w:val="en-US"/>
        </w:rPr>
        <w:t>.</w:t>
      </w:r>
    </w:p>
    <w:p w:rsidR="00897936" w:rsidRDefault="001E6C44" w:rsidP="00FE2618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Human rights and civil society organizations in Brazil have </w:t>
      </w:r>
      <w:r w:rsidR="00FC6E0C">
        <w:rPr>
          <w:rFonts w:cs="Arial"/>
          <w:color w:val="000000"/>
          <w:lang w:val="en-US"/>
        </w:rPr>
        <w:t xml:space="preserve">expressed </w:t>
      </w:r>
      <w:r w:rsidR="00C903CC">
        <w:rPr>
          <w:rFonts w:cs="Arial"/>
          <w:color w:val="000000"/>
          <w:lang w:val="en-US"/>
        </w:rPr>
        <w:t>additional concerns</w:t>
      </w:r>
      <w:r w:rsidR="009942A1">
        <w:rPr>
          <w:rFonts w:cs="Arial"/>
          <w:color w:val="000000"/>
          <w:lang w:val="en-US"/>
        </w:rPr>
        <w:t xml:space="preserve"> about the law</w:t>
      </w:r>
      <w:r w:rsidR="003C44C0">
        <w:rPr>
          <w:rFonts w:cs="Arial"/>
          <w:color w:val="000000"/>
          <w:lang w:val="en-US"/>
        </w:rPr>
        <w:t>, since</w:t>
      </w:r>
      <w:r w:rsidR="00C903CC">
        <w:rPr>
          <w:rFonts w:cs="Arial"/>
          <w:color w:val="000000"/>
          <w:lang w:val="en-US"/>
        </w:rPr>
        <w:t xml:space="preserve"> it will increase impunity in the cases of</w:t>
      </w:r>
      <w:r w:rsidR="003C44C0">
        <w:rPr>
          <w:rFonts w:cs="Arial"/>
          <w:color w:val="000000"/>
          <w:lang w:val="en-US"/>
        </w:rPr>
        <w:t xml:space="preserve"> human rights</w:t>
      </w:r>
      <w:r w:rsidR="00C903CC">
        <w:rPr>
          <w:rFonts w:cs="Arial"/>
          <w:color w:val="000000"/>
          <w:lang w:val="en-US"/>
        </w:rPr>
        <w:t xml:space="preserve"> violations committed by the military</w:t>
      </w:r>
      <w:r w:rsidR="007D1751">
        <w:rPr>
          <w:rFonts w:cs="Arial"/>
          <w:color w:val="000000"/>
          <w:lang w:val="en-US"/>
        </w:rPr>
        <w:t xml:space="preserve">. </w:t>
      </w:r>
      <w:r w:rsidR="00CA5210" w:rsidRPr="004E313C">
        <w:rPr>
          <w:rFonts w:cs="Arial"/>
          <w:color w:val="000000"/>
          <w:lang w:val="en-US"/>
        </w:rPr>
        <w:t xml:space="preserve">The </w:t>
      </w:r>
      <w:r w:rsidR="00E617F4">
        <w:rPr>
          <w:rFonts w:cs="Arial"/>
          <w:color w:val="000000"/>
          <w:lang w:val="en-US"/>
        </w:rPr>
        <w:t xml:space="preserve">UN Human Rights Committee, the UN Committee against Torture, the </w:t>
      </w:r>
      <w:r w:rsidR="00CA5210" w:rsidRPr="004E313C">
        <w:rPr>
          <w:rFonts w:cs="Arial"/>
          <w:color w:val="000000"/>
          <w:lang w:val="en-US"/>
        </w:rPr>
        <w:t>Inter-American Court of Human Rights</w:t>
      </w:r>
      <w:r w:rsidR="00E617F4">
        <w:rPr>
          <w:rFonts w:cs="Arial"/>
          <w:color w:val="000000"/>
          <w:lang w:val="en-US"/>
        </w:rPr>
        <w:t xml:space="preserve"> and the Inter-American Commission on Human Rights</w:t>
      </w:r>
      <w:r w:rsidR="00CA5210" w:rsidRPr="004E313C">
        <w:rPr>
          <w:rFonts w:cs="Arial"/>
          <w:color w:val="000000"/>
          <w:lang w:val="en-US"/>
        </w:rPr>
        <w:t xml:space="preserve"> </w:t>
      </w:r>
      <w:r w:rsidR="002641CB" w:rsidRPr="004E313C">
        <w:rPr>
          <w:rFonts w:cs="Arial"/>
          <w:color w:val="000000"/>
          <w:lang w:val="en-US"/>
        </w:rPr>
        <w:t>ha</w:t>
      </w:r>
      <w:r w:rsidR="00E617F4">
        <w:rPr>
          <w:rFonts w:cs="Arial"/>
          <w:color w:val="000000"/>
          <w:lang w:val="en-US"/>
        </w:rPr>
        <w:t>ve all</w:t>
      </w:r>
      <w:r w:rsidR="002641CB" w:rsidRPr="004E313C">
        <w:rPr>
          <w:rFonts w:cs="Arial"/>
          <w:color w:val="000000"/>
          <w:lang w:val="en-US"/>
        </w:rPr>
        <w:t xml:space="preserve"> </w:t>
      </w:r>
      <w:r w:rsidR="00D93B32" w:rsidRPr="004E313C">
        <w:rPr>
          <w:rFonts w:cs="Arial"/>
          <w:color w:val="000000"/>
          <w:lang w:val="en-US"/>
        </w:rPr>
        <w:t>state</w:t>
      </w:r>
      <w:r w:rsidR="002641CB" w:rsidRPr="004E313C">
        <w:rPr>
          <w:rFonts w:cs="Arial"/>
          <w:color w:val="000000"/>
          <w:lang w:val="en-US"/>
        </w:rPr>
        <w:t>d</w:t>
      </w:r>
      <w:r w:rsidR="00D93B32" w:rsidRPr="004E313C">
        <w:rPr>
          <w:rFonts w:cs="Arial"/>
          <w:color w:val="000000"/>
          <w:lang w:val="en-US"/>
        </w:rPr>
        <w:t xml:space="preserve"> </w:t>
      </w:r>
      <w:r w:rsidR="00CA5210" w:rsidRPr="004E313C">
        <w:rPr>
          <w:rFonts w:cs="Arial"/>
          <w:color w:val="000000"/>
          <w:lang w:val="en-US"/>
        </w:rPr>
        <w:t xml:space="preserve">that military jurisdiction must be restrictive and exceptional, applied only to the members of the military </w:t>
      </w:r>
      <w:r w:rsidR="003C44C0" w:rsidRPr="004E313C">
        <w:rPr>
          <w:rFonts w:cs="Arial"/>
          <w:color w:val="000000"/>
          <w:lang w:val="en-US"/>
        </w:rPr>
        <w:t>for breaches of military discipline</w:t>
      </w:r>
      <w:r w:rsidR="00CA5210" w:rsidRPr="004E313C">
        <w:rPr>
          <w:rFonts w:cs="Arial"/>
          <w:color w:val="000000"/>
          <w:lang w:val="en-US"/>
        </w:rPr>
        <w:t xml:space="preserve">. </w:t>
      </w:r>
      <w:r w:rsidR="00E617F4">
        <w:rPr>
          <w:rFonts w:cs="Arial"/>
          <w:color w:val="000000"/>
          <w:lang w:val="en-US"/>
        </w:rPr>
        <w:t>In addition, t</w:t>
      </w:r>
      <w:r w:rsidR="00D93B32" w:rsidRPr="004E313C">
        <w:rPr>
          <w:rFonts w:cs="Arial"/>
          <w:color w:val="000000"/>
          <w:lang w:val="en-US"/>
        </w:rPr>
        <w:t xml:space="preserve">he </w:t>
      </w:r>
      <w:r w:rsidR="004D4C1F" w:rsidRPr="004E313C">
        <w:rPr>
          <w:rFonts w:cs="Arial"/>
          <w:color w:val="000000"/>
          <w:lang w:val="en-US"/>
        </w:rPr>
        <w:t xml:space="preserve">Inter-American </w:t>
      </w:r>
      <w:r w:rsidR="00D93B32" w:rsidRPr="004E313C">
        <w:rPr>
          <w:rFonts w:cs="Arial"/>
          <w:color w:val="000000"/>
          <w:lang w:val="en-US"/>
        </w:rPr>
        <w:t xml:space="preserve">Court </w:t>
      </w:r>
      <w:r w:rsidR="00CA5210" w:rsidRPr="004E313C">
        <w:rPr>
          <w:rFonts w:cs="Arial"/>
          <w:color w:val="000000"/>
          <w:lang w:val="en-US"/>
        </w:rPr>
        <w:t xml:space="preserve">has directly </w:t>
      </w:r>
      <w:r w:rsidR="003C44C0" w:rsidRPr="004E313C">
        <w:rPr>
          <w:rFonts w:cs="Arial"/>
          <w:color w:val="000000"/>
          <w:lang w:val="en-US"/>
        </w:rPr>
        <w:t xml:space="preserve">ruled that </w:t>
      </w:r>
      <w:r w:rsidR="004D4C1F" w:rsidRPr="004E313C">
        <w:rPr>
          <w:rFonts w:cs="Arial"/>
          <w:color w:val="000000"/>
          <w:lang w:val="en-US"/>
        </w:rPr>
        <w:t>Brazil</w:t>
      </w:r>
      <w:r w:rsidR="00CA5210" w:rsidRPr="004E313C">
        <w:rPr>
          <w:rFonts w:cs="Arial"/>
          <w:color w:val="000000"/>
          <w:lang w:val="en-US"/>
        </w:rPr>
        <w:t xml:space="preserve"> </w:t>
      </w:r>
      <w:r w:rsidR="003C44C0" w:rsidRPr="004E313C">
        <w:rPr>
          <w:rFonts w:cs="Arial"/>
          <w:color w:val="000000"/>
          <w:lang w:val="en-US"/>
        </w:rPr>
        <w:t xml:space="preserve">must </w:t>
      </w:r>
      <w:r w:rsidR="00CA5210" w:rsidRPr="004E313C">
        <w:rPr>
          <w:rFonts w:cs="Arial"/>
          <w:color w:val="000000"/>
          <w:lang w:val="en-US"/>
        </w:rPr>
        <w:t xml:space="preserve">refrain from using military jurisdiction to investigate and prosecute </w:t>
      </w:r>
      <w:r w:rsidR="00FB157B" w:rsidRPr="004E313C">
        <w:rPr>
          <w:rFonts w:cs="Arial"/>
          <w:color w:val="000000"/>
          <w:lang w:val="en-US"/>
        </w:rPr>
        <w:t>militar</w:t>
      </w:r>
      <w:r w:rsidR="004D4C1F" w:rsidRPr="004E313C">
        <w:rPr>
          <w:rFonts w:cs="Arial"/>
          <w:color w:val="000000"/>
          <w:lang w:val="en-US"/>
        </w:rPr>
        <w:t>y personnel</w:t>
      </w:r>
      <w:r w:rsidR="00FB157B" w:rsidRPr="004E313C">
        <w:rPr>
          <w:rFonts w:cs="Arial"/>
          <w:color w:val="000000"/>
          <w:lang w:val="en-US"/>
        </w:rPr>
        <w:t xml:space="preserve"> </w:t>
      </w:r>
      <w:r w:rsidR="00CA5210" w:rsidRPr="004E313C">
        <w:rPr>
          <w:rFonts w:cs="Arial"/>
          <w:color w:val="000000"/>
          <w:lang w:val="en-US"/>
        </w:rPr>
        <w:t xml:space="preserve">for </w:t>
      </w:r>
      <w:r w:rsidR="003C44C0" w:rsidRPr="004E313C">
        <w:rPr>
          <w:rFonts w:cs="Arial"/>
          <w:color w:val="000000"/>
          <w:lang w:val="en-US"/>
        </w:rPr>
        <w:t>human rights violations</w:t>
      </w:r>
      <w:r w:rsidR="00CA5210" w:rsidRPr="004E313C">
        <w:rPr>
          <w:rFonts w:cs="Arial"/>
          <w:color w:val="000000"/>
          <w:lang w:val="en-US"/>
        </w:rPr>
        <w:t>.</w:t>
      </w:r>
      <w:r w:rsidR="00FC6E0C">
        <w:rPr>
          <w:rFonts w:cs="Arial"/>
          <w:color w:val="000000"/>
          <w:lang w:val="en-US"/>
        </w:rPr>
        <w:t xml:space="preserve"> The Inter</w:t>
      </w:r>
      <w:r w:rsidR="00C71602">
        <w:rPr>
          <w:rFonts w:cs="Arial"/>
          <w:color w:val="000000"/>
          <w:lang w:val="en-US"/>
        </w:rPr>
        <w:t>-</w:t>
      </w:r>
      <w:r w:rsidR="00FC6E0C">
        <w:rPr>
          <w:rFonts w:cs="Arial"/>
          <w:color w:val="000000"/>
          <w:lang w:val="en-US"/>
        </w:rPr>
        <w:t>American Commission of Human Rights</w:t>
      </w:r>
      <w:r w:rsidR="00FC3E14">
        <w:rPr>
          <w:rFonts w:cs="Arial"/>
          <w:color w:val="000000"/>
          <w:lang w:val="en-US"/>
        </w:rPr>
        <w:t xml:space="preserve"> issue</w:t>
      </w:r>
      <w:r w:rsidR="00154169">
        <w:rPr>
          <w:rFonts w:cs="Arial"/>
          <w:color w:val="000000"/>
          <w:lang w:val="en-US"/>
        </w:rPr>
        <w:t>d</w:t>
      </w:r>
      <w:r w:rsidR="00FC3E14">
        <w:rPr>
          <w:rFonts w:cs="Arial"/>
          <w:color w:val="000000"/>
          <w:lang w:val="en-US"/>
        </w:rPr>
        <w:t xml:space="preserve"> a press release on 13 October </w:t>
      </w:r>
      <w:r w:rsidR="00FC6E0C">
        <w:rPr>
          <w:rFonts w:cs="Arial"/>
          <w:color w:val="000000"/>
          <w:lang w:val="en-US"/>
        </w:rPr>
        <w:t>position</w:t>
      </w:r>
      <w:r w:rsidR="00154169">
        <w:rPr>
          <w:rFonts w:cs="Arial"/>
          <w:color w:val="000000"/>
          <w:lang w:val="en-US"/>
        </w:rPr>
        <w:t>ing</w:t>
      </w:r>
      <w:r w:rsidR="00FC6E0C">
        <w:rPr>
          <w:rFonts w:cs="Arial"/>
          <w:color w:val="000000"/>
          <w:lang w:val="en-US"/>
        </w:rPr>
        <w:t xml:space="preserve"> itself against this Law</w:t>
      </w:r>
      <w:r w:rsidR="00FC3E14">
        <w:rPr>
          <w:rFonts w:cs="Arial"/>
          <w:color w:val="000000"/>
          <w:lang w:val="en-US"/>
        </w:rPr>
        <w:t xml:space="preserve"> when it was approved in the Senate</w:t>
      </w:r>
      <w:r w:rsidR="00154169">
        <w:rPr>
          <w:rFonts w:cs="Arial"/>
          <w:color w:val="000000"/>
          <w:lang w:val="en-US"/>
        </w:rPr>
        <w:t>.</w:t>
      </w:r>
    </w:p>
    <w:p w:rsidR="00897936" w:rsidRDefault="00E706DD" w:rsidP="00FE2618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Brazilian human rights organizations are making a</w:t>
      </w:r>
      <w:r w:rsidR="00897936">
        <w:rPr>
          <w:rFonts w:cs="Arial"/>
          <w:color w:val="000000"/>
          <w:lang w:val="en-US"/>
        </w:rPr>
        <w:t xml:space="preserve"> final effort to </w:t>
      </w:r>
      <w:r>
        <w:rPr>
          <w:rFonts w:cs="Arial"/>
          <w:color w:val="000000"/>
          <w:lang w:val="en-US"/>
        </w:rPr>
        <w:t xml:space="preserve">stop the law entering into force by calling on </w:t>
      </w:r>
      <w:r w:rsidR="00897936">
        <w:rPr>
          <w:rFonts w:cs="Arial"/>
          <w:color w:val="000000"/>
          <w:lang w:val="en-US"/>
        </w:rPr>
        <w:t xml:space="preserve">the Attorney General to appeal to the Brazilian Supreme </w:t>
      </w:r>
      <w:r w:rsidR="00AA19AB">
        <w:rPr>
          <w:rFonts w:cs="Arial"/>
          <w:color w:val="000000"/>
          <w:lang w:val="en-US"/>
        </w:rPr>
        <w:t xml:space="preserve">Court. </w:t>
      </w:r>
    </w:p>
    <w:p w:rsidR="00FE2618" w:rsidRPr="00E35808" w:rsidRDefault="00FE2618" w:rsidP="00FE261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FE2618" w:rsidRDefault="00FE2618" w:rsidP="00FE261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467EBE" w:rsidRPr="00467EBE" w:rsidRDefault="00467EBE" w:rsidP="00FE2618">
      <w:pPr>
        <w:numPr>
          <w:ilvl w:val="0"/>
          <w:numId w:val="4"/>
        </w:numPr>
      </w:pPr>
      <w:r w:rsidRPr="00467EBE">
        <w:rPr>
          <w:rFonts w:ascii="Arial" w:hAnsi="Arial" w:cs="Arial"/>
          <w:sz w:val="20"/>
          <w:szCs w:val="20"/>
          <w:lang w:val="en-US"/>
        </w:rPr>
        <w:t xml:space="preserve">Urging the Attorney General to appeal to the Supreme Court against law No. 13.491 </w:t>
      </w:r>
      <w:r w:rsidR="00AA19AB">
        <w:rPr>
          <w:rFonts w:ascii="Arial" w:hAnsi="Arial" w:cs="Arial"/>
          <w:sz w:val="20"/>
          <w:szCs w:val="20"/>
          <w:lang w:val="en-US"/>
        </w:rPr>
        <w:t xml:space="preserve">that transfers to Military Courts the responsibility </w:t>
      </w:r>
      <w:r w:rsidRPr="00467EBE">
        <w:rPr>
          <w:rFonts w:ascii="Arial" w:hAnsi="Arial" w:cs="Arial"/>
          <w:sz w:val="20"/>
          <w:szCs w:val="20"/>
          <w:lang w:val="en-US"/>
        </w:rPr>
        <w:t>to try crimes, including killings, committed by</w:t>
      </w:r>
      <w:r w:rsidR="00AA19AB">
        <w:rPr>
          <w:rFonts w:ascii="Arial" w:hAnsi="Arial" w:cs="Arial"/>
          <w:sz w:val="20"/>
          <w:szCs w:val="20"/>
          <w:lang w:val="en-US"/>
        </w:rPr>
        <w:t xml:space="preserve"> the military against civilians</w:t>
      </w:r>
      <w:r w:rsidRPr="00467EB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467EBE" w:rsidRDefault="00467EBE" w:rsidP="00FE2618">
      <w:pPr>
        <w:rPr>
          <w:rFonts w:ascii="Arial" w:hAnsi="Arial" w:cs="Arial"/>
          <w:sz w:val="20"/>
          <w:szCs w:val="20"/>
          <w:lang w:val="en-US"/>
        </w:rPr>
      </w:pPr>
    </w:p>
    <w:p w:rsidR="005534BC" w:rsidRDefault="00FE2618" w:rsidP="00FE2618">
      <w:pPr>
        <w:pStyle w:val="AITableHeading"/>
        <w:tabs>
          <w:tab w:val="clear" w:pos="567"/>
        </w:tabs>
      </w:pPr>
      <w:r>
        <w:t>Contact these two officials by</w:t>
      </w:r>
      <w:r w:rsidR="00034B56">
        <w:t xml:space="preserve"> 6</w:t>
      </w:r>
      <w:r>
        <w:t xml:space="preserve"> December,</w:t>
      </w:r>
      <w:r w:rsidR="00E10E16">
        <w:t xml:space="preserve"> </w:t>
      </w:r>
      <w:r w:rsidR="00910E74">
        <w:t>2017</w:t>
      </w:r>
      <w:r w:rsidR="0026766F" w:rsidRPr="00F95961">
        <w:t>:</w:t>
      </w:r>
    </w:p>
    <w:p w:rsidR="005534BC" w:rsidRDefault="005534BC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E261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9942A1" w:rsidRPr="005752D1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5752D1">
        <w:rPr>
          <w:rFonts w:cs="Arial"/>
          <w:sz w:val="16"/>
          <w:szCs w:val="16"/>
          <w:u w:val="single"/>
          <w:lang w:val="es-MX"/>
        </w:rPr>
        <w:t xml:space="preserve">Attorney General </w:t>
      </w:r>
      <w:r w:rsidRPr="005752D1">
        <w:rPr>
          <w:rFonts w:cs="Arial"/>
          <w:sz w:val="16"/>
          <w:szCs w:val="16"/>
          <w:lang w:val="es-MX"/>
        </w:rPr>
        <w:tab/>
      </w:r>
    </w:p>
    <w:p w:rsidR="009942A1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FF64C6">
        <w:rPr>
          <w:rFonts w:cs="Arial"/>
          <w:sz w:val="16"/>
          <w:szCs w:val="16"/>
          <w:lang w:val="pt-BR"/>
        </w:rPr>
        <w:t>Raquel Dodge</w:t>
      </w:r>
      <w:r w:rsidRPr="00FF64C6">
        <w:rPr>
          <w:rFonts w:cs="Arial"/>
          <w:sz w:val="16"/>
          <w:szCs w:val="16"/>
          <w:lang w:val="pt-BR"/>
        </w:rPr>
        <w:tab/>
      </w:r>
    </w:p>
    <w:p w:rsidR="009942A1" w:rsidRPr="00FF64C6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FF64C6">
        <w:rPr>
          <w:rFonts w:cs="Arial"/>
          <w:sz w:val="16"/>
          <w:szCs w:val="16"/>
          <w:lang w:val="pt-BR"/>
        </w:rPr>
        <w:t>Procuradoria Geral da República</w:t>
      </w:r>
    </w:p>
    <w:p w:rsidR="009942A1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FF64C6">
        <w:rPr>
          <w:rFonts w:cs="Arial"/>
          <w:sz w:val="16"/>
          <w:szCs w:val="16"/>
          <w:lang w:val="pt-BR"/>
        </w:rPr>
        <w:t>SAF Sul Quadra 4 Conjunto C</w:t>
      </w:r>
      <w:r>
        <w:rPr>
          <w:rFonts w:cs="Arial"/>
          <w:sz w:val="16"/>
          <w:szCs w:val="16"/>
          <w:lang w:val="pt-BR"/>
        </w:rPr>
        <w:t xml:space="preserve">, </w:t>
      </w:r>
    </w:p>
    <w:p w:rsidR="009942A1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Brasília, DF</w:t>
      </w:r>
    </w:p>
    <w:p w:rsidR="009942A1" w:rsidRPr="00A258E2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A258E2">
        <w:rPr>
          <w:rFonts w:cs="Arial"/>
          <w:sz w:val="16"/>
          <w:szCs w:val="16"/>
          <w:lang w:val="es-MX"/>
        </w:rPr>
        <w:t>CEP: 70050-900, Brazil</w:t>
      </w:r>
      <w:bookmarkStart w:id="0" w:name="_GoBack"/>
      <w:bookmarkEnd w:id="0"/>
    </w:p>
    <w:p w:rsidR="009942A1" w:rsidRPr="00A258E2" w:rsidRDefault="009942A1" w:rsidP="00FE2618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A258E2">
        <w:rPr>
          <w:rFonts w:cs="Arial"/>
          <w:sz w:val="16"/>
          <w:szCs w:val="16"/>
          <w:lang w:val="es-MX"/>
        </w:rPr>
        <w:t>Fax: +55 61 3105-5100</w:t>
      </w:r>
    </w:p>
    <w:p w:rsidR="009942A1" w:rsidRPr="00FE2618" w:rsidRDefault="009942A1" w:rsidP="00FE2618">
      <w:pPr>
        <w:pStyle w:val="AITextSmallNoLineSpacing"/>
        <w:spacing w:line="240" w:lineRule="auto"/>
        <w:rPr>
          <w:rFonts w:cs="Arial"/>
        </w:rPr>
      </w:pPr>
      <w:r w:rsidRPr="00FE2618">
        <w:rPr>
          <w:rFonts w:cs="Arial"/>
        </w:rPr>
        <w:t xml:space="preserve">Email: </w:t>
      </w:r>
      <w:hyperlink r:id="rId12" w:history="1">
        <w:r w:rsidRPr="00FE2618">
          <w:rPr>
            <w:rStyle w:val="Hyperlink"/>
            <w:rFonts w:cs="Arial"/>
            <w:color w:val="auto"/>
          </w:rPr>
          <w:t>cmpf@mpf.mp.br</w:t>
        </w:r>
      </w:hyperlink>
    </w:p>
    <w:p w:rsidR="00F03153" w:rsidRPr="00FE2618" w:rsidRDefault="005534BC" w:rsidP="00FE2618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  <w:r w:rsidRPr="00E617F4">
        <w:rPr>
          <w:rFonts w:cs="Arial"/>
          <w:sz w:val="16"/>
          <w:szCs w:val="16"/>
          <w:lang w:val="en-US"/>
        </w:rPr>
        <w:t xml:space="preserve">Salutation: </w:t>
      </w:r>
      <w:r w:rsidR="00E10E16">
        <w:rPr>
          <w:rFonts w:cs="Arial"/>
          <w:sz w:val="16"/>
          <w:szCs w:val="16"/>
          <w:lang w:val="en-US"/>
        </w:rPr>
        <w:t>Dear Attorney General</w:t>
      </w:r>
    </w:p>
    <w:p w:rsidR="009942A1" w:rsidRDefault="009942A1" w:rsidP="00FE2618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FE2618" w:rsidRPr="00FE2618" w:rsidRDefault="00FE2618" w:rsidP="009F36EE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FE2618">
        <w:rPr>
          <w:rFonts w:ascii="Arial" w:hAnsi="Arial" w:cs="Arial"/>
          <w:sz w:val="16"/>
          <w:szCs w:val="16"/>
          <w:u w:val="single"/>
        </w:rPr>
        <w:t>Ambassador Sergio Silva do Amaral</w:t>
      </w:r>
    </w:p>
    <w:p w:rsidR="00FE2618" w:rsidRPr="00FE2618" w:rsidRDefault="00FE2618" w:rsidP="009F36EE">
      <w:pPr>
        <w:pStyle w:val="PlainText"/>
        <w:rPr>
          <w:rFonts w:ascii="Arial" w:hAnsi="Arial" w:cs="Arial"/>
          <w:sz w:val="16"/>
          <w:szCs w:val="16"/>
        </w:rPr>
      </w:pPr>
      <w:r w:rsidRPr="00FE2618">
        <w:rPr>
          <w:rFonts w:ascii="Arial" w:hAnsi="Arial" w:cs="Arial"/>
          <w:sz w:val="16"/>
          <w:szCs w:val="16"/>
        </w:rPr>
        <w:t>Embassy of Brazil</w:t>
      </w:r>
    </w:p>
    <w:p w:rsidR="00FE2618" w:rsidRPr="00FE2618" w:rsidRDefault="00FE2618" w:rsidP="009F36EE">
      <w:pPr>
        <w:pStyle w:val="PlainText"/>
        <w:rPr>
          <w:rFonts w:ascii="Arial" w:hAnsi="Arial" w:cs="Arial"/>
          <w:sz w:val="16"/>
          <w:szCs w:val="16"/>
        </w:rPr>
      </w:pPr>
      <w:r w:rsidRPr="00FE2618">
        <w:rPr>
          <w:rFonts w:ascii="Arial" w:hAnsi="Arial" w:cs="Arial"/>
          <w:sz w:val="16"/>
          <w:szCs w:val="16"/>
        </w:rPr>
        <w:t>3006 Massachusetts Ave. NW, Washington DC 20008</w:t>
      </w:r>
    </w:p>
    <w:p w:rsidR="00FE2618" w:rsidRPr="00FE2618" w:rsidRDefault="00FE2618" w:rsidP="009F36EE">
      <w:pPr>
        <w:pStyle w:val="PlainText"/>
        <w:rPr>
          <w:rFonts w:ascii="Arial" w:hAnsi="Arial" w:cs="Arial"/>
          <w:sz w:val="16"/>
          <w:szCs w:val="16"/>
        </w:rPr>
      </w:pPr>
      <w:r w:rsidRPr="00FE2618">
        <w:rPr>
          <w:rFonts w:ascii="Arial" w:hAnsi="Arial" w:cs="Arial"/>
          <w:sz w:val="16"/>
          <w:szCs w:val="16"/>
        </w:rPr>
        <w:t xml:space="preserve">Phone: 1 202 238 2700 I Fax: 1 202 238 2827 </w:t>
      </w:r>
    </w:p>
    <w:p w:rsidR="00FE2618" w:rsidRPr="00FE2618" w:rsidRDefault="00FE2618" w:rsidP="009F36EE">
      <w:pPr>
        <w:pStyle w:val="PlainText"/>
        <w:rPr>
          <w:rFonts w:ascii="Arial" w:hAnsi="Arial" w:cs="Arial"/>
          <w:sz w:val="16"/>
          <w:szCs w:val="16"/>
        </w:rPr>
      </w:pPr>
      <w:r w:rsidRPr="00FE2618">
        <w:rPr>
          <w:rFonts w:ascii="Arial" w:hAnsi="Arial" w:cs="Arial"/>
          <w:sz w:val="16"/>
          <w:szCs w:val="16"/>
        </w:rPr>
        <w:t>Twitter: @BrazilinUSA</w:t>
      </w:r>
    </w:p>
    <w:p w:rsidR="00FE2618" w:rsidRPr="00FE2618" w:rsidRDefault="00FE2618" w:rsidP="009F36EE">
      <w:pPr>
        <w:pStyle w:val="PlainText"/>
        <w:rPr>
          <w:rFonts w:ascii="Arial" w:hAnsi="Arial" w:cs="Arial"/>
          <w:b/>
          <w:sz w:val="16"/>
          <w:szCs w:val="16"/>
        </w:rPr>
      </w:pPr>
      <w:r w:rsidRPr="00FE2618">
        <w:rPr>
          <w:rFonts w:ascii="Arial" w:hAnsi="Arial" w:cs="Arial"/>
          <w:b/>
          <w:sz w:val="16"/>
          <w:szCs w:val="16"/>
        </w:rPr>
        <w:t>Salutation: Dear Ambassador</w:t>
      </w:r>
    </w:p>
    <w:p w:rsidR="00FE2618" w:rsidRDefault="00FE2618" w:rsidP="009F36EE">
      <w:pPr>
        <w:pStyle w:val="PlainText"/>
        <w:rPr>
          <w:rFonts w:ascii="Courier New" w:hAnsi="Courier New" w:cs="Courier New"/>
        </w:rPr>
      </w:pPr>
    </w:p>
    <w:p w:rsidR="00FE2618" w:rsidRDefault="00FE2618" w:rsidP="009F36EE">
      <w:pPr>
        <w:pStyle w:val="PlainText"/>
        <w:rPr>
          <w:rFonts w:ascii="Courier New" w:hAnsi="Courier New" w:cs="Courier New"/>
        </w:rPr>
      </w:pPr>
    </w:p>
    <w:p w:rsidR="00FE2618" w:rsidRDefault="00FE2618" w:rsidP="009F36EE">
      <w:pPr>
        <w:pStyle w:val="PlainText"/>
        <w:rPr>
          <w:rFonts w:ascii="Courier New" w:hAnsi="Courier New" w:cs="Courier New"/>
        </w:rPr>
        <w:sectPr w:rsidR="00FE2618" w:rsidSect="00FE2618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FE2618" w:rsidRPr="009B1268" w:rsidRDefault="00FE2618" w:rsidP="00FE261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FE2618" w:rsidRPr="009B1268" w:rsidRDefault="00FE2618" w:rsidP="00FE26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>This is Urg</w:t>
      </w:r>
      <w:r>
        <w:rPr>
          <w:rFonts w:ascii="Arial" w:hAnsi="Arial" w:cs="Arial"/>
          <w:i/>
          <w:iCs/>
          <w:color w:val="000000"/>
          <w:sz w:val="20"/>
          <w:szCs w:val="20"/>
        </w:rPr>
        <w:t>ent Action 236.17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FE2618" w:rsidRPr="00C27E96" w:rsidRDefault="00FE2618" w:rsidP="00FE2618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FE2618" w:rsidRPr="009F36EE" w:rsidRDefault="00FE2618" w:rsidP="009F36EE">
      <w:pPr>
        <w:pStyle w:val="PlainText"/>
        <w:rPr>
          <w:rFonts w:ascii="Courier New" w:hAnsi="Courier New" w:cs="Courier New"/>
        </w:rPr>
      </w:pPr>
    </w:p>
    <w:p w:rsidR="0026766F" w:rsidRPr="00F95961" w:rsidRDefault="0026766F" w:rsidP="00FE2618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FC3E14" w:rsidP="00FE2618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law </w:t>
      </w:r>
      <w:r w:rsidR="004E313C">
        <w:rPr>
          <w:rStyle w:val="AIHeadline"/>
          <w:rFonts w:cs="Arial"/>
          <w:snapToGrid w:val="0"/>
          <w:sz w:val="38"/>
          <w:szCs w:val="38"/>
        </w:rPr>
        <w:t xml:space="preserve">leading </w:t>
      </w:r>
      <w:r w:rsidR="009A4E4B">
        <w:rPr>
          <w:rStyle w:val="AIHeadline"/>
          <w:rFonts w:cs="Arial"/>
          <w:snapToGrid w:val="0"/>
          <w:sz w:val="38"/>
          <w:szCs w:val="38"/>
        </w:rPr>
        <w:t>to military impunity</w:t>
      </w:r>
      <w:r w:rsidR="00916567">
        <w:rPr>
          <w:rStyle w:val="AIHeadline"/>
          <w:rFonts w:cs="Arial"/>
          <w:snapToGrid w:val="0"/>
          <w:sz w:val="38"/>
          <w:szCs w:val="38"/>
        </w:rPr>
        <w:t xml:space="preserve"> sanctioned</w:t>
      </w:r>
    </w:p>
    <w:p w:rsidR="0026766F" w:rsidRDefault="0026766F" w:rsidP="00FE2618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C44C0" w:rsidRDefault="003C44C0" w:rsidP="00FE2618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3C44C0">
        <w:rPr>
          <w:rFonts w:cs="Arial"/>
          <w:color w:val="000000"/>
          <w:sz w:val="18"/>
          <w:szCs w:val="18"/>
          <w:lang w:val="en-US" w:eastAsia="zh-CN"/>
        </w:rPr>
        <w:t>Trials by military courts of serving military personnel for alleged breaches of military discipline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are not considered incompatible with international human rights standards</w:t>
      </w:r>
      <w:r>
        <w:rPr>
          <w:rFonts w:cs="Arial"/>
          <w:color w:val="000000"/>
          <w:sz w:val="18"/>
          <w:szCs w:val="18"/>
          <w:lang w:val="en-US" w:eastAsia="zh-CN"/>
        </w:rPr>
        <w:t>,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 xml:space="preserve"> as long as the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courts are independent and impartial and the alleged breaches are not “ordinary crimes”,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violations of human rights or crimes under international law. If the offence is “criminal” in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nature under human rights law, fair trial rights must be respected.</w:t>
      </w:r>
    </w:p>
    <w:p w:rsidR="006768FF" w:rsidRDefault="006768FF" w:rsidP="00FE2618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current Superior Military </w:t>
      </w:r>
      <w:r w:rsidR="008A165F" w:rsidRPr="009D73C1">
        <w:rPr>
          <w:rFonts w:cs="Arial"/>
          <w:color w:val="000000"/>
          <w:sz w:val="18"/>
          <w:szCs w:val="18"/>
          <w:lang w:val="en-US" w:eastAsia="zh-CN"/>
        </w:rPr>
        <w:t xml:space="preserve">Court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i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s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 xml:space="preserve"> composed of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15 ministers,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of Aeronautics,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four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of the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Army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,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and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 Generals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from the Navy.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composition of the Court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is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clos</w:t>
      </w:r>
      <w:r w:rsidR="004D4C1F" w:rsidRPr="009D73C1">
        <w:rPr>
          <w:rFonts w:cs="Arial"/>
          <w:color w:val="000000"/>
          <w:sz w:val="18"/>
          <w:szCs w:val="18"/>
          <w:lang w:val="en-US" w:eastAsia="zh-CN"/>
        </w:rPr>
        <w:t xml:space="preserve">ely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linked to the Armed Forces, and the military ministers of the Superior Military </w:t>
      </w:r>
      <w:r w:rsidR="00512BE7">
        <w:rPr>
          <w:rFonts w:cs="Arial"/>
          <w:color w:val="000000"/>
          <w:sz w:val="18"/>
          <w:szCs w:val="18"/>
          <w:lang w:val="en-US" w:eastAsia="zh-CN"/>
        </w:rPr>
        <w:t xml:space="preserve">Courts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do not dissociate themselves from the Armed Forces, according to article 3, paragraph 2, of Law No. 8.457/92.</w:t>
      </w:r>
    </w:p>
    <w:p w:rsidR="009A4E4B" w:rsidRDefault="00C903CC" w:rsidP="00FE2618">
      <w:pPr>
        <w:rPr>
          <w:rFonts w:ascii="Arial" w:hAnsi="Arial" w:cs="Arial"/>
          <w:sz w:val="18"/>
          <w:szCs w:val="18"/>
          <w:lang w:val="en-US" w:eastAsia="en-US"/>
        </w:rPr>
      </w:pPr>
      <w:r w:rsidRPr="009D73C1">
        <w:rPr>
          <w:rFonts w:ascii="Arial" w:hAnsi="Arial" w:cs="Arial"/>
          <w:color w:val="000000"/>
          <w:sz w:val="18"/>
          <w:szCs w:val="18"/>
          <w:lang w:val="en-US"/>
        </w:rPr>
        <w:t>Brazilian authorities have us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Armed Forces for policing major urban areas in a strategic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attempt 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>to contain the high levels of violence.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Brazil has the highest number of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murders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 the world, with 59,080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murder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victims in 2015.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rates, as well as other criminal rates, have been increasing 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throughout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country over the past few decades.</w:t>
      </w:r>
      <w:r w:rsidR="006768FF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In an attempt to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fight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insecurity and reduce violence, the security forces have made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widespread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use of extrajudicial executions.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state of Rio de Janeiro, police kill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more than 10,000 people between 2005 and 2016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, while in the state of São Paulo police killed more than 2,000 people between 2015 and 2016.</w:t>
      </w:r>
      <w:r w:rsid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</w:p>
    <w:p w:rsidR="009A4E4B" w:rsidRDefault="009A4E4B" w:rsidP="00FE2618">
      <w:pPr>
        <w:rPr>
          <w:rFonts w:ascii="Arial" w:hAnsi="Arial" w:cs="Arial"/>
          <w:sz w:val="18"/>
          <w:szCs w:val="18"/>
          <w:lang w:val="en-US" w:eastAsia="en-US"/>
        </w:rPr>
      </w:pPr>
    </w:p>
    <w:p w:rsidR="00D35ED7" w:rsidRDefault="009A4E4B" w:rsidP="00FE2618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hrough the Law and Order Guarantee (GLO) operations, an instrument regulated by the Federal Constitution,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the federal government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has increasing</w:t>
      </w:r>
      <w:r>
        <w:rPr>
          <w:rFonts w:ascii="Arial" w:hAnsi="Arial" w:cs="Arial"/>
          <w:sz w:val="18"/>
          <w:szCs w:val="18"/>
          <w:lang w:val="en-US" w:eastAsia="en-US"/>
        </w:rPr>
        <w:t>ly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use</w:t>
      </w:r>
      <w:r>
        <w:rPr>
          <w:rFonts w:ascii="Arial" w:hAnsi="Arial" w:cs="Arial"/>
          <w:sz w:val="18"/>
          <w:szCs w:val="18"/>
          <w:lang w:val="en-US" w:eastAsia="en-US"/>
        </w:rPr>
        <w:t>d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 w:eastAsia="en-US"/>
        </w:rPr>
        <w:t>the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military forces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to act as police in certain </w:t>
      </w:r>
      <w:r>
        <w:rPr>
          <w:rFonts w:ascii="Arial" w:hAnsi="Arial" w:cs="Arial"/>
          <w:color w:val="000000"/>
          <w:sz w:val="18"/>
          <w:szCs w:val="18"/>
          <w:lang w:val="en-US"/>
        </w:rPr>
        <w:t>cities throughout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the country.</w:t>
      </w:r>
      <w:r w:rsidR="00D35E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However, the actions of the Armed Forces not </w:t>
      </w:r>
      <w:r>
        <w:rPr>
          <w:rFonts w:ascii="Arial" w:hAnsi="Arial" w:cs="Arial"/>
          <w:color w:val="000000"/>
          <w:sz w:val="18"/>
          <w:szCs w:val="18"/>
          <w:lang w:val="en-US"/>
        </w:rPr>
        <w:t>differed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from the violent practices by police.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In June 2007, a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policing intervention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with the support of the National  Forces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in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Complexo do Alemão,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Rio de Janeiro,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resulted in 19 people killed, some with strong evidence of extrajudicial executions, according to independent experts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In June 2008,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military personnel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who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had been deployed to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Morro da Providência</w:t>
      </w:r>
      <w:r>
        <w:rPr>
          <w:rFonts w:ascii="Arial" w:hAnsi="Arial" w:cs="Arial"/>
          <w:color w:val="000000"/>
          <w:sz w:val="18"/>
          <w:szCs w:val="18"/>
          <w:lang w:val="en-US"/>
        </w:rPr>
        <w:t>, Rio de Janeiro,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responsible for the death of three young men, who were handed over by the military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themselves to a criminal group</w:t>
      </w:r>
      <w:r w:rsidR="00D35ED7" w:rsidRPr="009D73C1">
        <w:rPr>
          <w:rFonts w:ascii="Arial" w:hAnsi="Arial" w:cs="Arial"/>
          <w:sz w:val="18"/>
          <w:szCs w:val="18"/>
          <w:lang w:val="en-US"/>
        </w:rPr>
        <w:t xml:space="preserve">.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In December 2011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a teenager was killed in Complexo do Alemão and eight militar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>y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found responsible. 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B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etween 2014 and 2015 the Armed Forces remained in the Maré Complex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93013C">
        <w:rPr>
          <w:rFonts w:ascii="Arial" w:hAnsi="Arial" w:cs="Arial"/>
          <w:color w:val="000000"/>
          <w:sz w:val="18"/>
          <w:szCs w:val="18"/>
          <w:lang w:val="en-US"/>
        </w:rPr>
        <w:t>for 15 months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, a period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marked by a number of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human rights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violations committed by the military. The most emblematic case is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that of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>Victor Santiago, who had to amputate his leg after being shot at by the military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 (for more information, see </w:t>
      </w:r>
      <w:r w:rsidR="004D4C1F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A legacy of violence: Killings by police and repression of protest at the Rio 2016 Olympics,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https://www.amnesty.org/en/documents/amr19/4780/2016/en/)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</w:p>
    <w:p w:rsidR="0093013C" w:rsidRPr="0093013C" w:rsidRDefault="0093013C" w:rsidP="00FE2618">
      <w:pPr>
        <w:rPr>
          <w:rFonts w:ascii="Arial" w:hAnsi="Arial" w:cs="Arial"/>
          <w:sz w:val="18"/>
          <w:szCs w:val="18"/>
          <w:lang w:val="en-US"/>
        </w:rPr>
      </w:pPr>
    </w:p>
    <w:p w:rsidR="00D35ED7" w:rsidRDefault="00153F7B" w:rsidP="00FE2618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</w:t>
      </w:r>
      <w:r w:rsidRPr="00153F7B">
        <w:rPr>
          <w:rFonts w:ascii="Arial" w:hAnsi="Arial" w:cs="Arial"/>
          <w:color w:val="000000"/>
          <w:sz w:val="18"/>
          <w:szCs w:val="18"/>
          <w:lang w:val="en-US"/>
        </w:rPr>
        <w:t>n the beginning of October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the Army Command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er </w:t>
      </w:r>
      <w:r w:rsidRPr="00153F7B">
        <w:rPr>
          <w:rFonts w:ascii="Arial" w:hAnsi="Arial" w:cs="Arial"/>
          <w:sz w:val="18"/>
          <w:szCs w:val="18"/>
        </w:rPr>
        <w:t>Eduardo Dias da Costa Villas Bôas</w:t>
      </w:r>
      <w:r w:rsidR="002B052E" w:rsidRPr="00153F7B">
        <w:rPr>
          <w:rFonts w:ascii="Arial" w:hAnsi="Arial" w:cs="Arial"/>
          <w:sz w:val="18"/>
          <w:szCs w:val="18"/>
          <w:lang w:val="en-US"/>
        </w:rPr>
        <w:t xml:space="preserve"> 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publicly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said that militar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y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do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 no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 have legal guarantees for their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 performance in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law and order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or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policing o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perations</w:t>
      </w:r>
      <w:r w:rsidR="00D35ED7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He added that it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is necessary to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provide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security to the military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when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"combat"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against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criminals.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190FF7" w:rsidRPr="00190FF7">
        <w:rPr>
          <w:rFonts w:ascii="Arial" w:hAnsi="Arial" w:cs="Arial"/>
          <w:color w:val="000000"/>
          <w:sz w:val="18"/>
          <w:szCs w:val="18"/>
          <w:lang w:val="en-US"/>
        </w:rPr>
        <w:t>This public statement increase concerns about the law no. 13.491, as it clearly show</w:t>
      </w:r>
      <w:r w:rsidR="00447B92">
        <w:rPr>
          <w:rFonts w:ascii="Arial" w:hAnsi="Arial" w:cs="Arial"/>
          <w:color w:val="000000"/>
          <w:sz w:val="18"/>
          <w:szCs w:val="18"/>
          <w:lang w:val="en-US"/>
        </w:rPr>
        <w:t>s</w:t>
      </w:r>
      <w:r w:rsidR="00190FF7" w:rsidRPr="00190FF7">
        <w:rPr>
          <w:rFonts w:ascii="Arial" w:hAnsi="Arial" w:cs="Arial"/>
          <w:color w:val="000000"/>
          <w:sz w:val="18"/>
          <w:szCs w:val="18"/>
          <w:lang w:val="en-US"/>
        </w:rPr>
        <w:t xml:space="preserve"> the intention of opens a path to impunity.</w:t>
      </w:r>
    </w:p>
    <w:p w:rsidR="00FF7938" w:rsidRDefault="00FF7938" w:rsidP="00FE2618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F7938" w:rsidRDefault="006247EE" w:rsidP="00FE2618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6247EE">
        <w:rPr>
          <w:rFonts w:ascii="Arial" w:hAnsi="Arial" w:cs="Arial"/>
          <w:color w:val="000000"/>
          <w:sz w:val="18"/>
          <w:szCs w:val="18"/>
          <w:lang w:val="en-US"/>
        </w:rPr>
        <w:t>It falls under the Attorney General's mandate to appeal to the Supreme Court in such cases.</w:t>
      </w:r>
    </w:p>
    <w:p w:rsidR="006247EE" w:rsidRDefault="006247EE" w:rsidP="00FE2618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6247EE" w:rsidRPr="009D73C1" w:rsidRDefault="006247EE" w:rsidP="00FE2618">
      <w:pPr>
        <w:rPr>
          <w:rFonts w:ascii="Arial" w:hAnsi="Arial" w:cs="Arial"/>
          <w:sz w:val="18"/>
          <w:szCs w:val="18"/>
          <w:lang w:val="en-US"/>
        </w:rPr>
      </w:pPr>
    </w:p>
    <w:p w:rsidR="0026766F" w:rsidRPr="00F95961" w:rsidRDefault="0026766F" w:rsidP="00FE2618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FE2618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5F28A2" w:rsidP="00FE26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26766F" w:rsidRPr="00F95961">
        <w:rPr>
          <w:rFonts w:ascii="Arial" w:hAnsi="Arial" w:cs="Arial"/>
          <w:sz w:val="16"/>
          <w:szCs w:val="16"/>
        </w:rPr>
        <w:t xml:space="preserve">UA: </w:t>
      </w:r>
      <w:r w:rsidR="00910E74">
        <w:rPr>
          <w:rFonts w:ascii="Arial" w:hAnsi="Arial" w:cs="Arial"/>
          <w:sz w:val="16"/>
          <w:szCs w:val="16"/>
        </w:rPr>
        <w:t>236/17</w:t>
      </w:r>
      <w:r w:rsidR="00910E74" w:rsidRPr="00F95961">
        <w:rPr>
          <w:rFonts w:ascii="Arial" w:hAnsi="Arial" w:cs="Arial"/>
          <w:sz w:val="16"/>
          <w:szCs w:val="16"/>
        </w:rPr>
        <w:t xml:space="preserve"> </w:t>
      </w:r>
      <w:r w:rsidR="0026766F" w:rsidRPr="00F95961">
        <w:rPr>
          <w:rFonts w:ascii="Arial" w:hAnsi="Arial" w:cs="Arial"/>
          <w:sz w:val="16"/>
          <w:szCs w:val="16"/>
        </w:rPr>
        <w:t xml:space="preserve">Index: </w:t>
      </w:r>
      <w:r w:rsidR="00910E74">
        <w:rPr>
          <w:rFonts w:ascii="Arial" w:hAnsi="Arial" w:cs="Arial"/>
          <w:sz w:val="16"/>
          <w:szCs w:val="16"/>
        </w:rPr>
        <w:t>AMR 19/</w:t>
      </w:r>
      <w:r w:rsidR="00154169">
        <w:rPr>
          <w:rFonts w:ascii="Arial" w:hAnsi="Arial" w:cs="Arial"/>
          <w:sz w:val="16"/>
          <w:szCs w:val="16"/>
        </w:rPr>
        <w:t>7340</w:t>
      </w:r>
      <w:r w:rsidR="00910E74">
        <w:rPr>
          <w:rFonts w:ascii="Arial" w:hAnsi="Arial" w:cs="Arial"/>
          <w:sz w:val="16"/>
          <w:szCs w:val="16"/>
        </w:rPr>
        <w:t>/2017</w:t>
      </w:r>
      <w:r w:rsidR="0026766F" w:rsidRPr="00F95961">
        <w:rPr>
          <w:rFonts w:ascii="Arial" w:hAnsi="Arial" w:cs="Arial"/>
          <w:sz w:val="16"/>
          <w:szCs w:val="16"/>
        </w:rPr>
        <w:t xml:space="preserve"> Issue Date: </w:t>
      </w:r>
      <w:r>
        <w:rPr>
          <w:rFonts w:ascii="Arial" w:hAnsi="Arial" w:cs="Arial"/>
          <w:sz w:val="16"/>
          <w:szCs w:val="16"/>
        </w:rPr>
        <w:t>2</w:t>
      </w:r>
      <w:r w:rsidR="005D2FF9">
        <w:rPr>
          <w:rFonts w:ascii="Arial" w:hAnsi="Arial" w:cs="Arial"/>
          <w:sz w:val="16"/>
          <w:szCs w:val="16"/>
        </w:rPr>
        <w:t>5</w:t>
      </w:r>
      <w:r w:rsidR="00910E74">
        <w:rPr>
          <w:rFonts w:ascii="Arial" w:hAnsi="Arial" w:cs="Arial"/>
          <w:sz w:val="16"/>
          <w:szCs w:val="16"/>
        </w:rPr>
        <w:t xml:space="preserve"> October 2017</w:t>
      </w:r>
    </w:p>
    <w:sectPr w:rsidR="0026766F" w:rsidRPr="00F95961" w:rsidSect="00FE2618">
      <w:footerReference w:type="default" r:id="rId14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3F" w:rsidRDefault="006D293F">
      <w:r>
        <w:separator/>
      </w:r>
    </w:p>
  </w:endnote>
  <w:endnote w:type="continuationSeparator" w:id="0">
    <w:p w:rsidR="006D293F" w:rsidRDefault="006D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8" w:rsidRPr="00D158C3" w:rsidRDefault="00FE2618" w:rsidP="00FE26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FE2618" w:rsidRPr="00D158C3" w:rsidRDefault="00FE2618" w:rsidP="00FE26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FF7938" w:rsidRPr="00D0106D" w:rsidRDefault="00FF793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8" w:rsidRDefault="006D293F">
    <w:pPr>
      <w:pStyle w:val="Footer"/>
    </w:pPr>
    <w:r w:rsidRPr="006D293F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Description: 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8" w:rsidRPr="00D158C3" w:rsidRDefault="00FE2618" w:rsidP="00FE26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FE2618" w:rsidRPr="00D158C3" w:rsidRDefault="00FE2618" w:rsidP="00FE2618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FE2618" w:rsidRPr="00D0106D" w:rsidRDefault="00FE261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3F" w:rsidRDefault="006D293F">
      <w:r>
        <w:separator/>
      </w:r>
    </w:p>
  </w:footnote>
  <w:footnote w:type="continuationSeparator" w:id="0">
    <w:p w:rsidR="006D293F" w:rsidRDefault="006D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8" w:rsidRPr="00D0106D" w:rsidRDefault="00FF7938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8" w:rsidRDefault="00FF7938"/>
  <w:p w:rsidR="00FF7938" w:rsidRDefault="00FF7938"/>
  <w:p w:rsidR="00FF7938" w:rsidRPr="00136E9F" w:rsidRDefault="00FF7938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Pr="00136E9F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236/17</w:t>
    </w:r>
    <w:r w:rsidRPr="00136E9F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sz w:val="16"/>
        <w:szCs w:val="16"/>
      </w:rPr>
      <w:t>AMR 19/7340/2017</w:t>
    </w:r>
    <w:r w:rsidRPr="00136E9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Brazil</w:t>
    </w:r>
    <w:r w:rsidRPr="00136E9F">
      <w:rPr>
        <w:rFonts w:ascii="Arial" w:hAnsi="Arial" w:cs="Arial"/>
        <w:sz w:val="16"/>
        <w:szCs w:val="16"/>
      </w:rPr>
      <w:tab/>
      <w:t xml:space="preserve">Date: </w:t>
    </w:r>
    <w:r w:rsidR="005D2FF9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 xml:space="preserve"> October 2017</w:t>
    </w:r>
  </w:p>
  <w:p w:rsidR="00FF7938" w:rsidRPr="00136E9F" w:rsidRDefault="00FF793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49E5"/>
    <w:rsid w:val="00015904"/>
    <w:rsid w:val="00023EE0"/>
    <w:rsid w:val="000278C0"/>
    <w:rsid w:val="00034B56"/>
    <w:rsid w:val="0004070C"/>
    <w:rsid w:val="00044ECE"/>
    <w:rsid w:val="00045205"/>
    <w:rsid w:val="00046D53"/>
    <w:rsid w:val="000B23F7"/>
    <w:rsid w:val="000B64E8"/>
    <w:rsid w:val="000D2898"/>
    <w:rsid w:val="000F0AF1"/>
    <w:rsid w:val="000F11B8"/>
    <w:rsid w:val="000F5D92"/>
    <w:rsid w:val="00105EB7"/>
    <w:rsid w:val="00114598"/>
    <w:rsid w:val="0011753D"/>
    <w:rsid w:val="00124D10"/>
    <w:rsid w:val="00136E9F"/>
    <w:rsid w:val="001411BF"/>
    <w:rsid w:val="00153F7B"/>
    <w:rsid w:val="00154169"/>
    <w:rsid w:val="001624EA"/>
    <w:rsid w:val="001671E0"/>
    <w:rsid w:val="00190FF7"/>
    <w:rsid w:val="001951FB"/>
    <w:rsid w:val="00196F3C"/>
    <w:rsid w:val="001B7B2B"/>
    <w:rsid w:val="001D19C3"/>
    <w:rsid w:val="001E0993"/>
    <w:rsid w:val="001E6C44"/>
    <w:rsid w:val="00213BD6"/>
    <w:rsid w:val="00237C53"/>
    <w:rsid w:val="00261D13"/>
    <w:rsid w:val="002641CB"/>
    <w:rsid w:val="0026766F"/>
    <w:rsid w:val="0027166B"/>
    <w:rsid w:val="002818A1"/>
    <w:rsid w:val="00284554"/>
    <w:rsid w:val="00284B0C"/>
    <w:rsid w:val="002923B7"/>
    <w:rsid w:val="00292A8A"/>
    <w:rsid w:val="002932CE"/>
    <w:rsid w:val="002A0A32"/>
    <w:rsid w:val="002B052E"/>
    <w:rsid w:val="002D4885"/>
    <w:rsid w:val="002F6C91"/>
    <w:rsid w:val="00310926"/>
    <w:rsid w:val="003212CE"/>
    <w:rsid w:val="00347243"/>
    <w:rsid w:val="00363C13"/>
    <w:rsid w:val="00390D35"/>
    <w:rsid w:val="003A2A73"/>
    <w:rsid w:val="003B0ACE"/>
    <w:rsid w:val="003C44C0"/>
    <w:rsid w:val="003D377A"/>
    <w:rsid w:val="003F637E"/>
    <w:rsid w:val="004071FA"/>
    <w:rsid w:val="00415A74"/>
    <w:rsid w:val="00417001"/>
    <w:rsid w:val="00447B92"/>
    <w:rsid w:val="00467EBE"/>
    <w:rsid w:val="00475586"/>
    <w:rsid w:val="00483E30"/>
    <w:rsid w:val="0049129A"/>
    <w:rsid w:val="004C2FCD"/>
    <w:rsid w:val="004C4F14"/>
    <w:rsid w:val="004D19C7"/>
    <w:rsid w:val="004D4C1F"/>
    <w:rsid w:val="004E313C"/>
    <w:rsid w:val="004E6A6E"/>
    <w:rsid w:val="005040F2"/>
    <w:rsid w:val="00512BE7"/>
    <w:rsid w:val="005149A9"/>
    <w:rsid w:val="0053493A"/>
    <w:rsid w:val="0053584A"/>
    <w:rsid w:val="005534BC"/>
    <w:rsid w:val="00566042"/>
    <w:rsid w:val="00566A4F"/>
    <w:rsid w:val="005752D1"/>
    <w:rsid w:val="00587F4D"/>
    <w:rsid w:val="005962DE"/>
    <w:rsid w:val="005A36D3"/>
    <w:rsid w:val="005A4593"/>
    <w:rsid w:val="005A6BFB"/>
    <w:rsid w:val="005B0F8A"/>
    <w:rsid w:val="005C2CBA"/>
    <w:rsid w:val="005C41FB"/>
    <w:rsid w:val="005C7072"/>
    <w:rsid w:val="005D08DE"/>
    <w:rsid w:val="005D159E"/>
    <w:rsid w:val="005D2CD7"/>
    <w:rsid w:val="005D2FF9"/>
    <w:rsid w:val="005D54C2"/>
    <w:rsid w:val="005E3947"/>
    <w:rsid w:val="005F0D06"/>
    <w:rsid w:val="005F28A2"/>
    <w:rsid w:val="005F29C5"/>
    <w:rsid w:val="005F4535"/>
    <w:rsid w:val="005F7A9D"/>
    <w:rsid w:val="00606C38"/>
    <w:rsid w:val="006247EE"/>
    <w:rsid w:val="00631C60"/>
    <w:rsid w:val="006768FF"/>
    <w:rsid w:val="00680B56"/>
    <w:rsid w:val="006814D6"/>
    <w:rsid w:val="006820E8"/>
    <w:rsid w:val="00697F84"/>
    <w:rsid w:val="006A7099"/>
    <w:rsid w:val="006C2190"/>
    <w:rsid w:val="006C3DE2"/>
    <w:rsid w:val="006D293F"/>
    <w:rsid w:val="007179E8"/>
    <w:rsid w:val="00736B40"/>
    <w:rsid w:val="0073799C"/>
    <w:rsid w:val="007479B8"/>
    <w:rsid w:val="007620A6"/>
    <w:rsid w:val="0077354F"/>
    <w:rsid w:val="00782D43"/>
    <w:rsid w:val="00795D45"/>
    <w:rsid w:val="00795E76"/>
    <w:rsid w:val="007A1959"/>
    <w:rsid w:val="007A5DA8"/>
    <w:rsid w:val="007C3DBE"/>
    <w:rsid w:val="007C4A33"/>
    <w:rsid w:val="007D1751"/>
    <w:rsid w:val="007E0CAD"/>
    <w:rsid w:val="007E57A7"/>
    <w:rsid w:val="007F395A"/>
    <w:rsid w:val="00815508"/>
    <w:rsid w:val="008224D0"/>
    <w:rsid w:val="008241AB"/>
    <w:rsid w:val="00832E0B"/>
    <w:rsid w:val="00850DFC"/>
    <w:rsid w:val="0086100E"/>
    <w:rsid w:val="00861D2E"/>
    <w:rsid w:val="0086363D"/>
    <w:rsid w:val="008701B2"/>
    <w:rsid w:val="00875E19"/>
    <w:rsid w:val="00897936"/>
    <w:rsid w:val="008A165F"/>
    <w:rsid w:val="008A32B1"/>
    <w:rsid w:val="008B35FE"/>
    <w:rsid w:val="008C6392"/>
    <w:rsid w:val="008E48B0"/>
    <w:rsid w:val="008F64FC"/>
    <w:rsid w:val="00910E74"/>
    <w:rsid w:val="009144AA"/>
    <w:rsid w:val="009144DC"/>
    <w:rsid w:val="00914576"/>
    <w:rsid w:val="00916567"/>
    <w:rsid w:val="0093013C"/>
    <w:rsid w:val="00946781"/>
    <w:rsid w:val="00950C7F"/>
    <w:rsid w:val="00951D25"/>
    <w:rsid w:val="00963CA3"/>
    <w:rsid w:val="009810F1"/>
    <w:rsid w:val="00985339"/>
    <w:rsid w:val="00987C31"/>
    <w:rsid w:val="009942A1"/>
    <w:rsid w:val="009971C5"/>
    <w:rsid w:val="009A4E4B"/>
    <w:rsid w:val="009B504F"/>
    <w:rsid w:val="009C0BC3"/>
    <w:rsid w:val="009D3FF0"/>
    <w:rsid w:val="009D5F0B"/>
    <w:rsid w:val="009D73C1"/>
    <w:rsid w:val="009E0910"/>
    <w:rsid w:val="009E732D"/>
    <w:rsid w:val="009F4BB3"/>
    <w:rsid w:val="00A05D1E"/>
    <w:rsid w:val="00A258E2"/>
    <w:rsid w:val="00A56F3B"/>
    <w:rsid w:val="00AA19AB"/>
    <w:rsid w:val="00AB6877"/>
    <w:rsid w:val="00AF4CF9"/>
    <w:rsid w:val="00B043D9"/>
    <w:rsid w:val="00B06E79"/>
    <w:rsid w:val="00B07183"/>
    <w:rsid w:val="00B22D7A"/>
    <w:rsid w:val="00B30C4E"/>
    <w:rsid w:val="00B4432F"/>
    <w:rsid w:val="00B60FB0"/>
    <w:rsid w:val="00B811E7"/>
    <w:rsid w:val="00B84EF8"/>
    <w:rsid w:val="00B9147D"/>
    <w:rsid w:val="00B96B23"/>
    <w:rsid w:val="00B96D9D"/>
    <w:rsid w:val="00BA31FC"/>
    <w:rsid w:val="00BB1A39"/>
    <w:rsid w:val="00BC4721"/>
    <w:rsid w:val="00BE4AEB"/>
    <w:rsid w:val="00C24D99"/>
    <w:rsid w:val="00C264C5"/>
    <w:rsid w:val="00C47544"/>
    <w:rsid w:val="00C61695"/>
    <w:rsid w:val="00C63064"/>
    <w:rsid w:val="00C64997"/>
    <w:rsid w:val="00C71602"/>
    <w:rsid w:val="00C72CAF"/>
    <w:rsid w:val="00C81463"/>
    <w:rsid w:val="00C84228"/>
    <w:rsid w:val="00C86E9C"/>
    <w:rsid w:val="00C903CC"/>
    <w:rsid w:val="00CA5210"/>
    <w:rsid w:val="00CD10E7"/>
    <w:rsid w:val="00CE6658"/>
    <w:rsid w:val="00D0106D"/>
    <w:rsid w:val="00D03746"/>
    <w:rsid w:val="00D20DEB"/>
    <w:rsid w:val="00D23FED"/>
    <w:rsid w:val="00D32DD2"/>
    <w:rsid w:val="00D35ED7"/>
    <w:rsid w:val="00D43B78"/>
    <w:rsid w:val="00D56B0B"/>
    <w:rsid w:val="00D63AA5"/>
    <w:rsid w:val="00D6401F"/>
    <w:rsid w:val="00D6474C"/>
    <w:rsid w:val="00D85FE8"/>
    <w:rsid w:val="00D93B32"/>
    <w:rsid w:val="00DB7B2F"/>
    <w:rsid w:val="00DC5F95"/>
    <w:rsid w:val="00DC5FB0"/>
    <w:rsid w:val="00DD777F"/>
    <w:rsid w:val="00DF0C26"/>
    <w:rsid w:val="00E10C90"/>
    <w:rsid w:val="00E10E16"/>
    <w:rsid w:val="00E20A21"/>
    <w:rsid w:val="00E23769"/>
    <w:rsid w:val="00E2387F"/>
    <w:rsid w:val="00E514B4"/>
    <w:rsid w:val="00E601DC"/>
    <w:rsid w:val="00E612D3"/>
    <w:rsid w:val="00E617F4"/>
    <w:rsid w:val="00E6735E"/>
    <w:rsid w:val="00E706DD"/>
    <w:rsid w:val="00E96397"/>
    <w:rsid w:val="00E97E64"/>
    <w:rsid w:val="00EA7847"/>
    <w:rsid w:val="00EB3D70"/>
    <w:rsid w:val="00EC130D"/>
    <w:rsid w:val="00EC1B13"/>
    <w:rsid w:val="00EC2C85"/>
    <w:rsid w:val="00ED61F1"/>
    <w:rsid w:val="00F03153"/>
    <w:rsid w:val="00F20743"/>
    <w:rsid w:val="00F25545"/>
    <w:rsid w:val="00F54365"/>
    <w:rsid w:val="00F54D1F"/>
    <w:rsid w:val="00F65BBE"/>
    <w:rsid w:val="00F745BE"/>
    <w:rsid w:val="00F7781E"/>
    <w:rsid w:val="00F95961"/>
    <w:rsid w:val="00FA7918"/>
    <w:rsid w:val="00FB157B"/>
    <w:rsid w:val="00FB5DB0"/>
    <w:rsid w:val="00FB7553"/>
    <w:rsid w:val="00FC3E14"/>
    <w:rsid w:val="00FC6E0C"/>
    <w:rsid w:val="00FD7143"/>
    <w:rsid w:val="00FE2618"/>
    <w:rsid w:val="00FF45EC"/>
    <w:rsid w:val="00FF64C6"/>
    <w:rsid w:val="00FF793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8958A5-224E-4862-A4BA-4B95075F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/>
      <w:b/>
      <w:i/>
      <w:sz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9E732D"/>
    <w:pPr>
      <w:spacing w:after="160" w:line="200" w:lineRule="exact"/>
    </w:pPr>
    <w:rPr>
      <w:rFonts w:ascii="Calibri" w:hAnsi="Calibri"/>
      <w:sz w:val="12"/>
      <w:szCs w:val="22"/>
      <w:lang w:val="pt-B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E732D"/>
    <w:rPr>
      <w:rFonts w:ascii="Calibri" w:hAnsi="Calibri"/>
      <w:sz w:val="22"/>
      <w:lang w:val="x-none" w:eastAsia="en-US"/>
    </w:rPr>
  </w:style>
  <w:style w:type="paragraph" w:styleId="NormalWeb">
    <w:name w:val="Normal (Web)"/>
    <w:basedOn w:val="Normal"/>
    <w:uiPriority w:val="99"/>
    <w:unhideWhenUsed/>
    <w:rsid w:val="00C63064"/>
    <w:pPr>
      <w:spacing w:before="100" w:beforeAutospacing="1" w:after="100" w:afterAutospacing="1"/>
    </w:pPr>
    <w:rPr>
      <w:lang w:val="pt-BR" w:eastAsia="pt-BR"/>
    </w:rPr>
  </w:style>
  <w:style w:type="paragraph" w:customStyle="1" w:styleId="Listavistosa-nfasis11">
    <w:name w:val="Lista vistosa - Énfasis 11"/>
    <w:basedOn w:val="Normal"/>
    <w:uiPriority w:val="34"/>
    <w:qFormat/>
    <w:rsid w:val="00D35E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rsid w:val="00B9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6B23"/>
    <w:rPr>
      <w:rFonts w:ascii="Segoe UI" w:hAnsi="Segoe UI"/>
      <w:sz w:val="18"/>
      <w:lang w:val="en-GB" w:eastAsia="zh-CN"/>
    </w:rPr>
  </w:style>
  <w:style w:type="character" w:styleId="FootnoteReference">
    <w:name w:val="footnote reference"/>
    <w:basedOn w:val="DefaultParagraphFont"/>
    <w:uiPriority w:val="99"/>
    <w:rsid w:val="00A56F3B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D4C1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D4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4C1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4C1F"/>
    <w:rPr>
      <w:b/>
      <w:lang w:val="en-GB" w:eastAsia="zh-CN"/>
    </w:rPr>
  </w:style>
  <w:style w:type="paragraph" w:customStyle="1" w:styleId="Sombreadovistoso-nfasis11">
    <w:name w:val="Sombreado vistoso - Énfasis 11"/>
    <w:hidden/>
    <w:uiPriority w:val="99"/>
    <w:semiHidden/>
    <w:rsid w:val="00261D13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FC3E14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rsid w:val="00FC3E14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FE2618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E261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pf@mpf.m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F241-BC32-49D7-A666-CCF3FE9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2017-10-10T22:32:00Z</cp:lastPrinted>
  <dcterms:created xsi:type="dcterms:W3CDTF">2017-10-25T17:08:00Z</dcterms:created>
  <dcterms:modified xsi:type="dcterms:W3CDTF">2017-10-25T17:08:00Z</dcterms:modified>
</cp:coreProperties>
</file>