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B419B6">
      <w:pPr>
        <w:pStyle w:val="AIUrgentActionTopHeading"/>
        <w:tabs>
          <w:tab w:val="clear" w:pos="567"/>
        </w:tabs>
        <w:spacing w:line="240" w:lineRule="auto"/>
        <w:rPr>
          <w:rFonts w:cs="Arial"/>
          <w:sz w:val="120"/>
          <w:szCs w:val="120"/>
        </w:rPr>
      </w:pPr>
      <w:r w:rsidRPr="00F95961">
        <w:rPr>
          <w:rFonts w:cs="Arial"/>
          <w:sz w:val="120"/>
          <w:szCs w:val="120"/>
        </w:rPr>
        <w:t>UR</w:t>
      </w:r>
      <w:bookmarkStart w:id="0" w:name="_GoBack"/>
      <w:bookmarkEnd w:id="0"/>
      <w:r w:rsidRPr="00F95961">
        <w:rPr>
          <w:rFonts w:cs="Arial"/>
          <w:sz w:val="120"/>
          <w:szCs w:val="120"/>
        </w:rPr>
        <w:t>GENT ACTION</w:t>
      </w:r>
    </w:p>
    <w:p w:rsidR="000F5EB5" w:rsidRPr="000F0AF1" w:rsidRDefault="00DE5964" w:rsidP="00B419B6">
      <w:pPr>
        <w:rPr>
          <w:rStyle w:val="AIHeadline"/>
          <w:rFonts w:cs="Arial"/>
          <w:sz w:val="38"/>
          <w:szCs w:val="38"/>
        </w:rPr>
      </w:pPr>
      <w:r>
        <w:rPr>
          <w:rStyle w:val="AIHeadline"/>
          <w:rFonts w:cs="Arial"/>
          <w:sz w:val="38"/>
          <w:szCs w:val="38"/>
        </w:rPr>
        <w:t xml:space="preserve">Falun Gong Practitioner </w:t>
      </w:r>
      <w:r w:rsidR="0017068C">
        <w:rPr>
          <w:rStyle w:val="AIHeadline"/>
          <w:rFonts w:cs="Arial"/>
          <w:sz w:val="38"/>
          <w:szCs w:val="38"/>
        </w:rPr>
        <w:t>indefinitely detained</w:t>
      </w:r>
    </w:p>
    <w:p w:rsidR="00306A02" w:rsidRPr="00306A02" w:rsidRDefault="009116A0" w:rsidP="008036A6">
      <w:pPr>
        <w:pStyle w:val="AIBodytext"/>
        <w:tabs>
          <w:tab w:val="clear" w:pos="567"/>
        </w:tabs>
        <w:spacing w:after="120" w:line="240" w:lineRule="auto"/>
        <w:rPr>
          <w:rFonts w:cs="Arial"/>
          <w:b/>
          <w:sz w:val="24"/>
          <w:szCs w:val="24"/>
        </w:rPr>
      </w:pPr>
      <w:r>
        <w:rPr>
          <w:b/>
          <w:sz w:val="24"/>
          <w:szCs w:val="24"/>
        </w:rPr>
        <w:t>A judge has asked the prosecutor to collect further evidence</w:t>
      </w:r>
      <w:r w:rsidRPr="00306A02">
        <w:rPr>
          <w:b/>
          <w:sz w:val="24"/>
          <w:szCs w:val="24"/>
        </w:rPr>
        <w:t xml:space="preserve"> </w:t>
      </w:r>
      <w:r>
        <w:rPr>
          <w:b/>
          <w:sz w:val="24"/>
          <w:szCs w:val="24"/>
        </w:rPr>
        <w:t xml:space="preserve">for the trial of </w:t>
      </w:r>
      <w:r w:rsidRPr="00306A02">
        <w:rPr>
          <w:b/>
          <w:sz w:val="24"/>
          <w:szCs w:val="24"/>
        </w:rPr>
        <w:t>Falun Gong practitioner</w:t>
      </w:r>
      <w:r>
        <w:rPr>
          <w:b/>
          <w:sz w:val="24"/>
          <w:szCs w:val="24"/>
        </w:rPr>
        <w:t>,</w:t>
      </w:r>
      <w:r w:rsidRPr="00306A02">
        <w:rPr>
          <w:b/>
          <w:sz w:val="24"/>
          <w:szCs w:val="24"/>
        </w:rPr>
        <w:t xml:space="preserve"> Chen Huixia</w:t>
      </w:r>
      <w:r>
        <w:rPr>
          <w:b/>
          <w:sz w:val="24"/>
          <w:szCs w:val="24"/>
        </w:rPr>
        <w:t>,</w:t>
      </w:r>
      <w:r w:rsidRPr="00306A02">
        <w:rPr>
          <w:b/>
          <w:sz w:val="24"/>
          <w:szCs w:val="24"/>
        </w:rPr>
        <w:t xml:space="preserve"> for </w:t>
      </w:r>
      <w:r>
        <w:rPr>
          <w:b/>
          <w:sz w:val="24"/>
          <w:szCs w:val="24"/>
        </w:rPr>
        <w:t xml:space="preserve">her indictment of </w:t>
      </w:r>
      <w:r w:rsidRPr="00306A02">
        <w:rPr>
          <w:b/>
          <w:sz w:val="24"/>
          <w:szCs w:val="24"/>
        </w:rPr>
        <w:t>“using an evil cult to undermine law enforc</w:t>
      </w:r>
      <w:r>
        <w:rPr>
          <w:b/>
          <w:sz w:val="24"/>
          <w:szCs w:val="24"/>
        </w:rPr>
        <w:t>e</w:t>
      </w:r>
      <w:r w:rsidRPr="00306A02">
        <w:rPr>
          <w:b/>
          <w:sz w:val="24"/>
          <w:szCs w:val="24"/>
        </w:rPr>
        <w:t>ment”.</w:t>
      </w:r>
      <w:r>
        <w:rPr>
          <w:b/>
          <w:sz w:val="24"/>
          <w:szCs w:val="24"/>
        </w:rPr>
        <w:t xml:space="preserve"> </w:t>
      </w:r>
      <w:r w:rsidR="00D21963">
        <w:rPr>
          <w:b/>
          <w:sz w:val="24"/>
          <w:szCs w:val="24"/>
        </w:rPr>
        <w:t>Following a court hearing i</w:t>
      </w:r>
      <w:r>
        <w:rPr>
          <w:b/>
          <w:sz w:val="24"/>
          <w:szCs w:val="24"/>
        </w:rPr>
        <w:t xml:space="preserve">n </w:t>
      </w:r>
      <w:r w:rsidRPr="00306A02">
        <w:rPr>
          <w:b/>
          <w:sz w:val="24"/>
          <w:szCs w:val="24"/>
        </w:rPr>
        <w:t xml:space="preserve">Hebei province </w:t>
      </w:r>
      <w:r w:rsidRPr="0047325C">
        <w:rPr>
          <w:b/>
          <w:sz w:val="24"/>
          <w:szCs w:val="24"/>
        </w:rPr>
        <w:t xml:space="preserve">on 12 May </w:t>
      </w:r>
      <w:r>
        <w:rPr>
          <w:b/>
          <w:sz w:val="24"/>
          <w:szCs w:val="24"/>
        </w:rPr>
        <w:t xml:space="preserve">2017 her trial has </w:t>
      </w:r>
      <w:r w:rsidR="00D21963">
        <w:rPr>
          <w:b/>
          <w:sz w:val="24"/>
          <w:szCs w:val="24"/>
        </w:rPr>
        <w:t xml:space="preserve">now </w:t>
      </w:r>
      <w:r>
        <w:rPr>
          <w:b/>
          <w:sz w:val="24"/>
          <w:szCs w:val="24"/>
        </w:rPr>
        <w:t xml:space="preserve">been indefinitely </w:t>
      </w:r>
      <w:r w:rsidRPr="00306A02">
        <w:rPr>
          <w:b/>
          <w:sz w:val="24"/>
          <w:szCs w:val="24"/>
        </w:rPr>
        <w:t>adjourn</w:t>
      </w:r>
      <w:r>
        <w:rPr>
          <w:b/>
          <w:sz w:val="24"/>
          <w:szCs w:val="24"/>
        </w:rPr>
        <w:t>ed</w:t>
      </w:r>
      <w:r w:rsidR="0047325C">
        <w:rPr>
          <w:b/>
          <w:sz w:val="24"/>
          <w:szCs w:val="24"/>
        </w:rPr>
        <w:t xml:space="preserve">. </w:t>
      </w:r>
      <w:r w:rsidR="00285D2B">
        <w:rPr>
          <w:b/>
          <w:sz w:val="24"/>
          <w:szCs w:val="24"/>
        </w:rPr>
        <w:t>A</w:t>
      </w:r>
      <w:r w:rsidR="0047325C">
        <w:rPr>
          <w:b/>
          <w:sz w:val="24"/>
          <w:szCs w:val="24"/>
        </w:rPr>
        <w:t>rbitrarily detained since 3 June 2016</w:t>
      </w:r>
      <w:r w:rsidR="00285D2B">
        <w:rPr>
          <w:b/>
          <w:sz w:val="24"/>
          <w:szCs w:val="24"/>
        </w:rPr>
        <w:t>,</w:t>
      </w:r>
      <w:r w:rsidR="0047325C">
        <w:rPr>
          <w:b/>
          <w:sz w:val="24"/>
          <w:szCs w:val="24"/>
        </w:rPr>
        <w:t xml:space="preserve"> </w:t>
      </w:r>
      <w:r w:rsidR="00285D2B">
        <w:rPr>
          <w:b/>
          <w:sz w:val="24"/>
          <w:szCs w:val="24"/>
        </w:rPr>
        <w:t xml:space="preserve">Chen Huixia </w:t>
      </w:r>
      <w:r w:rsidR="0047325C">
        <w:rPr>
          <w:b/>
          <w:sz w:val="24"/>
          <w:szCs w:val="24"/>
        </w:rPr>
        <w:t>was tortured</w:t>
      </w:r>
      <w:r w:rsidR="00285D2B">
        <w:rPr>
          <w:b/>
          <w:sz w:val="24"/>
          <w:szCs w:val="24"/>
        </w:rPr>
        <w:t xml:space="preserve"> and </w:t>
      </w:r>
      <w:r w:rsidR="001516A0">
        <w:rPr>
          <w:b/>
          <w:sz w:val="24"/>
          <w:szCs w:val="24"/>
        </w:rPr>
        <w:t xml:space="preserve">has </w:t>
      </w:r>
      <w:r w:rsidR="003962C4">
        <w:rPr>
          <w:b/>
          <w:sz w:val="24"/>
          <w:szCs w:val="24"/>
        </w:rPr>
        <w:t xml:space="preserve">had </w:t>
      </w:r>
      <w:r w:rsidR="00E30DF3">
        <w:rPr>
          <w:b/>
          <w:sz w:val="24"/>
          <w:szCs w:val="24"/>
        </w:rPr>
        <w:t>no access to</w:t>
      </w:r>
      <w:r w:rsidR="00285D2B">
        <w:rPr>
          <w:b/>
          <w:sz w:val="24"/>
          <w:szCs w:val="24"/>
        </w:rPr>
        <w:t xml:space="preserve"> her family for over a year</w:t>
      </w:r>
      <w:r w:rsidR="0047325C">
        <w:rPr>
          <w:b/>
          <w:sz w:val="24"/>
          <w:szCs w:val="24"/>
        </w:rPr>
        <w:t xml:space="preserve">. </w:t>
      </w:r>
    </w:p>
    <w:p w:rsidR="00285D2B" w:rsidRDefault="00285D2B" w:rsidP="008036A6">
      <w:pPr>
        <w:pStyle w:val="AIBodytext"/>
        <w:tabs>
          <w:tab w:val="clear" w:pos="567"/>
        </w:tabs>
        <w:spacing w:after="120" w:line="240" w:lineRule="auto"/>
      </w:pPr>
      <w:r>
        <w:rPr>
          <w:b/>
        </w:rPr>
        <w:t xml:space="preserve">Chen </w:t>
      </w:r>
      <w:r w:rsidRPr="00B0352E">
        <w:rPr>
          <w:b/>
        </w:rPr>
        <w:t>Huxia</w:t>
      </w:r>
      <w:r w:rsidRPr="001516A0">
        <w:rPr>
          <w:b/>
        </w:rPr>
        <w:t>’s</w:t>
      </w:r>
      <w:r>
        <w:t xml:space="preserve"> family </w:t>
      </w:r>
      <w:r w:rsidR="00F17F91">
        <w:t>only found out about the</w:t>
      </w:r>
      <w:r>
        <w:t xml:space="preserve"> trial less than two days before it was due to be held, in Hebei province, northern China, on 12 May 2017</w:t>
      </w:r>
      <w:r w:rsidR="00F17F91">
        <w:t>, from the defence lawyer</w:t>
      </w:r>
      <w:r>
        <w:t xml:space="preserve">. </w:t>
      </w:r>
      <w:r w:rsidR="00974B06">
        <w:t xml:space="preserve">The court </w:t>
      </w:r>
      <w:r w:rsidR="00C73CA2">
        <w:t xml:space="preserve">only </w:t>
      </w:r>
      <w:r w:rsidR="00974B06">
        <w:t xml:space="preserve">allowed </w:t>
      </w:r>
      <w:r>
        <w:t>one</w:t>
      </w:r>
      <w:r w:rsidR="00974B06">
        <w:t xml:space="preserve"> family member and a </w:t>
      </w:r>
      <w:r>
        <w:t xml:space="preserve">single </w:t>
      </w:r>
      <w:r w:rsidR="00974B06">
        <w:t>friend to attend the hearing</w:t>
      </w:r>
      <w:r>
        <w:t xml:space="preserve">, stating that </w:t>
      </w:r>
      <w:r w:rsidR="009E041A">
        <w:t>only three people, including the</w:t>
      </w:r>
      <w:r w:rsidR="00FF0461">
        <w:t xml:space="preserve"> defence</w:t>
      </w:r>
      <w:r w:rsidR="009E041A">
        <w:t xml:space="preserve"> lawyer, were allowed to attend. </w:t>
      </w:r>
    </w:p>
    <w:p w:rsidR="000F5EB5" w:rsidRDefault="00285D2B" w:rsidP="008036A6">
      <w:pPr>
        <w:pStyle w:val="AIBodytext"/>
        <w:tabs>
          <w:tab w:val="clear" w:pos="567"/>
        </w:tabs>
        <w:spacing w:after="120" w:line="240" w:lineRule="auto"/>
      </w:pPr>
      <w:r>
        <w:t xml:space="preserve">During the </w:t>
      </w:r>
      <w:r w:rsidR="00A34BA6">
        <w:t xml:space="preserve">three hour hearing, </w:t>
      </w:r>
      <w:r>
        <w:t xml:space="preserve">Chen Huixia was </w:t>
      </w:r>
      <w:r w:rsidR="00420CA7">
        <w:t xml:space="preserve">twice </w:t>
      </w:r>
      <w:r>
        <w:t xml:space="preserve">taken away from the court by </w:t>
      </w:r>
      <w:r w:rsidR="0017068C">
        <w:t xml:space="preserve">the </w:t>
      </w:r>
      <w:r w:rsidR="009E041A">
        <w:t>police</w:t>
      </w:r>
      <w:r w:rsidR="00420CA7">
        <w:t xml:space="preserve">. On both occasions </w:t>
      </w:r>
      <w:r w:rsidR="00974B06">
        <w:t>her</w:t>
      </w:r>
      <w:r w:rsidR="00FF0461">
        <w:t xml:space="preserve"> defence</w:t>
      </w:r>
      <w:r w:rsidR="00A34BA6">
        <w:t xml:space="preserve"> lawyer</w:t>
      </w:r>
      <w:r w:rsidR="00C70C9E">
        <w:t xml:space="preserve"> </w:t>
      </w:r>
      <w:r w:rsidR="00420CA7">
        <w:t xml:space="preserve">was not allowed </w:t>
      </w:r>
      <w:r w:rsidR="00C70C9E">
        <w:t>to</w:t>
      </w:r>
      <w:r w:rsidR="00A34BA6">
        <w:t xml:space="preserve"> accompany</w:t>
      </w:r>
      <w:r w:rsidR="00420CA7">
        <w:t xml:space="preserve"> her</w:t>
      </w:r>
      <w:r w:rsidR="00A34BA6">
        <w:t xml:space="preserve">. </w:t>
      </w:r>
      <w:r w:rsidR="00C70C9E">
        <w:t xml:space="preserve">The lawyer </w:t>
      </w:r>
      <w:r w:rsidR="00974B06">
        <w:t>argued</w:t>
      </w:r>
      <w:r w:rsidR="0017068C">
        <w:t xml:space="preserve"> in the hearing</w:t>
      </w:r>
      <w:r w:rsidR="00974B06">
        <w:t xml:space="preserve"> that the evidence provided by the police were extracted by torture and should be excluded. </w:t>
      </w:r>
      <w:r w:rsidR="00D21963">
        <w:t>While not</w:t>
      </w:r>
      <w:r w:rsidR="00F17F91">
        <w:t xml:space="preserve"> </w:t>
      </w:r>
      <w:r w:rsidR="00F14493">
        <w:t xml:space="preserve">stating that </w:t>
      </w:r>
      <w:r w:rsidR="00F17F91">
        <w:t xml:space="preserve">evidence extracted </w:t>
      </w:r>
      <w:r w:rsidR="00D21963">
        <w:t>through</w:t>
      </w:r>
      <w:r w:rsidR="00F17F91">
        <w:t xml:space="preserve"> torture would be inadmissible</w:t>
      </w:r>
      <w:r w:rsidR="00D21963">
        <w:t xml:space="preserve"> in court</w:t>
      </w:r>
      <w:r w:rsidR="00420CA7">
        <w:t>, the</w:t>
      </w:r>
      <w:r w:rsidR="00420CA7" w:rsidRPr="00855086">
        <w:t xml:space="preserve"> </w:t>
      </w:r>
      <w:r w:rsidR="00855086" w:rsidRPr="00855086">
        <w:t>judge</w:t>
      </w:r>
      <w:r w:rsidR="00420CA7">
        <w:t xml:space="preserve"> </w:t>
      </w:r>
      <w:r w:rsidR="00D21963">
        <w:t xml:space="preserve">nonetheless </w:t>
      </w:r>
      <w:r w:rsidR="00855086" w:rsidRPr="00855086">
        <w:t xml:space="preserve">asked the </w:t>
      </w:r>
      <w:r w:rsidR="00A01C82">
        <w:t>Procuratorate (</w:t>
      </w:r>
      <w:r w:rsidR="00855086" w:rsidRPr="00855086">
        <w:t>prosecutor</w:t>
      </w:r>
      <w:r w:rsidR="00A01C82">
        <w:t>)</w:t>
      </w:r>
      <w:r w:rsidR="00855086" w:rsidRPr="00855086">
        <w:t xml:space="preserve"> to collect further evidence and adjourn</w:t>
      </w:r>
      <w:r w:rsidR="00FF0461">
        <w:t>ed the trial</w:t>
      </w:r>
      <w:r w:rsidR="00D21963">
        <w:t xml:space="preserve"> until further notice</w:t>
      </w:r>
      <w:r w:rsidR="00FF0461">
        <w:t xml:space="preserve">. </w:t>
      </w:r>
      <w:r w:rsidR="008D527D">
        <w:t>The family has</w:t>
      </w:r>
      <w:r w:rsidR="00420CA7">
        <w:t xml:space="preserve"> since</w:t>
      </w:r>
      <w:r w:rsidR="008D527D">
        <w:t xml:space="preserve"> </w:t>
      </w:r>
      <w:r w:rsidR="00420CA7">
        <w:t xml:space="preserve">received no information </w:t>
      </w:r>
      <w:r w:rsidR="008D527D">
        <w:t xml:space="preserve">about Chen Huixia </w:t>
      </w:r>
      <w:r w:rsidR="00420CA7">
        <w:t xml:space="preserve">and have not yet been allowed to visit her once </w:t>
      </w:r>
      <w:r w:rsidR="008D527D">
        <w:t>since police took her away on 3 June 2016.</w:t>
      </w:r>
    </w:p>
    <w:p w:rsidR="00855086" w:rsidRPr="00EC2ADB" w:rsidRDefault="00FF0461" w:rsidP="008036A6">
      <w:pPr>
        <w:pStyle w:val="AIBodytext"/>
        <w:tabs>
          <w:tab w:val="clear" w:pos="567"/>
        </w:tabs>
        <w:spacing w:after="120" w:line="240" w:lineRule="auto"/>
      </w:pPr>
      <w:r>
        <w:t xml:space="preserve">In </w:t>
      </w:r>
      <w:r w:rsidR="00F17F91">
        <w:t xml:space="preserve">the </w:t>
      </w:r>
      <w:r>
        <w:t>transcript</w:t>
      </w:r>
      <w:r w:rsidR="00F17F91">
        <w:t xml:space="preserve"> from an interview conducted in 15 December 2016</w:t>
      </w:r>
      <w:r w:rsidR="00143DFD">
        <w:t xml:space="preserve">, </w:t>
      </w:r>
      <w:r w:rsidR="00F17F91">
        <w:t>only recently obtained by her</w:t>
      </w:r>
      <w:r w:rsidR="00143DFD">
        <w:t xml:space="preserve"> daughter, </w:t>
      </w:r>
      <w:r>
        <w:t xml:space="preserve">Chen Huixia </w:t>
      </w:r>
      <w:r w:rsidR="00143DFD">
        <w:t>provided the details of how she was tortured</w:t>
      </w:r>
      <w:r w:rsidR="00420CA7">
        <w:t>. According to her testimony,</w:t>
      </w:r>
      <w:r w:rsidR="00143DFD">
        <w:t xml:space="preserve"> </w:t>
      </w:r>
      <w:r w:rsidR="00420CA7">
        <w:t>p</w:t>
      </w:r>
      <w:r w:rsidR="008D527D">
        <w:t xml:space="preserve">olice </w:t>
      </w:r>
      <w:r w:rsidR="00143DFD">
        <w:t xml:space="preserve">strapped </w:t>
      </w:r>
      <w:r w:rsidR="008D527D">
        <w:t xml:space="preserve">her </w:t>
      </w:r>
      <w:r w:rsidR="00143DFD">
        <w:t xml:space="preserve">to an iron chair </w:t>
      </w:r>
      <w:r w:rsidR="00C96CB7">
        <w:t xml:space="preserve">in a “brainwashing centre”, </w:t>
      </w:r>
      <w:r w:rsidR="008D527D">
        <w:t xml:space="preserve">an </w:t>
      </w:r>
      <w:r w:rsidR="00C96CB7">
        <w:t xml:space="preserve">arbitrary detention </w:t>
      </w:r>
      <w:r w:rsidR="008D527D">
        <w:t>facility</w:t>
      </w:r>
      <w:r w:rsidR="00C96CB7">
        <w:t xml:space="preserve"> set up to get Falun Gong practitioners to renounce their belief, from 17 June </w:t>
      </w:r>
      <w:r w:rsidR="008D527D">
        <w:t>to 16 July 2016</w:t>
      </w:r>
      <w:r w:rsidR="00420CA7">
        <w:t xml:space="preserve"> and did</w:t>
      </w:r>
      <w:r w:rsidR="008D527D">
        <w:t xml:space="preserve"> not allow </w:t>
      </w:r>
      <w:r w:rsidR="0017068C">
        <w:t xml:space="preserve">her </w:t>
      </w:r>
      <w:r w:rsidR="008D527D">
        <w:t xml:space="preserve">to sleep for 30 days. </w:t>
      </w:r>
      <w:r w:rsidR="00F17F91">
        <w:t xml:space="preserve">When </w:t>
      </w:r>
      <w:r w:rsidR="008D527D">
        <w:t xml:space="preserve">Chen Huixia asked the prosecutor </w:t>
      </w:r>
      <w:r w:rsidR="00E30DF3">
        <w:t>investigat</w:t>
      </w:r>
      <w:r w:rsidR="00F17F91">
        <w:t>ing</w:t>
      </w:r>
      <w:r w:rsidR="00E30DF3">
        <w:t xml:space="preserve"> the </w:t>
      </w:r>
      <w:r w:rsidR="00F17F91">
        <w:t>incident</w:t>
      </w:r>
      <w:r w:rsidR="00E30DF3">
        <w:t xml:space="preserve"> </w:t>
      </w:r>
      <w:r w:rsidR="008D527D">
        <w:t xml:space="preserve">whether </w:t>
      </w:r>
      <w:r w:rsidR="00F17F91">
        <w:t xml:space="preserve">the events amounted to torture, </w:t>
      </w:r>
      <w:r w:rsidR="001516A0">
        <w:t>s</w:t>
      </w:r>
      <w:r w:rsidR="00F17F91">
        <w:t>he said it did not</w:t>
      </w:r>
      <w:r w:rsidR="008D527D">
        <w:t>.</w:t>
      </w:r>
      <w:r w:rsidR="0017068C">
        <w:t xml:space="preserve"> </w:t>
      </w:r>
    </w:p>
    <w:p w:rsidR="00B419B6" w:rsidRPr="00E35808" w:rsidRDefault="00B419B6" w:rsidP="00B419B6">
      <w:pPr>
        <w:rPr>
          <w:rFonts w:ascii="Arial" w:eastAsia="Calibri" w:hAnsi="Arial" w:cs="Arial"/>
          <w:b/>
          <w:sz w:val="20"/>
          <w:szCs w:val="20"/>
        </w:rPr>
      </w:pPr>
      <w:r w:rsidRPr="00E35808">
        <w:rPr>
          <w:rFonts w:ascii="Arial" w:eastAsia="Calibri" w:hAnsi="Arial" w:cs="Arial"/>
          <w:b/>
          <w:sz w:val="20"/>
          <w:szCs w:val="20"/>
        </w:rPr>
        <w:t>1) TAKE ACTION</w:t>
      </w:r>
    </w:p>
    <w:p w:rsidR="000F5EB5" w:rsidRPr="00B419B6" w:rsidRDefault="00B419B6" w:rsidP="00B419B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E5964" w:rsidRPr="00186225" w:rsidRDefault="00DE5964" w:rsidP="00B419B6">
      <w:pPr>
        <w:numPr>
          <w:ilvl w:val="0"/>
          <w:numId w:val="6"/>
        </w:numPr>
        <w:ind w:left="284" w:hanging="284"/>
        <w:rPr>
          <w:rFonts w:ascii="Arial" w:hAnsi="Arial" w:cs="Arial"/>
          <w:sz w:val="20"/>
          <w:szCs w:val="20"/>
        </w:rPr>
      </w:pPr>
      <w:r w:rsidRPr="0035377B">
        <w:rPr>
          <w:rFonts w:ascii="Arial" w:hAnsi="Arial" w:cs="Arial"/>
          <w:noProof/>
          <w:sz w:val="20"/>
          <w:szCs w:val="20"/>
        </w:rPr>
        <w:t>Immediately and unconditionally release Chen Huixia, as she has been detained solely for exercising the right to freedom of belief and expression</w:t>
      </w:r>
      <w:r>
        <w:rPr>
          <w:rFonts w:ascii="Arial" w:hAnsi="Arial" w:cs="Arial"/>
          <w:noProof/>
          <w:sz w:val="20"/>
          <w:szCs w:val="20"/>
        </w:rPr>
        <w:t xml:space="preserve"> and,</w:t>
      </w:r>
      <w:r w:rsidRPr="0035377B">
        <w:rPr>
          <w:rFonts w:ascii="Arial" w:hAnsi="Arial" w:cs="Arial"/>
          <w:noProof/>
          <w:sz w:val="20"/>
          <w:szCs w:val="20"/>
        </w:rPr>
        <w:t xml:space="preserve"> </w:t>
      </w:r>
      <w:r>
        <w:rPr>
          <w:rFonts w:ascii="Arial" w:hAnsi="Arial" w:cs="Arial"/>
          <w:noProof/>
          <w:sz w:val="20"/>
          <w:szCs w:val="20"/>
        </w:rPr>
        <w:t>p</w:t>
      </w:r>
      <w:r w:rsidRPr="0035377B">
        <w:rPr>
          <w:rFonts w:ascii="Arial" w:hAnsi="Arial" w:cs="Arial"/>
          <w:noProof/>
          <w:sz w:val="20"/>
          <w:szCs w:val="20"/>
        </w:rPr>
        <w:t>ending her release, ensure that she has prompt, regular and unrestricted access to her family and lawyers of her choice</w:t>
      </w:r>
      <w:r>
        <w:rPr>
          <w:rFonts w:ascii="Arial" w:hAnsi="Arial" w:cs="Arial"/>
          <w:noProof/>
          <w:sz w:val="20"/>
          <w:szCs w:val="20"/>
        </w:rPr>
        <w:t>;</w:t>
      </w:r>
    </w:p>
    <w:p w:rsidR="00DE5964" w:rsidRPr="0035377B" w:rsidRDefault="00DE5964" w:rsidP="00B419B6">
      <w:pPr>
        <w:numPr>
          <w:ilvl w:val="0"/>
          <w:numId w:val="6"/>
        </w:numPr>
        <w:ind w:left="284" w:hanging="284"/>
        <w:rPr>
          <w:rFonts w:ascii="Arial" w:hAnsi="Arial" w:cs="Arial"/>
          <w:noProof/>
          <w:sz w:val="20"/>
          <w:szCs w:val="20"/>
        </w:rPr>
      </w:pPr>
      <w:r w:rsidRPr="0035377B">
        <w:rPr>
          <w:rFonts w:ascii="Arial" w:hAnsi="Arial" w:cs="Arial"/>
          <w:noProof/>
          <w:sz w:val="20"/>
          <w:szCs w:val="20"/>
        </w:rPr>
        <w:t xml:space="preserve">Ensure that Chen Huixia is tried in line with international fair trial standards, including to guarantee her rights to legal counsel pre-trial and adequate time and facilities to prepare a defence, by promptly informing her </w:t>
      </w:r>
      <w:r>
        <w:rPr>
          <w:rFonts w:ascii="Arial" w:hAnsi="Arial" w:cs="Arial"/>
          <w:noProof/>
          <w:sz w:val="20"/>
          <w:szCs w:val="20"/>
        </w:rPr>
        <w:t xml:space="preserve">of </w:t>
      </w:r>
      <w:r w:rsidRPr="0035377B">
        <w:rPr>
          <w:rFonts w:ascii="Arial" w:hAnsi="Arial" w:cs="Arial"/>
          <w:noProof/>
          <w:sz w:val="20"/>
          <w:szCs w:val="20"/>
        </w:rPr>
        <w:t>the nature and cause of the charge against her</w:t>
      </w:r>
      <w:r>
        <w:rPr>
          <w:rFonts w:ascii="Arial" w:hAnsi="Arial" w:cs="Arial"/>
          <w:noProof/>
          <w:sz w:val="20"/>
          <w:szCs w:val="20"/>
        </w:rPr>
        <w:t>;</w:t>
      </w:r>
    </w:p>
    <w:p w:rsidR="00DE5964" w:rsidRPr="0035377B" w:rsidRDefault="00DE5964" w:rsidP="00B419B6">
      <w:pPr>
        <w:numPr>
          <w:ilvl w:val="0"/>
          <w:numId w:val="6"/>
        </w:numPr>
        <w:ind w:left="284" w:hanging="284"/>
        <w:rPr>
          <w:rFonts w:ascii="Arial" w:hAnsi="Arial" w:cs="Arial"/>
          <w:noProof/>
          <w:sz w:val="20"/>
          <w:szCs w:val="20"/>
        </w:rPr>
      </w:pPr>
      <w:r w:rsidRPr="0035377B">
        <w:rPr>
          <w:rFonts w:ascii="Arial" w:hAnsi="Arial" w:cs="Arial"/>
          <w:noProof/>
          <w:sz w:val="20"/>
          <w:szCs w:val="20"/>
        </w:rPr>
        <w:t>Ensure that while detained, Chen Huixia is protected from torture or other ill</w:t>
      </w:r>
      <w:r>
        <w:rPr>
          <w:rFonts w:ascii="Arial" w:hAnsi="Arial" w:cs="Arial"/>
          <w:noProof/>
          <w:sz w:val="20"/>
          <w:szCs w:val="20"/>
        </w:rPr>
        <w:t>-</w:t>
      </w:r>
      <w:r w:rsidRPr="0035377B">
        <w:rPr>
          <w:rFonts w:ascii="Arial" w:hAnsi="Arial" w:cs="Arial"/>
          <w:noProof/>
          <w:sz w:val="20"/>
          <w:szCs w:val="20"/>
        </w:rPr>
        <w:t xml:space="preserve">treatment, and that her treatment is in accordance with the UN Standard Minimum Rules for the Treatment of Prisoners (the Nelson Mandela Rules). </w:t>
      </w:r>
    </w:p>
    <w:p w:rsidR="000F5EB5" w:rsidRPr="008036A6" w:rsidRDefault="000F5EB5" w:rsidP="00B419B6">
      <w:pPr>
        <w:pStyle w:val="AITableHeading"/>
        <w:tabs>
          <w:tab w:val="clear" w:pos="567"/>
        </w:tabs>
        <w:rPr>
          <w:rFonts w:cs="Arial"/>
          <w:sz w:val="12"/>
          <w:szCs w:val="12"/>
        </w:rPr>
      </w:pPr>
    </w:p>
    <w:p w:rsidR="000F5EB5" w:rsidRPr="00B419B6" w:rsidRDefault="00B419B6" w:rsidP="00A10DC1">
      <w:pPr>
        <w:rPr>
          <w:rFonts w:ascii="Arial" w:eastAsia="Calibri" w:hAnsi="Arial" w:cs="Arial"/>
          <w:b/>
          <w:sz w:val="20"/>
          <w:szCs w:val="20"/>
        </w:rPr>
        <w:sectPr w:rsidR="000F5EB5" w:rsidRPr="00B419B6" w:rsidSect="008036A6">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r>
        <w:rPr>
          <w:rFonts w:ascii="Arial" w:eastAsia="Calibri" w:hAnsi="Arial" w:cs="Arial"/>
          <w:b/>
          <w:sz w:val="20"/>
          <w:szCs w:val="20"/>
        </w:rPr>
        <w:t>Contact these two officials by 13 September, 2017</w:t>
      </w:r>
      <w:r w:rsidRPr="00E35808">
        <w:rPr>
          <w:rFonts w:ascii="Arial" w:eastAsia="Calibri" w:hAnsi="Arial" w:cs="Arial"/>
          <w:b/>
          <w:sz w:val="20"/>
          <w:szCs w:val="20"/>
        </w:rPr>
        <w:t>:</w:t>
      </w:r>
    </w:p>
    <w:p w:rsidR="000E1C7A" w:rsidRPr="00A10DC1" w:rsidRDefault="00664A44" w:rsidP="00A10DC1">
      <w:pPr>
        <w:jc w:val="both"/>
        <w:rPr>
          <w:rFonts w:ascii="Arial" w:hAnsi="Arial" w:cs="Arial"/>
          <w:noProof/>
          <w:color w:val="000000" w:themeColor="text1"/>
          <w:sz w:val="16"/>
          <w:szCs w:val="16"/>
          <w:u w:val="single"/>
          <w:lang w:eastAsia="en-US"/>
        </w:rPr>
      </w:pPr>
      <w:r w:rsidRPr="00A10DC1">
        <w:rPr>
          <w:rFonts w:ascii="Arial" w:hAnsi="Arial" w:cs="Arial"/>
          <w:noProof/>
          <w:color w:val="000000" w:themeColor="text1"/>
          <w:sz w:val="16"/>
          <w:szCs w:val="16"/>
          <w:u w:val="single"/>
          <w:lang w:eastAsia="en-US"/>
        </w:rPr>
        <w:t xml:space="preserve">Chief Procurator of Shijiazhuang </w:t>
      </w:r>
    </w:p>
    <w:p w:rsidR="00664A44" w:rsidRPr="00A10DC1" w:rsidRDefault="00664A44" w:rsidP="00A10DC1">
      <w:pPr>
        <w:jc w:val="both"/>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Municipal People’s Procuratorate</w:t>
      </w:r>
    </w:p>
    <w:p w:rsidR="00664A44" w:rsidRPr="00A10DC1" w:rsidRDefault="00664A44" w:rsidP="00A10DC1">
      <w:pPr>
        <w:jc w:val="both"/>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Chen Xiaoming Jianchanzhang</w:t>
      </w:r>
    </w:p>
    <w:p w:rsidR="00664A44" w:rsidRPr="00A10DC1" w:rsidRDefault="00664A44" w:rsidP="00A10DC1">
      <w:pPr>
        <w:jc w:val="both"/>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Shijiazhuang Shi Renmin Jianchayuan</w:t>
      </w:r>
    </w:p>
    <w:p w:rsidR="00664A44" w:rsidRPr="00A10DC1" w:rsidRDefault="00664A44" w:rsidP="00A10DC1">
      <w:pPr>
        <w:jc w:val="both"/>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 xml:space="preserve">360 Xinshibei Lu, </w:t>
      </w:r>
    </w:p>
    <w:p w:rsidR="00664A44" w:rsidRPr="00A10DC1" w:rsidRDefault="00664A44" w:rsidP="00A10DC1">
      <w:pPr>
        <w:jc w:val="both"/>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Shijiazhuang Shi</w:t>
      </w:r>
    </w:p>
    <w:p w:rsidR="00664A44" w:rsidRPr="00A10DC1" w:rsidRDefault="00664A44" w:rsidP="00A10DC1">
      <w:pPr>
        <w:jc w:val="both"/>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Hebei Sheng 050091</w:t>
      </w:r>
    </w:p>
    <w:p w:rsidR="00664A44" w:rsidRPr="00A10DC1" w:rsidRDefault="00664A44" w:rsidP="00A10DC1">
      <w:pPr>
        <w:jc w:val="both"/>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 xml:space="preserve">People’s Republic of China </w:t>
      </w:r>
    </w:p>
    <w:p w:rsidR="00664A44" w:rsidRPr="00A10DC1" w:rsidRDefault="00664A44" w:rsidP="00A10DC1">
      <w:pPr>
        <w:jc w:val="both"/>
        <w:rPr>
          <w:rFonts w:ascii="Arial" w:hAnsi="Arial" w:cs="Arial"/>
          <w:b/>
          <w:noProof/>
          <w:color w:val="000000" w:themeColor="text1"/>
          <w:sz w:val="16"/>
          <w:szCs w:val="16"/>
          <w:lang w:eastAsia="en-US"/>
        </w:rPr>
      </w:pPr>
      <w:r w:rsidRPr="00A10DC1">
        <w:rPr>
          <w:rFonts w:ascii="Arial" w:hAnsi="Arial" w:cs="Arial"/>
          <w:b/>
          <w:noProof/>
          <w:color w:val="000000" w:themeColor="text1"/>
          <w:sz w:val="16"/>
          <w:szCs w:val="16"/>
          <w:lang w:eastAsia="en-US"/>
        </w:rPr>
        <w:t>Salutation: Dear Procurator</w:t>
      </w:r>
    </w:p>
    <w:p w:rsidR="000E1C7A" w:rsidRPr="00A10DC1" w:rsidRDefault="00B419B6" w:rsidP="00B419B6">
      <w:pPr>
        <w:rPr>
          <w:rFonts w:ascii="Arial" w:hAnsi="Arial" w:cs="Arial"/>
          <w:noProof/>
          <w:color w:val="000000" w:themeColor="text1"/>
          <w:sz w:val="16"/>
          <w:szCs w:val="16"/>
          <w:u w:val="single"/>
          <w:lang w:eastAsia="en-US"/>
        </w:rPr>
      </w:pPr>
      <w:r w:rsidRPr="00A10DC1">
        <w:rPr>
          <w:rFonts w:ascii="Arial" w:hAnsi="Arial" w:cs="Arial"/>
          <w:noProof/>
          <w:color w:val="000000" w:themeColor="text1"/>
          <w:sz w:val="16"/>
          <w:szCs w:val="16"/>
          <w:u w:val="single"/>
          <w:lang w:eastAsia="en-US"/>
        </w:rPr>
        <w:t>Ambassador Tiankai Cui,</w:t>
      </w:r>
    </w:p>
    <w:p w:rsidR="00B419B6" w:rsidRPr="00A10DC1" w:rsidRDefault="00B419B6" w:rsidP="00B419B6">
      <w:pPr>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Embassy of the People's Republic of China</w:t>
      </w:r>
    </w:p>
    <w:p w:rsidR="00B419B6" w:rsidRPr="00A10DC1" w:rsidRDefault="00B419B6" w:rsidP="00B419B6">
      <w:pPr>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3505 International Place NW</w:t>
      </w:r>
    </w:p>
    <w:p w:rsidR="00B419B6" w:rsidRPr="00A10DC1" w:rsidRDefault="00B419B6" w:rsidP="00B419B6">
      <w:pPr>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Washington DC 20008</w:t>
      </w:r>
    </w:p>
    <w:p w:rsidR="000E1C7A" w:rsidRPr="00A10DC1" w:rsidRDefault="000E1C7A" w:rsidP="00B419B6">
      <w:pPr>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Fax: 1 202 495 2138</w:t>
      </w:r>
    </w:p>
    <w:p w:rsidR="00B419B6" w:rsidRPr="00A10DC1" w:rsidRDefault="00B419B6" w:rsidP="00B419B6">
      <w:pPr>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Phone: 1 202 495 2000</w:t>
      </w:r>
    </w:p>
    <w:p w:rsidR="00B419B6" w:rsidRPr="00A10DC1" w:rsidRDefault="00B419B6" w:rsidP="00B419B6">
      <w:pPr>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 xml:space="preserve">Email: </w:t>
      </w:r>
      <w:hyperlink r:id="rId17" w:history="1">
        <w:r w:rsidRPr="00A10DC1">
          <w:rPr>
            <w:rStyle w:val="Hyperlink"/>
            <w:rFonts w:ascii="Arial" w:hAnsi="Arial" w:cs="Arial"/>
            <w:noProof/>
            <w:color w:val="000000" w:themeColor="text1"/>
            <w:sz w:val="16"/>
            <w:szCs w:val="16"/>
            <w:lang w:eastAsia="en-US"/>
          </w:rPr>
          <w:t>chinaembpress_us@mfa.gov.cn</w:t>
        </w:r>
      </w:hyperlink>
    </w:p>
    <w:p w:rsidR="00B419B6" w:rsidRPr="00A10DC1" w:rsidRDefault="00B419B6" w:rsidP="00B419B6">
      <w:pPr>
        <w:rPr>
          <w:rFonts w:ascii="Arial" w:hAnsi="Arial" w:cs="Arial"/>
          <w:noProof/>
          <w:color w:val="000000" w:themeColor="text1"/>
          <w:sz w:val="16"/>
          <w:szCs w:val="16"/>
          <w:lang w:eastAsia="en-US"/>
        </w:rPr>
      </w:pPr>
      <w:r w:rsidRPr="00A10DC1">
        <w:rPr>
          <w:rFonts w:ascii="Arial" w:hAnsi="Arial" w:cs="Arial"/>
          <w:noProof/>
          <w:color w:val="000000" w:themeColor="text1"/>
          <w:sz w:val="16"/>
          <w:szCs w:val="16"/>
          <w:lang w:eastAsia="en-US"/>
        </w:rPr>
        <w:t>(If you receive an error message, please try calling instead!)</w:t>
      </w:r>
    </w:p>
    <w:p w:rsidR="000F5EB5" w:rsidRPr="00A10DC1" w:rsidRDefault="00B419B6" w:rsidP="00B419B6">
      <w:pPr>
        <w:rPr>
          <w:rFonts w:ascii="Arial" w:hAnsi="Arial" w:cs="Arial"/>
          <w:b/>
          <w:noProof/>
          <w:color w:val="000000" w:themeColor="text1"/>
          <w:sz w:val="16"/>
          <w:szCs w:val="16"/>
          <w:lang w:eastAsia="en-US"/>
        </w:rPr>
      </w:pPr>
      <w:r w:rsidRPr="00A10DC1">
        <w:rPr>
          <w:rFonts w:ascii="Arial" w:hAnsi="Arial" w:cs="Arial"/>
          <w:b/>
          <w:noProof/>
          <w:color w:val="000000" w:themeColor="text1"/>
          <w:sz w:val="16"/>
          <w:szCs w:val="16"/>
          <w:lang w:eastAsia="en-US"/>
        </w:rPr>
        <w:t>Salutation: Dear Ambassador</w:t>
      </w:r>
    </w:p>
    <w:p w:rsidR="00B419B6" w:rsidRPr="00B419B6" w:rsidRDefault="00B419B6" w:rsidP="00B419B6">
      <w:pPr>
        <w:rPr>
          <w:rFonts w:ascii="Arial" w:hAnsi="Arial" w:cs="Arial"/>
          <w:b/>
          <w:noProof/>
          <w:sz w:val="16"/>
          <w:szCs w:val="16"/>
          <w:lang w:eastAsia="en-US"/>
        </w:rPr>
        <w:sectPr w:rsidR="00B419B6" w:rsidRPr="00B419B6" w:rsidSect="008036A6">
          <w:type w:val="continuous"/>
          <w:pgSz w:w="12240" w:h="15840" w:code="1"/>
          <w:pgMar w:top="720" w:right="720" w:bottom="2160" w:left="720" w:header="0" w:footer="567" w:gutter="0"/>
          <w:cols w:num="2" w:space="720"/>
          <w:titlePg/>
          <w:docGrid w:linePitch="360"/>
        </w:sectPr>
      </w:pPr>
    </w:p>
    <w:p w:rsidR="00B419B6" w:rsidRPr="008036A6" w:rsidRDefault="00B419B6" w:rsidP="00B419B6">
      <w:pPr>
        <w:autoSpaceDE w:val="0"/>
        <w:autoSpaceDN w:val="0"/>
        <w:adjustRightInd w:val="0"/>
        <w:rPr>
          <w:rFonts w:ascii="Arial" w:hAnsi="Arial" w:cs="Arial"/>
          <w:b/>
          <w:color w:val="000000"/>
          <w:sz w:val="12"/>
          <w:szCs w:val="12"/>
        </w:rPr>
      </w:pPr>
    </w:p>
    <w:p w:rsidR="00B419B6" w:rsidRPr="009B1268" w:rsidRDefault="00B419B6" w:rsidP="00B419B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419B6" w:rsidRPr="009B1268" w:rsidRDefault="008036A6" w:rsidP="00B419B6">
      <w:pPr>
        <w:autoSpaceDE w:val="0"/>
        <w:autoSpaceDN w:val="0"/>
        <w:adjustRightInd w:val="0"/>
        <w:rPr>
          <w:rFonts w:ascii="Arial" w:hAnsi="Arial" w:cs="Arial"/>
          <w:color w:val="000000"/>
          <w:sz w:val="20"/>
          <w:szCs w:val="20"/>
        </w:rPr>
      </w:pPr>
      <w:hyperlink r:id="rId18" w:history="1">
        <w:r w:rsidR="00B419B6" w:rsidRPr="00B419B6">
          <w:rPr>
            <w:rStyle w:val="Hyperlink"/>
            <w:rFonts w:ascii="Arial" w:hAnsi="Arial" w:cs="Arial"/>
            <w:sz w:val="20"/>
            <w:szCs w:val="20"/>
          </w:rPr>
          <w:t>Click here</w:t>
        </w:r>
      </w:hyperlink>
      <w:r w:rsidR="00B419B6" w:rsidRPr="009B1268">
        <w:rPr>
          <w:rFonts w:ascii="Arial" w:hAnsi="Arial" w:cs="Arial"/>
          <w:color w:val="000000"/>
          <w:sz w:val="20"/>
          <w:szCs w:val="20"/>
        </w:rPr>
        <w:t xml:space="preserve"> to let us know if you took action on this case! </w:t>
      </w:r>
      <w:r w:rsidR="00B419B6">
        <w:rPr>
          <w:rFonts w:ascii="Arial" w:hAnsi="Arial" w:cs="Arial"/>
          <w:i/>
          <w:iCs/>
          <w:color w:val="000000"/>
          <w:sz w:val="20"/>
          <w:szCs w:val="20"/>
        </w:rPr>
        <w:t>This is Urgent Action 216.16</w:t>
      </w:r>
      <w:r w:rsidR="00B419B6" w:rsidRPr="009B1268">
        <w:rPr>
          <w:rFonts w:ascii="Arial" w:hAnsi="Arial" w:cs="Arial"/>
          <w:i/>
          <w:iCs/>
          <w:color w:val="000000"/>
          <w:sz w:val="20"/>
          <w:szCs w:val="20"/>
        </w:rPr>
        <w:t xml:space="preserve"> </w:t>
      </w:r>
    </w:p>
    <w:p w:rsidR="00B419B6" w:rsidRPr="00C27E96" w:rsidRDefault="00B419B6" w:rsidP="00B419B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419B6" w:rsidRPr="00B419B6" w:rsidRDefault="00B419B6" w:rsidP="00B419B6">
      <w:pPr>
        <w:rPr>
          <w:lang w:eastAsia="en-US"/>
        </w:rPr>
        <w:sectPr w:rsidR="00B419B6" w:rsidRPr="00B419B6" w:rsidSect="008036A6">
          <w:type w:val="continuous"/>
          <w:pgSz w:w="12240" w:h="15840" w:code="1"/>
          <w:pgMar w:top="720" w:right="720" w:bottom="2160" w:left="720" w:header="0" w:footer="567" w:gutter="0"/>
          <w:cols w:space="567"/>
          <w:titlePg/>
          <w:docGrid w:linePitch="360"/>
        </w:sectPr>
      </w:pPr>
    </w:p>
    <w:p w:rsidR="000F5EB5" w:rsidRPr="00F95961" w:rsidRDefault="000F5EB5" w:rsidP="00A10DC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EC2ADB" w:rsidRPr="000F0AF1" w:rsidRDefault="00EC2ADB" w:rsidP="00A10DC1">
      <w:pPr>
        <w:rPr>
          <w:rStyle w:val="AIHeadline"/>
          <w:rFonts w:cs="Arial"/>
          <w:sz w:val="38"/>
          <w:szCs w:val="38"/>
        </w:rPr>
      </w:pPr>
      <w:r>
        <w:rPr>
          <w:rStyle w:val="AIHeadline"/>
          <w:rFonts w:cs="Arial"/>
          <w:sz w:val="38"/>
          <w:szCs w:val="38"/>
        </w:rPr>
        <w:t>Falun Gong Practitioner indefinitely detained</w:t>
      </w:r>
    </w:p>
    <w:p w:rsidR="000F5EB5" w:rsidRPr="00F95961" w:rsidRDefault="000F5EB5" w:rsidP="00A10DC1">
      <w:pPr>
        <w:pStyle w:val="Heading2"/>
        <w:spacing w:before="120" w:after="120" w:line="240" w:lineRule="auto"/>
        <w:rPr>
          <w:rFonts w:ascii="Arial" w:hAnsi="Arial" w:cs="Arial"/>
        </w:rPr>
      </w:pPr>
      <w:r w:rsidRPr="00F95961">
        <w:rPr>
          <w:rFonts w:ascii="Arial" w:hAnsi="Arial" w:cs="Arial"/>
        </w:rPr>
        <w:t>ADditional Information</w:t>
      </w:r>
    </w:p>
    <w:p w:rsidR="00664A44" w:rsidRPr="00186225" w:rsidRDefault="00664A44" w:rsidP="00A10DC1">
      <w:pPr>
        <w:autoSpaceDE w:val="0"/>
        <w:autoSpaceDN w:val="0"/>
        <w:adjustRightInd w:val="0"/>
        <w:rPr>
          <w:rFonts w:ascii="Arial" w:hAnsi="Arial" w:cs="Arial"/>
          <w:sz w:val="18"/>
          <w:szCs w:val="20"/>
        </w:rPr>
      </w:pPr>
      <w:r w:rsidRPr="00186225">
        <w:rPr>
          <w:rFonts w:ascii="Arial" w:hAnsi="Arial" w:cs="Arial"/>
          <w:sz w:val="18"/>
          <w:szCs w:val="20"/>
        </w:rPr>
        <w:t xml:space="preserve">According to her daughter, Chen Huixia started practicing Falun Gong in 1998 to heal her chronic illness and poor health. She was consequently detained for </w:t>
      </w:r>
      <w:r>
        <w:rPr>
          <w:rFonts w:ascii="Arial" w:hAnsi="Arial" w:cs="Arial"/>
          <w:sz w:val="18"/>
          <w:szCs w:val="20"/>
        </w:rPr>
        <w:t>approximately</w:t>
      </w:r>
      <w:r w:rsidRPr="00186225">
        <w:rPr>
          <w:rFonts w:ascii="Arial" w:hAnsi="Arial" w:cs="Arial"/>
          <w:sz w:val="18"/>
          <w:szCs w:val="20"/>
        </w:rPr>
        <w:t xml:space="preserve"> three months in 2003 and following her release her family has been subjected to persistent harassment and intimidation by authorities. </w:t>
      </w:r>
    </w:p>
    <w:p w:rsidR="00664A44" w:rsidRPr="00186225" w:rsidRDefault="00664A44" w:rsidP="00A10DC1">
      <w:pPr>
        <w:rPr>
          <w:rFonts w:ascii="Arial" w:hAnsi="Arial" w:cs="Arial"/>
          <w:sz w:val="18"/>
          <w:szCs w:val="20"/>
        </w:rPr>
      </w:pPr>
    </w:p>
    <w:p w:rsidR="00664A44" w:rsidRPr="00186225" w:rsidRDefault="00664A44" w:rsidP="00A10DC1">
      <w:pPr>
        <w:rPr>
          <w:rFonts w:ascii="Arial" w:hAnsi="Arial" w:cs="Arial"/>
          <w:sz w:val="18"/>
          <w:szCs w:val="20"/>
        </w:rPr>
      </w:pPr>
      <w:r w:rsidRPr="00186225">
        <w:rPr>
          <w:rFonts w:ascii="Arial" w:hAnsi="Arial" w:cs="Arial"/>
          <w:sz w:val="18"/>
          <w:szCs w:val="20"/>
        </w:rPr>
        <w:t>The spiritual movement Falun Gong was banned in China for being a "threat to social and political stability" after its practitioners held a peaceful sit-in on Tiananmen Square in July 1999. In response, the government established a dedicated office, the “610 Office”, to oversee the crackdown on the Falun Gong and other “heretical cults”.</w:t>
      </w:r>
    </w:p>
    <w:p w:rsidR="00664A44" w:rsidRPr="00186225" w:rsidRDefault="00664A44" w:rsidP="00A10DC1">
      <w:pPr>
        <w:rPr>
          <w:rFonts w:ascii="Arial" w:hAnsi="Arial" w:cs="Arial"/>
          <w:sz w:val="18"/>
          <w:szCs w:val="20"/>
        </w:rPr>
      </w:pPr>
    </w:p>
    <w:p w:rsidR="00664A44" w:rsidRPr="00186225" w:rsidRDefault="00664A44" w:rsidP="00A10DC1">
      <w:pPr>
        <w:rPr>
          <w:rFonts w:ascii="Arial" w:hAnsi="Arial" w:cs="Arial"/>
          <w:sz w:val="18"/>
          <w:szCs w:val="20"/>
        </w:rPr>
      </w:pPr>
      <w:r w:rsidRPr="00186225">
        <w:rPr>
          <w:rFonts w:ascii="Arial" w:hAnsi="Arial" w:cs="Arial"/>
          <w:sz w:val="18"/>
          <w:szCs w:val="20"/>
        </w:rPr>
        <w:t>As a result, tens of thousands of Falun Gong practitioners have been arbitrarily detained and, often through the use of torture and other ill-treatment, made to renounce their spiritual beliefs. Since the 2013 abolition of “Re-Education Through Labour” (RTL) facilities, Chinese authorities are using alternate methods of arbitrary detention, including the criminal prosecution of individuals.</w:t>
      </w:r>
    </w:p>
    <w:p w:rsidR="00664A44" w:rsidRPr="00186225" w:rsidRDefault="00664A44" w:rsidP="00A10DC1">
      <w:pPr>
        <w:rPr>
          <w:rFonts w:ascii="Arial" w:hAnsi="Arial" w:cs="Arial"/>
          <w:sz w:val="18"/>
          <w:szCs w:val="20"/>
        </w:rPr>
      </w:pPr>
    </w:p>
    <w:p w:rsidR="00664A44" w:rsidRPr="00186225" w:rsidRDefault="00664A44" w:rsidP="00A10DC1">
      <w:pPr>
        <w:rPr>
          <w:rFonts w:ascii="Arial" w:hAnsi="Arial" w:cs="Arial"/>
          <w:sz w:val="18"/>
          <w:szCs w:val="20"/>
        </w:rPr>
      </w:pPr>
      <w:r w:rsidRPr="00186225">
        <w:rPr>
          <w:rFonts w:ascii="Arial" w:hAnsi="Arial" w:cs="Arial"/>
          <w:sz w:val="18"/>
          <w:szCs w:val="20"/>
        </w:rPr>
        <w:t>Torture and other ill-treatment are endemic in all forms of detention, although China ratified the UN Convention Against Torture in 1988. Amnesty International receives regular reports of deaths in custody, often caused by torture. Other inmates and “cell bosses” are used by detention centre and prison authorities to monitor the behaviour of fellow inmates and mete out punishment including subjecting resistant detainees to sleep deprivation, stress positions, as well as other physical and mental forms of torture or other ill-treatment.</w:t>
      </w:r>
    </w:p>
    <w:p w:rsidR="00664A44" w:rsidRPr="00186225" w:rsidRDefault="00664A44" w:rsidP="00A10DC1">
      <w:pPr>
        <w:rPr>
          <w:rFonts w:ascii="Arial" w:hAnsi="Arial" w:cs="Arial"/>
          <w:sz w:val="18"/>
          <w:szCs w:val="20"/>
        </w:rPr>
      </w:pPr>
    </w:p>
    <w:p w:rsidR="00664A44" w:rsidRPr="00186225" w:rsidRDefault="00664A44" w:rsidP="00A10DC1">
      <w:pPr>
        <w:rPr>
          <w:rFonts w:ascii="Arial" w:hAnsi="Arial" w:cs="Arial"/>
          <w:sz w:val="18"/>
          <w:szCs w:val="20"/>
        </w:rPr>
      </w:pPr>
      <w:r w:rsidRPr="00186225">
        <w:rPr>
          <w:rFonts w:ascii="Arial" w:hAnsi="Arial" w:cs="Arial"/>
          <w:sz w:val="18"/>
          <w:szCs w:val="20"/>
        </w:rPr>
        <w:t>The criminal justice system in China is roughly divided into three distinct phases: the police-led investigation, the prosecution phase, in which the prosecutors approve of the initial evidence needed to arrest a suspect and engages in further investigation to decide whether to indict a suspect; and the final trial phase carried out by the courts. Similar to previous years, the conviction rate in 2015 was higher than 99.9%, making it very important to voice concerns as early in the criminal justice process as possible, preferably before the decisions to arrest or indict suspects are even made.</w:t>
      </w:r>
    </w:p>
    <w:p w:rsidR="00664A44" w:rsidRPr="0029011F" w:rsidRDefault="00664A44" w:rsidP="00A10DC1">
      <w:pPr>
        <w:rPr>
          <w:rFonts w:ascii="Arial" w:hAnsi="Arial" w:cs="Arial"/>
          <w:sz w:val="20"/>
          <w:szCs w:val="20"/>
        </w:rPr>
      </w:pPr>
    </w:p>
    <w:p w:rsidR="00664A44" w:rsidRPr="0029011F" w:rsidRDefault="00664A44" w:rsidP="00A10DC1">
      <w:pPr>
        <w:rPr>
          <w:rFonts w:ascii="Arial" w:hAnsi="Arial" w:cs="Arial"/>
          <w:sz w:val="20"/>
          <w:szCs w:val="20"/>
        </w:rPr>
      </w:pPr>
    </w:p>
    <w:p w:rsidR="00664A44" w:rsidRPr="008D7231" w:rsidRDefault="00664A44" w:rsidP="00A10DC1">
      <w:pPr>
        <w:rPr>
          <w:rFonts w:ascii="Arial" w:hAnsi="Arial" w:cs="Arial"/>
          <w:sz w:val="16"/>
          <w:szCs w:val="20"/>
        </w:rPr>
      </w:pPr>
      <w:r w:rsidRPr="008D7231">
        <w:rPr>
          <w:rFonts w:ascii="Arial" w:hAnsi="Arial" w:cs="Arial"/>
          <w:sz w:val="16"/>
          <w:szCs w:val="20"/>
        </w:rPr>
        <w:t>Name: Chen Huixia</w:t>
      </w:r>
    </w:p>
    <w:p w:rsidR="00B76E54" w:rsidRPr="009B7F78" w:rsidRDefault="00664A44" w:rsidP="00A10DC1">
      <w:pPr>
        <w:rPr>
          <w:rFonts w:ascii="Arial" w:hAnsi="Arial" w:cs="Arial"/>
          <w:sz w:val="16"/>
          <w:szCs w:val="16"/>
        </w:rPr>
      </w:pPr>
      <w:r w:rsidRPr="008D7231">
        <w:rPr>
          <w:rFonts w:ascii="Arial" w:hAnsi="Arial" w:cs="Arial"/>
          <w:sz w:val="16"/>
          <w:szCs w:val="16"/>
        </w:rPr>
        <w:t>Gender m/f: Female</w:t>
      </w:r>
    </w:p>
    <w:sectPr w:rsidR="00B76E54" w:rsidRPr="009B7F78" w:rsidSect="008036A6">
      <w:headerReference w:type="default" r:id="rId19"/>
      <w:footerReference w:type="default" r:id="rId20"/>
      <w:headerReference w:type="first" r:id="rId21"/>
      <w:footerReference w:type="first" r:id="rId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3C" w:rsidRDefault="00C3703C">
      <w:r>
        <w:separator/>
      </w:r>
    </w:p>
  </w:endnote>
  <w:endnote w:type="continuationSeparator" w:id="0">
    <w:p w:rsidR="00C3703C" w:rsidRDefault="00C3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E1C7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7A" w:rsidRPr="000E1C7A" w:rsidRDefault="000E1C7A" w:rsidP="000E1C7A">
    <w:pPr>
      <w:jc w:val="center"/>
      <w:rPr>
        <w:rFonts w:ascii="Arial" w:hAnsi="Arial" w:cs="Arial"/>
        <w:color w:val="000000" w:themeColor="text1"/>
        <w:sz w:val="16"/>
        <w:szCs w:val="16"/>
      </w:rPr>
    </w:pPr>
    <w:r w:rsidRPr="000E1C7A">
      <w:rPr>
        <w:rFonts w:ascii="Arial" w:hAnsi="Arial" w:cs="Arial"/>
        <w:color w:val="000000" w:themeColor="text1"/>
        <w:sz w:val="16"/>
        <w:szCs w:val="16"/>
      </w:rPr>
      <w:t xml:space="preserve">AIUSA’s Urgent Action Network | 5 Penn Plaza, New York NY 10001 </w:t>
    </w:r>
  </w:p>
  <w:p w:rsidR="000E1C7A" w:rsidRPr="000E1C7A" w:rsidRDefault="000E1C7A" w:rsidP="000E1C7A">
    <w:pPr>
      <w:jc w:val="center"/>
      <w:rPr>
        <w:rFonts w:ascii="Arial" w:hAnsi="Arial" w:cs="Arial"/>
        <w:color w:val="000000" w:themeColor="text1"/>
        <w:sz w:val="16"/>
        <w:szCs w:val="16"/>
      </w:rPr>
    </w:pPr>
    <w:r w:rsidRPr="000E1C7A">
      <w:rPr>
        <w:rFonts w:ascii="Arial" w:hAnsi="Arial" w:cs="Arial"/>
        <w:color w:val="000000" w:themeColor="text1"/>
        <w:sz w:val="16"/>
        <w:szCs w:val="16"/>
      </w:rPr>
      <w:t xml:space="preserve">T (212) 807- 8400 | uan@aiusa.org | </w:t>
    </w:r>
    <w:hyperlink r:id="rId1" w:history="1">
      <w:r w:rsidRPr="000E1C7A">
        <w:rPr>
          <w:rStyle w:val="Hyperlink"/>
          <w:rFonts w:ascii="Arial" w:hAnsi="Arial" w:cs="Arial"/>
          <w:color w:val="000000" w:themeColor="text1"/>
          <w:sz w:val="16"/>
          <w:szCs w:val="16"/>
        </w:rPr>
        <w:t>www.amnestyusa.org/uan</w:t>
      </w:r>
    </w:hyperlink>
    <w:r w:rsidRPr="000E1C7A">
      <w:rPr>
        <w:rFonts w:ascii="Arial" w:hAnsi="Arial" w:cs="Arial"/>
        <w:color w:val="000000" w:themeColor="text1"/>
        <w:sz w:val="16"/>
        <w:szCs w:val="16"/>
      </w:rPr>
      <w:t xml:space="preserve"> </w:t>
    </w:r>
  </w:p>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E1C7A">
    <w:pPr>
      <w:pStyle w:val="Footer"/>
    </w:pPr>
    <w:r w:rsidRPr="00290BCB">
      <w:rPr>
        <w:noProof/>
        <w:lang w:val="en-US"/>
      </w:rPr>
      <w:drawing>
        <wp:inline distT="0" distB="0" distL="0" distR="0">
          <wp:extent cx="6467475" cy="962025"/>
          <wp:effectExtent l="0" t="0" r="9525" b="9525"/>
          <wp:docPr id="3"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3C" w:rsidRDefault="00C3703C">
      <w:r>
        <w:separator/>
      </w:r>
    </w:p>
  </w:footnote>
  <w:footnote w:type="continuationSeparator" w:id="0">
    <w:p w:rsidR="00C3703C" w:rsidRDefault="00C37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8E421D">
      <w:rPr>
        <w:rFonts w:ascii="Amnesty Trade Gothic" w:hAnsi="Amnesty Trade Gothic"/>
        <w:sz w:val="16"/>
        <w:szCs w:val="16"/>
      </w:rPr>
      <w:t>216/16</w:t>
    </w:r>
    <w:r w:rsidR="001F16F7">
      <w:rPr>
        <w:rFonts w:ascii="Amnesty Trade Gothic" w:hAnsi="Amnesty Trade Gothic"/>
        <w:sz w:val="16"/>
        <w:szCs w:val="16"/>
      </w:rPr>
      <w:t xml:space="preserve"> Index: </w:t>
    </w:r>
    <w:r w:rsidR="008E421D">
      <w:rPr>
        <w:rFonts w:ascii="Amnesty Trade Gothic" w:hAnsi="Amnesty Trade Gothic"/>
        <w:sz w:val="16"/>
        <w:szCs w:val="16"/>
      </w:rPr>
      <w:t xml:space="preserve">ASA </w:t>
    </w:r>
    <w:r w:rsidR="007F17AE">
      <w:rPr>
        <w:rFonts w:ascii="Amnesty Trade Gothic" w:hAnsi="Amnesty Trade Gothic"/>
        <w:sz w:val="16"/>
        <w:szCs w:val="16"/>
      </w:rPr>
      <w:t>17/</w:t>
    </w:r>
    <w:r w:rsidR="008869B2" w:rsidRPr="008869B2">
      <w:rPr>
        <w:rFonts w:ascii="Amnesty Trade Gothic" w:hAnsi="Amnesty Trade Gothic"/>
        <w:bCs/>
        <w:sz w:val="16"/>
        <w:szCs w:val="16"/>
      </w:rPr>
      <w:t>6860</w:t>
    </w:r>
    <w:r w:rsidR="007F17AE">
      <w:rPr>
        <w:rFonts w:ascii="Amnesty Trade Gothic" w:hAnsi="Amnesty Trade Gothic"/>
        <w:sz w:val="16"/>
        <w:szCs w:val="16"/>
      </w:rPr>
      <w:t>/2017</w:t>
    </w:r>
    <w:r w:rsidR="001F16F7">
      <w:rPr>
        <w:rFonts w:ascii="Amnesty Trade Gothic" w:hAnsi="Amnesty Trade Gothic"/>
        <w:sz w:val="16"/>
        <w:szCs w:val="16"/>
      </w:rPr>
      <w:t xml:space="preserve"> </w:t>
    </w:r>
    <w:r w:rsidR="007F17AE">
      <w:rPr>
        <w:rFonts w:ascii="Amnesty Trade Gothic" w:hAnsi="Amnesty Trade Gothic"/>
        <w:sz w:val="16"/>
        <w:szCs w:val="16"/>
      </w:rPr>
      <w:t>China</w:t>
    </w:r>
    <w:r>
      <w:rPr>
        <w:rFonts w:ascii="Amnesty Trade Gothic" w:hAnsi="Amnesty Trade Gothic"/>
        <w:sz w:val="16"/>
        <w:szCs w:val="16"/>
      </w:rPr>
      <w:tab/>
      <w:t xml:space="preserve">Date: </w:t>
    </w:r>
    <w:r w:rsidR="007F17AE">
      <w:rPr>
        <w:rFonts w:ascii="Amnesty Trade Gothic" w:hAnsi="Amnesty Trade Gothic"/>
        <w:sz w:val="16"/>
        <w:szCs w:val="16"/>
      </w:rPr>
      <w:t>3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D5264"/>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39A1"/>
    <w:rsid w:val="00064488"/>
    <w:rsid w:val="000664A2"/>
    <w:rsid w:val="00067212"/>
    <w:rsid w:val="000800B2"/>
    <w:rsid w:val="00086119"/>
    <w:rsid w:val="00091A32"/>
    <w:rsid w:val="000920C9"/>
    <w:rsid w:val="000948C5"/>
    <w:rsid w:val="00094AD9"/>
    <w:rsid w:val="00095AE4"/>
    <w:rsid w:val="000A0F23"/>
    <w:rsid w:val="000A32A1"/>
    <w:rsid w:val="000A3554"/>
    <w:rsid w:val="000A3C08"/>
    <w:rsid w:val="000A3F3A"/>
    <w:rsid w:val="000B0344"/>
    <w:rsid w:val="000B2197"/>
    <w:rsid w:val="000B23F7"/>
    <w:rsid w:val="000B5144"/>
    <w:rsid w:val="000C1071"/>
    <w:rsid w:val="000C161E"/>
    <w:rsid w:val="000C1B1B"/>
    <w:rsid w:val="000D52A8"/>
    <w:rsid w:val="000D6F64"/>
    <w:rsid w:val="000E1C7A"/>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41C8D"/>
    <w:rsid w:val="00143DFD"/>
    <w:rsid w:val="001516A0"/>
    <w:rsid w:val="00151B33"/>
    <w:rsid w:val="0015385F"/>
    <w:rsid w:val="0015416A"/>
    <w:rsid w:val="00156420"/>
    <w:rsid w:val="0016037D"/>
    <w:rsid w:val="001624EA"/>
    <w:rsid w:val="00162D7D"/>
    <w:rsid w:val="001671E0"/>
    <w:rsid w:val="00167DAF"/>
    <w:rsid w:val="001701A1"/>
    <w:rsid w:val="0017068C"/>
    <w:rsid w:val="00171155"/>
    <w:rsid w:val="001715B7"/>
    <w:rsid w:val="001737E5"/>
    <w:rsid w:val="00176600"/>
    <w:rsid w:val="00180C56"/>
    <w:rsid w:val="00182E2F"/>
    <w:rsid w:val="00183ED2"/>
    <w:rsid w:val="0018428E"/>
    <w:rsid w:val="00186225"/>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5957"/>
    <w:rsid w:val="002666D7"/>
    <w:rsid w:val="00267115"/>
    <w:rsid w:val="0026766F"/>
    <w:rsid w:val="002676E1"/>
    <w:rsid w:val="002705A5"/>
    <w:rsid w:val="0027166B"/>
    <w:rsid w:val="00272361"/>
    <w:rsid w:val="00272E84"/>
    <w:rsid w:val="0027630F"/>
    <w:rsid w:val="0028172B"/>
    <w:rsid w:val="00282ADC"/>
    <w:rsid w:val="00285D2B"/>
    <w:rsid w:val="0029011F"/>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06A02"/>
    <w:rsid w:val="00310839"/>
    <w:rsid w:val="00310926"/>
    <w:rsid w:val="00311B06"/>
    <w:rsid w:val="00315EBE"/>
    <w:rsid w:val="003206E1"/>
    <w:rsid w:val="00327D90"/>
    <w:rsid w:val="00332276"/>
    <w:rsid w:val="003343A4"/>
    <w:rsid w:val="00344A8E"/>
    <w:rsid w:val="00345492"/>
    <w:rsid w:val="0034642C"/>
    <w:rsid w:val="00347243"/>
    <w:rsid w:val="00352E7B"/>
    <w:rsid w:val="0035377B"/>
    <w:rsid w:val="00355BAE"/>
    <w:rsid w:val="00355EAE"/>
    <w:rsid w:val="0035609C"/>
    <w:rsid w:val="00363EDA"/>
    <w:rsid w:val="003656FE"/>
    <w:rsid w:val="00373C67"/>
    <w:rsid w:val="00373FF8"/>
    <w:rsid w:val="00375E81"/>
    <w:rsid w:val="00385865"/>
    <w:rsid w:val="00386454"/>
    <w:rsid w:val="003962C4"/>
    <w:rsid w:val="003977DC"/>
    <w:rsid w:val="003A2A73"/>
    <w:rsid w:val="003A6617"/>
    <w:rsid w:val="003B4359"/>
    <w:rsid w:val="003B62B5"/>
    <w:rsid w:val="003C1E84"/>
    <w:rsid w:val="003C2C28"/>
    <w:rsid w:val="003C391E"/>
    <w:rsid w:val="003C3DB5"/>
    <w:rsid w:val="003C4B9E"/>
    <w:rsid w:val="003D377A"/>
    <w:rsid w:val="003D6B99"/>
    <w:rsid w:val="003E0F68"/>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0CA7"/>
    <w:rsid w:val="00426D1C"/>
    <w:rsid w:val="004312FA"/>
    <w:rsid w:val="00437710"/>
    <w:rsid w:val="00447941"/>
    <w:rsid w:val="00462F25"/>
    <w:rsid w:val="00464642"/>
    <w:rsid w:val="004667B6"/>
    <w:rsid w:val="0047325C"/>
    <w:rsid w:val="00475586"/>
    <w:rsid w:val="00483E30"/>
    <w:rsid w:val="0048414A"/>
    <w:rsid w:val="004909FC"/>
    <w:rsid w:val="00495110"/>
    <w:rsid w:val="00496846"/>
    <w:rsid w:val="004A3ACC"/>
    <w:rsid w:val="004A74DB"/>
    <w:rsid w:val="004B3580"/>
    <w:rsid w:val="004B7261"/>
    <w:rsid w:val="004C666A"/>
    <w:rsid w:val="004C687F"/>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A7AD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615B3"/>
    <w:rsid w:val="00664A44"/>
    <w:rsid w:val="00664C69"/>
    <w:rsid w:val="006730DE"/>
    <w:rsid w:val="00677BB5"/>
    <w:rsid w:val="006814D6"/>
    <w:rsid w:val="006820E8"/>
    <w:rsid w:val="006824FD"/>
    <w:rsid w:val="006B1ECE"/>
    <w:rsid w:val="006B67C1"/>
    <w:rsid w:val="006C1A0E"/>
    <w:rsid w:val="006C2190"/>
    <w:rsid w:val="006C3DE2"/>
    <w:rsid w:val="006C522F"/>
    <w:rsid w:val="006D0A7A"/>
    <w:rsid w:val="006D0E18"/>
    <w:rsid w:val="006D2F48"/>
    <w:rsid w:val="006D4472"/>
    <w:rsid w:val="006D7E47"/>
    <w:rsid w:val="006E16F6"/>
    <w:rsid w:val="006F059C"/>
    <w:rsid w:val="006F0AE1"/>
    <w:rsid w:val="00703AC3"/>
    <w:rsid w:val="00703B60"/>
    <w:rsid w:val="0070730C"/>
    <w:rsid w:val="007073AA"/>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5837"/>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17AE"/>
    <w:rsid w:val="007F4786"/>
    <w:rsid w:val="007F5DA6"/>
    <w:rsid w:val="008036A6"/>
    <w:rsid w:val="00804AC7"/>
    <w:rsid w:val="00810AD1"/>
    <w:rsid w:val="00814004"/>
    <w:rsid w:val="00815508"/>
    <w:rsid w:val="00816FB0"/>
    <w:rsid w:val="00817483"/>
    <w:rsid w:val="00820661"/>
    <w:rsid w:val="008224D0"/>
    <w:rsid w:val="008241AB"/>
    <w:rsid w:val="00833E80"/>
    <w:rsid w:val="00833F6B"/>
    <w:rsid w:val="00846A17"/>
    <w:rsid w:val="00855086"/>
    <w:rsid w:val="0086100E"/>
    <w:rsid w:val="00862FF4"/>
    <w:rsid w:val="0086363D"/>
    <w:rsid w:val="00864ACF"/>
    <w:rsid w:val="00870F66"/>
    <w:rsid w:val="00872646"/>
    <w:rsid w:val="00875998"/>
    <w:rsid w:val="00875E19"/>
    <w:rsid w:val="008810B0"/>
    <w:rsid w:val="008869B2"/>
    <w:rsid w:val="00892CC8"/>
    <w:rsid w:val="00893986"/>
    <w:rsid w:val="008967FA"/>
    <w:rsid w:val="008A329A"/>
    <w:rsid w:val="008A3DAB"/>
    <w:rsid w:val="008A43F9"/>
    <w:rsid w:val="008A4E10"/>
    <w:rsid w:val="008A6700"/>
    <w:rsid w:val="008C16D8"/>
    <w:rsid w:val="008C422E"/>
    <w:rsid w:val="008C576C"/>
    <w:rsid w:val="008C6392"/>
    <w:rsid w:val="008C7566"/>
    <w:rsid w:val="008D047B"/>
    <w:rsid w:val="008D527D"/>
    <w:rsid w:val="008D57A8"/>
    <w:rsid w:val="008D7231"/>
    <w:rsid w:val="008D7305"/>
    <w:rsid w:val="008E02B0"/>
    <w:rsid w:val="008E421D"/>
    <w:rsid w:val="008E48B0"/>
    <w:rsid w:val="008E6015"/>
    <w:rsid w:val="008F2BC1"/>
    <w:rsid w:val="008F584D"/>
    <w:rsid w:val="008F64FC"/>
    <w:rsid w:val="008F6556"/>
    <w:rsid w:val="00907C0E"/>
    <w:rsid w:val="009116A0"/>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4B06"/>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41A"/>
    <w:rsid w:val="009E0910"/>
    <w:rsid w:val="009F4BB3"/>
    <w:rsid w:val="009F5E63"/>
    <w:rsid w:val="00A01C82"/>
    <w:rsid w:val="00A02B06"/>
    <w:rsid w:val="00A071B0"/>
    <w:rsid w:val="00A10DC1"/>
    <w:rsid w:val="00A1368B"/>
    <w:rsid w:val="00A1639D"/>
    <w:rsid w:val="00A24893"/>
    <w:rsid w:val="00A34BA6"/>
    <w:rsid w:val="00A40882"/>
    <w:rsid w:val="00A4773E"/>
    <w:rsid w:val="00A52F77"/>
    <w:rsid w:val="00A547B5"/>
    <w:rsid w:val="00A74F0B"/>
    <w:rsid w:val="00A76B63"/>
    <w:rsid w:val="00A7761D"/>
    <w:rsid w:val="00A80480"/>
    <w:rsid w:val="00A83AB0"/>
    <w:rsid w:val="00A852C7"/>
    <w:rsid w:val="00A93950"/>
    <w:rsid w:val="00A962B5"/>
    <w:rsid w:val="00AA5AAC"/>
    <w:rsid w:val="00AB4379"/>
    <w:rsid w:val="00AC32EE"/>
    <w:rsid w:val="00AC4C54"/>
    <w:rsid w:val="00AC704F"/>
    <w:rsid w:val="00AD2793"/>
    <w:rsid w:val="00AE60FD"/>
    <w:rsid w:val="00AF15BC"/>
    <w:rsid w:val="00AF43F7"/>
    <w:rsid w:val="00AF4CF9"/>
    <w:rsid w:val="00B0352E"/>
    <w:rsid w:val="00B043D9"/>
    <w:rsid w:val="00B06E79"/>
    <w:rsid w:val="00B072D9"/>
    <w:rsid w:val="00B12D4B"/>
    <w:rsid w:val="00B1307A"/>
    <w:rsid w:val="00B15E11"/>
    <w:rsid w:val="00B22D7A"/>
    <w:rsid w:val="00B24B0A"/>
    <w:rsid w:val="00B30C02"/>
    <w:rsid w:val="00B337E6"/>
    <w:rsid w:val="00B35919"/>
    <w:rsid w:val="00B376BA"/>
    <w:rsid w:val="00B404F1"/>
    <w:rsid w:val="00B419B6"/>
    <w:rsid w:val="00B4432F"/>
    <w:rsid w:val="00B452E3"/>
    <w:rsid w:val="00B46EFA"/>
    <w:rsid w:val="00B53182"/>
    <w:rsid w:val="00B606A2"/>
    <w:rsid w:val="00B60FB0"/>
    <w:rsid w:val="00B64A0A"/>
    <w:rsid w:val="00B667DE"/>
    <w:rsid w:val="00B70C75"/>
    <w:rsid w:val="00B71421"/>
    <w:rsid w:val="00B71D25"/>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3703C"/>
    <w:rsid w:val="00C41169"/>
    <w:rsid w:val="00C42566"/>
    <w:rsid w:val="00C45BF8"/>
    <w:rsid w:val="00C50A9C"/>
    <w:rsid w:val="00C50E97"/>
    <w:rsid w:val="00C5339D"/>
    <w:rsid w:val="00C62EC7"/>
    <w:rsid w:val="00C6413E"/>
    <w:rsid w:val="00C64997"/>
    <w:rsid w:val="00C662FF"/>
    <w:rsid w:val="00C70C9E"/>
    <w:rsid w:val="00C7240F"/>
    <w:rsid w:val="00C73548"/>
    <w:rsid w:val="00C73CA2"/>
    <w:rsid w:val="00C75679"/>
    <w:rsid w:val="00C76BD8"/>
    <w:rsid w:val="00C817DF"/>
    <w:rsid w:val="00C9098A"/>
    <w:rsid w:val="00C96CB7"/>
    <w:rsid w:val="00C97FBA"/>
    <w:rsid w:val="00CA00DD"/>
    <w:rsid w:val="00CA0E47"/>
    <w:rsid w:val="00CA164A"/>
    <w:rsid w:val="00CA428F"/>
    <w:rsid w:val="00CA77FD"/>
    <w:rsid w:val="00CB0762"/>
    <w:rsid w:val="00CB61CA"/>
    <w:rsid w:val="00CB76BB"/>
    <w:rsid w:val="00CC04F5"/>
    <w:rsid w:val="00CC0686"/>
    <w:rsid w:val="00CC2305"/>
    <w:rsid w:val="00CD1D89"/>
    <w:rsid w:val="00CD2CDE"/>
    <w:rsid w:val="00CD719E"/>
    <w:rsid w:val="00CD7CE1"/>
    <w:rsid w:val="00CE103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963"/>
    <w:rsid w:val="00D21ADC"/>
    <w:rsid w:val="00D31016"/>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5964"/>
    <w:rsid w:val="00DE71A0"/>
    <w:rsid w:val="00DF0C26"/>
    <w:rsid w:val="00DF1274"/>
    <w:rsid w:val="00DF18DF"/>
    <w:rsid w:val="00DF3BFF"/>
    <w:rsid w:val="00DF7AB7"/>
    <w:rsid w:val="00E0076F"/>
    <w:rsid w:val="00E063DC"/>
    <w:rsid w:val="00E12B8F"/>
    <w:rsid w:val="00E21258"/>
    <w:rsid w:val="00E23769"/>
    <w:rsid w:val="00E2387F"/>
    <w:rsid w:val="00E30DA2"/>
    <w:rsid w:val="00E30DF3"/>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ADB"/>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4493"/>
    <w:rsid w:val="00F16B8A"/>
    <w:rsid w:val="00F1703B"/>
    <w:rsid w:val="00F17F91"/>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0461"/>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3E6976-D618-4612-875B-D5AF1EC8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ColorfulShading-Accent1">
    <w:name w:val="Colorful Shading Accent 1"/>
    <w:basedOn w:val="TableNormal"/>
    <w:uiPriority w:val="71"/>
    <w:semiHidden/>
    <w:unhideWhenUsed/>
    <w:rPr>
      <w:color w:val="000000" w:themeColor="text1"/>
      <w:lang w:val="en-GB" w:eastAsia="zh-TW"/>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55D91"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ADCCEA"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lang w:val="en-GB" w:eastAsia="zh-TW"/>
    </w:rPr>
    <w:tblPr>
      <w:tblStyleRowBandSize w:val="1"/>
      <w:tblStyleColBandSize w:val="1"/>
    </w:tblPr>
    <w:tcPr>
      <w:shd w:val="clear" w:color="auto" w:fill="EEF5FB"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hemeFill="accent1" w:themeFillTint="3F"/>
      </w:tcPr>
    </w:tblStylePr>
    <w:tblStylePr w:type="band1Horz">
      <w:rPr>
        <w:rFonts w:cs="Times New Roman"/>
      </w:rPr>
      <w:tblPr/>
      <w:tcPr>
        <w:shd w:val="clear" w:color="auto" w:fill="DEEAF6" w:themeFill="accent1" w:themeFillTint="33"/>
      </w:tcPr>
    </w:tblStylePr>
  </w:style>
  <w:style w:type="character" w:styleId="FollowedHyperlink">
    <w:name w:val="FollowedHyperlink"/>
    <w:basedOn w:val="DefaultParagraphFont"/>
    <w:uiPriority w:val="99"/>
    <w:rsid w:val="00785837"/>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18682">
      <w:marLeft w:val="0"/>
      <w:marRight w:val="0"/>
      <w:marTop w:val="0"/>
      <w:marBottom w:val="0"/>
      <w:divBdr>
        <w:top w:val="none" w:sz="0" w:space="0" w:color="auto"/>
        <w:left w:val="none" w:sz="0" w:space="0" w:color="auto"/>
        <w:bottom w:val="none" w:sz="0" w:space="0" w:color="auto"/>
        <w:right w:val="none" w:sz="0" w:space="0" w:color="auto"/>
      </w:divBdr>
    </w:div>
    <w:div w:id="1082218683">
      <w:marLeft w:val="0"/>
      <w:marRight w:val="0"/>
      <w:marTop w:val="0"/>
      <w:marBottom w:val="0"/>
      <w:divBdr>
        <w:top w:val="none" w:sz="0" w:space="0" w:color="auto"/>
        <w:left w:val="none" w:sz="0" w:space="0" w:color="auto"/>
        <w:bottom w:val="none" w:sz="0" w:space="0" w:color="auto"/>
        <w:right w:val="none" w:sz="0" w:space="0" w:color="auto"/>
      </w:divBdr>
    </w:div>
    <w:div w:id="1082218684">
      <w:marLeft w:val="0"/>
      <w:marRight w:val="0"/>
      <w:marTop w:val="0"/>
      <w:marBottom w:val="0"/>
      <w:divBdr>
        <w:top w:val="none" w:sz="0" w:space="0" w:color="auto"/>
        <w:left w:val="none" w:sz="0" w:space="0" w:color="auto"/>
        <w:bottom w:val="none" w:sz="0" w:space="0" w:color="auto"/>
        <w:right w:val="none" w:sz="0" w:space="0" w:color="auto"/>
      </w:divBdr>
    </w:div>
    <w:div w:id="1082218685">
      <w:marLeft w:val="0"/>
      <w:marRight w:val="0"/>
      <w:marTop w:val="0"/>
      <w:marBottom w:val="0"/>
      <w:divBdr>
        <w:top w:val="none" w:sz="0" w:space="0" w:color="auto"/>
        <w:left w:val="none" w:sz="0" w:space="0" w:color="auto"/>
        <w:bottom w:val="none" w:sz="0" w:space="0" w:color="auto"/>
        <w:right w:val="none" w:sz="0" w:space="0" w:color="auto"/>
      </w:divBdr>
    </w:div>
    <w:div w:id="1082218686">
      <w:marLeft w:val="0"/>
      <w:marRight w:val="0"/>
      <w:marTop w:val="0"/>
      <w:marBottom w:val="0"/>
      <w:divBdr>
        <w:top w:val="none" w:sz="0" w:space="0" w:color="auto"/>
        <w:left w:val="none" w:sz="0" w:space="0" w:color="auto"/>
        <w:bottom w:val="none" w:sz="0" w:space="0" w:color="auto"/>
        <w:right w:val="none" w:sz="0" w:space="0" w:color="auto"/>
      </w:divBdr>
    </w:div>
    <w:div w:id="1082218687">
      <w:marLeft w:val="0"/>
      <w:marRight w:val="0"/>
      <w:marTop w:val="0"/>
      <w:marBottom w:val="0"/>
      <w:divBdr>
        <w:top w:val="none" w:sz="0" w:space="0" w:color="auto"/>
        <w:left w:val="none" w:sz="0" w:space="0" w:color="auto"/>
        <w:bottom w:val="none" w:sz="0" w:space="0" w:color="auto"/>
        <w:right w:val="none" w:sz="0" w:space="0" w:color="auto"/>
      </w:divBdr>
    </w:div>
    <w:div w:id="1082218688">
      <w:marLeft w:val="0"/>
      <w:marRight w:val="0"/>
      <w:marTop w:val="0"/>
      <w:marBottom w:val="0"/>
      <w:divBdr>
        <w:top w:val="none" w:sz="0" w:space="0" w:color="auto"/>
        <w:left w:val="none" w:sz="0" w:space="0" w:color="auto"/>
        <w:bottom w:val="none" w:sz="0" w:space="0" w:color="auto"/>
        <w:right w:val="none" w:sz="0" w:space="0" w:color="auto"/>
      </w:divBdr>
    </w:div>
    <w:div w:id="1082218689">
      <w:marLeft w:val="0"/>
      <w:marRight w:val="0"/>
      <w:marTop w:val="0"/>
      <w:marBottom w:val="0"/>
      <w:divBdr>
        <w:top w:val="none" w:sz="0" w:space="0" w:color="auto"/>
        <w:left w:val="none" w:sz="0" w:space="0" w:color="auto"/>
        <w:bottom w:val="none" w:sz="0" w:space="0" w:color="auto"/>
        <w:right w:val="none" w:sz="0" w:space="0" w:color="auto"/>
      </w:divBdr>
    </w:div>
    <w:div w:id="1082218690">
      <w:marLeft w:val="0"/>
      <w:marRight w:val="0"/>
      <w:marTop w:val="0"/>
      <w:marBottom w:val="0"/>
      <w:divBdr>
        <w:top w:val="none" w:sz="0" w:space="0" w:color="auto"/>
        <w:left w:val="none" w:sz="0" w:space="0" w:color="auto"/>
        <w:bottom w:val="none" w:sz="0" w:space="0" w:color="auto"/>
        <w:right w:val="none" w:sz="0" w:space="0" w:color="auto"/>
      </w:divBdr>
    </w:div>
    <w:div w:id="1082218691">
      <w:marLeft w:val="0"/>
      <w:marRight w:val="0"/>
      <w:marTop w:val="0"/>
      <w:marBottom w:val="0"/>
      <w:divBdr>
        <w:top w:val="none" w:sz="0" w:space="0" w:color="auto"/>
        <w:left w:val="none" w:sz="0" w:space="0" w:color="auto"/>
        <w:bottom w:val="none" w:sz="0" w:space="0" w:color="auto"/>
        <w:right w:val="none" w:sz="0" w:space="0" w:color="auto"/>
      </w:divBdr>
    </w:div>
    <w:div w:id="1082218692">
      <w:marLeft w:val="0"/>
      <w:marRight w:val="0"/>
      <w:marTop w:val="0"/>
      <w:marBottom w:val="0"/>
      <w:divBdr>
        <w:top w:val="none" w:sz="0" w:space="0" w:color="auto"/>
        <w:left w:val="none" w:sz="0" w:space="0" w:color="auto"/>
        <w:bottom w:val="none" w:sz="0" w:space="0" w:color="auto"/>
        <w:right w:val="none" w:sz="0" w:space="0" w:color="auto"/>
      </w:divBdr>
    </w:div>
    <w:div w:id="1082218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1DD067D-9FB5-4E7D-8BF4-7F1BD97FC576}">
  <ds:schemaRefs>
    <ds:schemaRef ds:uri="http://schemas.microsoft.com/office/2006/metadata/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3C91501A-21FB-4C3B-BAAE-67A7E3DA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962</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iar2team</cp:lastModifiedBy>
  <cp:revision>4</cp:revision>
  <dcterms:created xsi:type="dcterms:W3CDTF">2017-08-03T14:56:00Z</dcterms:created>
  <dcterms:modified xsi:type="dcterms:W3CDTF">2017-08-03T15:04:00Z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