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C375C5">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6F1200" w:rsidP="00C375C5">
      <w:pPr>
        <w:rPr>
          <w:rStyle w:val="AIHeadline"/>
          <w:rFonts w:cs="Arial"/>
          <w:sz w:val="38"/>
          <w:szCs w:val="38"/>
        </w:rPr>
      </w:pPr>
      <w:r>
        <w:rPr>
          <w:rStyle w:val="AIHeadline"/>
          <w:rFonts w:cs="Arial"/>
          <w:sz w:val="38"/>
          <w:szCs w:val="38"/>
        </w:rPr>
        <w:t>ALL 28 MEN SUSPECTED OF BEING GAY RELEASED</w:t>
      </w:r>
    </w:p>
    <w:p w:rsidR="00AF412B" w:rsidRDefault="00493641" w:rsidP="00C375C5">
      <w:pPr>
        <w:pStyle w:val="AIintropara"/>
        <w:spacing w:line="240" w:lineRule="auto"/>
        <w:rPr>
          <w:rFonts w:cs="Arial"/>
        </w:rPr>
      </w:pPr>
      <w:r w:rsidRPr="00493641">
        <w:rPr>
          <w:rFonts w:cs="Arial"/>
        </w:rPr>
        <w:t>The five remaining men still being held on bail, of the 28 who were arrested at a social event outside of Dhaka, were released on 21 July 2017. Initially suspected of being held on suspicion of breaching the prohibition of ‘carnal intercourse against the order of nature’ under Section 377 of the Penal Code, all 28 were charged under the Narcotics Control Act 1990.</w:t>
      </w:r>
    </w:p>
    <w:p w:rsidR="001E4C6B" w:rsidRDefault="006F1200" w:rsidP="00C375C5">
      <w:pPr>
        <w:pStyle w:val="AIBodytext"/>
        <w:spacing w:line="240" w:lineRule="auto"/>
      </w:pPr>
      <w:r>
        <w:t xml:space="preserve">Of the 28 men who were </w:t>
      </w:r>
      <w:r w:rsidRPr="00AF412B">
        <w:t>arres</w:t>
      </w:r>
      <w:bookmarkStart w:id="0" w:name="_GoBack"/>
      <w:bookmarkEnd w:id="0"/>
      <w:r w:rsidRPr="00AF412B">
        <w:t xml:space="preserve">ted </w:t>
      </w:r>
      <w:r w:rsidR="001E4C6B">
        <w:t>o</w:t>
      </w:r>
      <w:r w:rsidR="001E4C6B" w:rsidRPr="00AF412B">
        <w:t>n 19 May</w:t>
      </w:r>
      <w:r w:rsidR="001E4C6B">
        <w:t xml:space="preserve"> 2017 </w:t>
      </w:r>
      <w:r w:rsidRPr="00AF412B">
        <w:t>during a social event on in Kerinaganj, a town south of the capital Dhaka</w:t>
      </w:r>
      <w:r>
        <w:t xml:space="preserve">, </w:t>
      </w:r>
      <w:r w:rsidRPr="00AF412B">
        <w:t>23 were granted bail during different court hearings</w:t>
      </w:r>
      <w:r>
        <w:t xml:space="preserve"> in June while the final five were released on 21 July 2017. </w:t>
      </w:r>
    </w:p>
    <w:p w:rsidR="001E4C6B" w:rsidRDefault="001E4C6B" w:rsidP="00C375C5">
      <w:pPr>
        <w:rPr>
          <w:rFonts w:ascii="Arial" w:hAnsi="Arial"/>
          <w:sz w:val="20"/>
          <w:szCs w:val="20"/>
          <w:lang w:eastAsia="en-US"/>
        </w:rPr>
      </w:pPr>
      <w:r w:rsidRPr="001E4C6B">
        <w:rPr>
          <w:rFonts w:ascii="Arial" w:hAnsi="Arial"/>
          <w:sz w:val="20"/>
          <w:szCs w:val="20"/>
          <w:lang w:eastAsia="en-US"/>
        </w:rPr>
        <w:t xml:space="preserve">Though the individuals </w:t>
      </w:r>
      <w:r>
        <w:rPr>
          <w:rFonts w:ascii="Arial" w:hAnsi="Arial"/>
          <w:sz w:val="20"/>
          <w:szCs w:val="20"/>
          <w:lang w:eastAsia="en-US"/>
        </w:rPr>
        <w:t>were</w:t>
      </w:r>
      <w:r w:rsidRPr="001E4C6B">
        <w:rPr>
          <w:rFonts w:ascii="Arial" w:hAnsi="Arial"/>
          <w:sz w:val="20"/>
          <w:szCs w:val="20"/>
          <w:lang w:eastAsia="en-US"/>
        </w:rPr>
        <w:t xml:space="preserve"> detained on suspicion of violating the Narcotics Control Act 1990, Amnesty International believes that the arrests were due to the fact that the gathering was known to be frequented by gay men. Harassment of LGBTI people by security forces is common in Bangladesh, and many LGBTI people have told Amnesty International that they are extremely hesitant to approach the police. Far from being offered protection, those who have reported abuses say that they are often harassed by police, told to be “less provocative” and even threatened with arrests and criminal charges for “unnatural offences” under Section 377 of the Penal Code.</w:t>
      </w:r>
    </w:p>
    <w:p w:rsidR="001E4C6B" w:rsidRDefault="001E4C6B" w:rsidP="00C375C5">
      <w:pPr>
        <w:rPr>
          <w:rFonts w:ascii="Arial" w:hAnsi="Arial"/>
          <w:sz w:val="20"/>
          <w:szCs w:val="20"/>
          <w:lang w:eastAsia="en-US"/>
        </w:rPr>
      </w:pPr>
    </w:p>
    <w:p w:rsidR="001E4C6B" w:rsidRDefault="001E4C6B" w:rsidP="00C375C5">
      <w:pPr>
        <w:rPr>
          <w:rFonts w:ascii="Arial" w:hAnsi="Arial"/>
          <w:sz w:val="20"/>
          <w:szCs w:val="20"/>
          <w:lang w:eastAsia="en-US"/>
        </w:rPr>
      </w:pPr>
      <w:r w:rsidRPr="001E4C6B">
        <w:rPr>
          <w:rFonts w:ascii="Arial" w:hAnsi="Arial"/>
          <w:sz w:val="20"/>
          <w:szCs w:val="20"/>
          <w:lang w:eastAsia="en-US"/>
        </w:rPr>
        <w:t xml:space="preserve">No definitive information has been provided about whether there have been any conditions attached to the bail, however </w:t>
      </w:r>
      <w:r>
        <w:rPr>
          <w:rFonts w:ascii="Arial" w:hAnsi="Arial"/>
          <w:sz w:val="20"/>
          <w:szCs w:val="20"/>
          <w:lang w:eastAsia="en-US"/>
        </w:rPr>
        <w:t>the men are deemed to be no longer in imminent danger</w:t>
      </w:r>
      <w:r w:rsidRPr="001E4C6B">
        <w:rPr>
          <w:rFonts w:ascii="Arial" w:hAnsi="Arial"/>
          <w:sz w:val="20"/>
          <w:szCs w:val="20"/>
          <w:lang w:eastAsia="en-US"/>
        </w:rPr>
        <w:t>.</w:t>
      </w:r>
      <w:r>
        <w:rPr>
          <w:rFonts w:ascii="Arial" w:hAnsi="Arial"/>
          <w:sz w:val="20"/>
          <w:szCs w:val="20"/>
          <w:lang w:eastAsia="en-US"/>
        </w:rPr>
        <w:t xml:space="preserve"> Amnesty International will continue monitoring the situation, and respond accordingly if there were to be any developments.</w:t>
      </w:r>
    </w:p>
    <w:p w:rsidR="001E4C6B" w:rsidRDefault="001E4C6B" w:rsidP="00C375C5">
      <w:pPr>
        <w:rPr>
          <w:rFonts w:ascii="Arial" w:hAnsi="Arial"/>
          <w:sz w:val="20"/>
          <w:szCs w:val="20"/>
          <w:lang w:eastAsia="en-US"/>
        </w:rPr>
      </w:pPr>
    </w:p>
    <w:p w:rsidR="000F5EB5" w:rsidRPr="00F95961" w:rsidRDefault="003906D6" w:rsidP="00C375C5">
      <w:pPr>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Pr="00F95961" w:rsidRDefault="000F5EB5" w:rsidP="00C375C5">
      <w:pPr>
        <w:pStyle w:val="AITableHeading"/>
        <w:tabs>
          <w:tab w:val="clear" w:pos="567"/>
        </w:tabs>
        <w:rPr>
          <w:rFonts w:cs="Arial"/>
        </w:rPr>
      </w:pPr>
    </w:p>
    <w:p w:rsidR="000F5EB5" w:rsidRDefault="000F5EB5" w:rsidP="00C375C5">
      <w:pPr>
        <w:pStyle w:val="AITextSmallNoLineSpacing"/>
        <w:spacing w:line="240" w:lineRule="auto"/>
        <w:rPr>
          <w:rFonts w:cs="Arial"/>
          <w:b/>
          <w:bCs/>
        </w:rPr>
        <w:sectPr w:rsidR="000F5EB5" w:rsidSect="00C375C5">
          <w:headerReference w:type="default" r:id="rId13"/>
          <w:footerReference w:type="default" r:id="rId14"/>
          <w:headerReference w:type="first" r:id="rId15"/>
          <w:footerReference w:type="first" r:id="rId16"/>
          <w:type w:val="continuous"/>
          <w:pgSz w:w="11906" w:h="16838" w:code="9"/>
          <w:pgMar w:top="720" w:right="720" w:bottom="2160" w:left="720" w:header="0" w:footer="567" w:gutter="0"/>
          <w:cols w:space="720"/>
          <w:titlePg/>
          <w:docGrid w:linePitch="360"/>
        </w:sectPr>
      </w:pPr>
    </w:p>
    <w:p w:rsidR="000F5EB5" w:rsidRDefault="000F5EB5" w:rsidP="00C375C5">
      <w:pPr>
        <w:pStyle w:val="AITextSmallNoLineSpacing"/>
        <w:spacing w:line="240" w:lineRule="auto"/>
        <w:rPr>
          <w:rFonts w:cs="Arial"/>
          <w:b/>
          <w:bCs/>
        </w:rPr>
      </w:pPr>
    </w:p>
    <w:p w:rsidR="000F5EB5" w:rsidRDefault="000F5EB5" w:rsidP="00C375C5">
      <w:pPr>
        <w:pStyle w:val="AITextSmallNoLineSpacing"/>
        <w:spacing w:line="240" w:lineRule="auto"/>
        <w:rPr>
          <w:rFonts w:cs="Arial"/>
          <w:b/>
          <w:bCs/>
        </w:rPr>
      </w:pPr>
    </w:p>
    <w:p w:rsidR="000F5EB5" w:rsidRDefault="000F5EB5" w:rsidP="00C375C5">
      <w:pPr>
        <w:pStyle w:val="AITextSmallNoLineSpacing"/>
        <w:spacing w:line="240" w:lineRule="auto"/>
        <w:rPr>
          <w:rFonts w:cs="Arial"/>
        </w:rPr>
      </w:pPr>
      <w:r w:rsidRPr="00F95961">
        <w:rPr>
          <w:rFonts w:cs="Arial"/>
        </w:rPr>
        <w:t xml:space="preserve">This is the </w:t>
      </w:r>
      <w:r w:rsidR="001E4C6B">
        <w:rPr>
          <w:rFonts w:cs="Arial"/>
        </w:rPr>
        <w:t>second</w:t>
      </w:r>
      <w:r w:rsidRPr="00F95961">
        <w:rPr>
          <w:rFonts w:cs="Arial"/>
        </w:rPr>
        <w:t xml:space="preserve"> update of UA </w:t>
      </w:r>
      <w:r w:rsidR="001E4C6B">
        <w:rPr>
          <w:rFonts w:cs="Arial"/>
        </w:rPr>
        <w:t>112/17</w:t>
      </w:r>
      <w:r w:rsidRPr="00F95961">
        <w:rPr>
          <w:rFonts w:cs="Arial"/>
        </w:rPr>
        <w:t xml:space="preserve">. Further information: </w:t>
      </w:r>
      <w:r w:rsidR="006F1200" w:rsidRPr="006F1200">
        <w:rPr>
          <w:rFonts w:cs="Arial"/>
        </w:rPr>
        <w:t>https://www.amnesty.org/en/documents/asa13/6499/2017/en/</w:t>
      </w:r>
    </w:p>
    <w:p w:rsidR="003906D6" w:rsidRDefault="003906D6" w:rsidP="00C375C5">
      <w:pPr>
        <w:pStyle w:val="AITextSmallNoLineSpacing"/>
        <w:spacing w:line="240" w:lineRule="auto"/>
        <w:rPr>
          <w:rFonts w:cs="Arial"/>
        </w:rPr>
      </w:pPr>
    </w:p>
    <w:p w:rsidR="003906D6" w:rsidRPr="003906D6" w:rsidRDefault="003906D6" w:rsidP="00C375C5">
      <w:pPr>
        <w:pStyle w:val="AITextSmallNoLineSpacing"/>
        <w:spacing w:line="240" w:lineRule="auto"/>
        <w:rPr>
          <w:rFonts w:cs="Arial"/>
        </w:rPr>
      </w:pPr>
      <w:r w:rsidRPr="003906D6">
        <w:rPr>
          <w:rFonts w:cs="Arial"/>
        </w:rPr>
        <w:t>Name:</w:t>
      </w:r>
      <w:r w:rsidR="001E4C6B">
        <w:rPr>
          <w:rFonts w:cs="Arial"/>
        </w:rPr>
        <w:t xml:space="preserve"> Group</w:t>
      </w:r>
    </w:p>
    <w:p w:rsidR="003906D6" w:rsidRPr="003906D6" w:rsidRDefault="003906D6" w:rsidP="00C375C5">
      <w:pPr>
        <w:pStyle w:val="AITextSmallNoLineSpacing"/>
        <w:spacing w:line="240" w:lineRule="auto"/>
        <w:rPr>
          <w:rFonts w:cs="Arial"/>
        </w:rPr>
      </w:pPr>
      <w:r w:rsidRPr="003906D6">
        <w:rPr>
          <w:rFonts w:cs="Arial"/>
        </w:rPr>
        <w:t>Gender m/f:</w:t>
      </w:r>
      <w:r w:rsidR="001E4C6B">
        <w:rPr>
          <w:rFonts w:cs="Arial"/>
        </w:rPr>
        <w:t xml:space="preserve"> Male</w:t>
      </w:r>
    </w:p>
    <w:p w:rsidR="003906D6" w:rsidRPr="003906D6" w:rsidRDefault="003906D6" w:rsidP="00C375C5">
      <w:pPr>
        <w:pStyle w:val="AITextSmallNoLineSpacing"/>
        <w:spacing w:line="240" w:lineRule="auto"/>
        <w:rPr>
          <w:rFonts w:cs="Arial"/>
        </w:rPr>
      </w:pPr>
    </w:p>
    <w:p w:rsidR="003906D6" w:rsidRPr="003906D6" w:rsidRDefault="003906D6" w:rsidP="00C375C5">
      <w:pPr>
        <w:pStyle w:val="AITextSmallNoLineSpacing"/>
        <w:spacing w:line="240" w:lineRule="auto"/>
        <w:rPr>
          <w:rFonts w:cs="Arial"/>
        </w:rPr>
        <w:sectPr w:rsidR="003906D6" w:rsidRPr="003906D6" w:rsidSect="00C375C5">
          <w:type w:val="continuous"/>
          <w:pgSz w:w="11906" w:h="16838" w:code="9"/>
          <w:pgMar w:top="720" w:right="720" w:bottom="2160" w:left="720" w:header="0" w:footer="567" w:gutter="0"/>
          <w:cols w:space="567"/>
          <w:titlePg/>
          <w:docGrid w:linePitch="360"/>
        </w:sectPr>
      </w:pPr>
    </w:p>
    <w:p w:rsidR="003906D6" w:rsidRPr="003906D6" w:rsidRDefault="003906D6" w:rsidP="00C375C5">
      <w:pPr>
        <w:pStyle w:val="AITextSmallNoLineSpacing"/>
        <w:spacing w:line="240" w:lineRule="auto"/>
        <w:rPr>
          <w:rFonts w:cs="Arial"/>
        </w:rPr>
      </w:pPr>
    </w:p>
    <w:p w:rsidR="003906D6" w:rsidRPr="003906D6" w:rsidRDefault="003906D6" w:rsidP="00C375C5">
      <w:pPr>
        <w:pStyle w:val="AITextSmallNoLineSpacing"/>
        <w:spacing w:line="240" w:lineRule="auto"/>
        <w:rPr>
          <w:rFonts w:cs="Arial"/>
        </w:rPr>
      </w:pPr>
    </w:p>
    <w:p w:rsidR="001E4C6B" w:rsidRPr="00817483" w:rsidRDefault="001E4C6B" w:rsidP="00C375C5">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112/17 Index: </w:t>
      </w:r>
      <w:r w:rsidRPr="00C344DF">
        <w:rPr>
          <w:rFonts w:ascii="Amnesty Trade Gothic" w:hAnsi="Amnesty Trade Gothic"/>
          <w:bCs/>
          <w:sz w:val="16"/>
          <w:szCs w:val="16"/>
        </w:rPr>
        <w:t>ASA 13/6854/2017</w:t>
      </w:r>
      <w:r>
        <w:rPr>
          <w:rFonts w:ascii="Amnesty Trade Gothic" w:hAnsi="Amnesty Trade Gothic"/>
          <w:b/>
          <w:bCs/>
          <w:sz w:val="16"/>
          <w:szCs w:val="16"/>
        </w:rPr>
        <w:t xml:space="preserve"> </w:t>
      </w:r>
      <w:r w:rsidR="00EB2DC9">
        <w:rPr>
          <w:rFonts w:ascii="Amnesty Trade Gothic" w:hAnsi="Amnesty Trade Gothic"/>
          <w:sz w:val="16"/>
          <w:szCs w:val="16"/>
        </w:rPr>
        <w:t>Issue Date: 2</w:t>
      </w:r>
      <w:r>
        <w:rPr>
          <w:rFonts w:ascii="Amnesty Trade Gothic" w:hAnsi="Amnesty Trade Gothic"/>
          <w:sz w:val="16"/>
          <w:szCs w:val="16"/>
        </w:rPr>
        <w:t xml:space="preserve"> August 2017</w:t>
      </w:r>
    </w:p>
    <w:p w:rsidR="003906D6" w:rsidRPr="00F95961" w:rsidRDefault="003906D6" w:rsidP="00C375C5">
      <w:pPr>
        <w:pStyle w:val="AITextSmallNoLineSpacing"/>
        <w:spacing w:line="240" w:lineRule="auto"/>
        <w:rPr>
          <w:rFonts w:cs="Arial"/>
        </w:rPr>
      </w:pPr>
    </w:p>
    <w:p w:rsidR="000F5EB5" w:rsidRPr="00F95961" w:rsidRDefault="000F5EB5" w:rsidP="00C375C5">
      <w:pPr>
        <w:pStyle w:val="AITextSmallNoLineSpacing"/>
        <w:spacing w:line="240" w:lineRule="auto"/>
        <w:rPr>
          <w:rFonts w:cs="Arial"/>
        </w:rPr>
      </w:pPr>
    </w:p>
    <w:p w:rsidR="000F5EB5" w:rsidRPr="00F95961" w:rsidRDefault="003906D6" w:rsidP="00C375C5">
      <w:pPr>
        <w:pStyle w:val="AIUASecondHeading"/>
        <w:spacing w:line="240" w:lineRule="auto"/>
        <w:rPr>
          <w:rFonts w:ascii="Arial" w:hAnsi="Arial" w:cs="Arial"/>
          <w:sz w:val="16"/>
        </w:rPr>
      </w:pPr>
      <w:r w:rsidRPr="00F95961">
        <w:rPr>
          <w:rFonts w:ascii="Arial" w:hAnsi="Arial" w:cs="Arial"/>
          <w:sz w:val="16"/>
        </w:rPr>
        <w:t xml:space="preserve"> </w:t>
      </w:r>
    </w:p>
    <w:p w:rsidR="00B76E54" w:rsidRPr="000F5EB5" w:rsidRDefault="00B76E54" w:rsidP="00C375C5"/>
    <w:sectPr w:rsidR="00B76E54" w:rsidRPr="000F5EB5" w:rsidSect="00C375C5">
      <w:headerReference w:type="default" r:id="rId17"/>
      <w:footerReference w:type="default" r:id="rId18"/>
      <w:headerReference w:type="first" r:id="rId19"/>
      <w:footerReference w:type="first" r:id="rId20"/>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B3" w:rsidRDefault="008E44B3">
      <w:r>
        <w:separator/>
      </w:r>
    </w:p>
  </w:endnote>
  <w:endnote w:type="continuationSeparator" w:id="0">
    <w:p w:rsidR="008E44B3" w:rsidRDefault="008E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C375C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C375C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B3" w:rsidRDefault="008E44B3">
      <w:r>
        <w:separator/>
      </w:r>
    </w:p>
  </w:footnote>
  <w:footnote w:type="continuationSeparator" w:id="0">
    <w:p w:rsidR="008E44B3" w:rsidRDefault="008E4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1E4C6B">
      <w:rPr>
        <w:rFonts w:ascii="Amnesty Trade Gothic" w:hAnsi="Amnesty Trade Gothic"/>
        <w:sz w:val="16"/>
        <w:szCs w:val="16"/>
      </w:rPr>
      <w:t xml:space="preserve">112/17 </w:t>
    </w:r>
    <w:r w:rsidR="00277C87">
      <w:rPr>
        <w:rFonts w:ascii="Amnesty Trade Gothic" w:hAnsi="Amnesty Trade Gothic"/>
        <w:sz w:val="16"/>
        <w:szCs w:val="16"/>
      </w:rPr>
      <w:t xml:space="preserve">Index: </w:t>
    </w:r>
    <w:r w:rsidR="001E4C6B" w:rsidRPr="00816E0C">
      <w:rPr>
        <w:rFonts w:ascii="Amnesty Trade Gothic" w:hAnsi="Amnesty Trade Gothic"/>
        <w:bCs/>
        <w:sz w:val="16"/>
        <w:szCs w:val="16"/>
      </w:rPr>
      <w:t>ASA 13/6854/2017</w:t>
    </w:r>
    <w:r w:rsidR="001E4C6B">
      <w:rPr>
        <w:rFonts w:ascii="Amnesty Trade Gothic" w:hAnsi="Amnesty Trade Gothic"/>
        <w:b/>
        <w:bCs/>
        <w:sz w:val="16"/>
        <w:szCs w:val="16"/>
      </w:rPr>
      <w:t xml:space="preserve"> </w:t>
    </w:r>
    <w:r w:rsidR="001E4C6B">
      <w:rPr>
        <w:rFonts w:ascii="Amnesty Trade Gothic" w:hAnsi="Amnesty Trade Gothic"/>
        <w:sz w:val="16"/>
        <w:szCs w:val="16"/>
      </w:rPr>
      <w:t>Bangladesh</w:t>
    </w:r>
    <w:r>
      <w:rPr>
        <w:rFonts w:ascii="Amnesty Trade Gothic" w:hAnsi="Amnesty Trade Gothic"/>
        <w:sz w:val="16"/>
        <w:szCs w:val="16"/>
      </w:rPr>
      <w:tab/>
      <w:t xml:space="preserve">Date: </w:t>
    </w:r>
    <w:r w:rsidR="00EB2DC9">
      <w:rPr>
        <w:rFonts w:ascii="Amnesty Trade Gothic" w:hAnsi="Amnesty Trade Gothic"/>
        <w:sz w:val="16"/>
        <w:szCs w:val="16"/>
      </w:rPr>
      <w:t>2</w:t>
    </w:r>
    <w:r w:rsidR="001E4C6B">
      <w:rPr>
        <w:rFonts w:ascii="Amnesty Trade Gothic" w:hAnsi="Amnesty Trade Gothic"/>
        <w:sz w:val="16"/>
        <w:szCs w:val="16"/>
      </w:rPr>
      <w:t xml:space="preserve">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67F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4C6B"/>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B25FD"/>
    <w:rsid w:val="002B5A58"/>
    <w:rsid w:val="002C2F53"/>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3641"/>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6F1200"/>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E0C"/>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4B3"/>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12B"/>
    <w:rsid w:val="00AF43F7"/>
    <w:rsid w:val="00AF4CF9"/>
    <w:rsid w:val="00B043D9"/>
    <w:rsid w:val="00B06E79"/>
    <w:rsid w:val="00B12D4B"/>
    <w:rsid w:val="00B15E11"/>
    <w:rsid w:val="00B22D7A"/>
    <w:rsid w:val="00B23465"/>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41D"/>
    <w:rsid w:val="00BC397C"/>
    <w:rsid w:val="00BC59E3"/>
    <w:rsid w:val="00BD36DA"/>
    <w:rsid w:val="00BE4AEB"/>
    <w:rsid w:val="00BE4B01"/>
    <w:rsid w:val="00BE70DC"/>
    <w:rsid w:val="00BE74D0"/>
    <w:rsid w:val="00BF6C75"/>
    <w:rsid w:val="00C0395F"/>
    <w:rsid w:val="00C06BC7"/>
    <w:rsid w:val="00C24A12"/>
    <w:rsid w:val="00C264C5"/>
    <w:rsid w:val="00C27855"/>
    <w:rsid w:val="00C344DF"/>
    <w:rsid w:val="00C3478A"/>
    <w:rsid w:val="00C375C5"/>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B1077"/>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2DC9"/>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D7FE09-AE10-4DE3-B5FF-6DFBC814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98495">
      <w:marLeft w:val="0"/>
      <w:marRight w:val="0"/>
      <w:marTop w:val="0"/>
      <w:marBottom w:val="0"/>
      <w:divBdr>
        <w:top w:val="none" w:sz="0" w:space="0" w:color="auto"/>
        <w:left w:val="none" w:sz="0" w:space="0" w:color="auto"/>
        <w:bottom w:val="none" w:sz="0" w:space="0" w:color="auto"/>
        <w:right w:val="none" w:sz="0" w:space="0" w:color="auto"/>
      </w:divBdr>
    </w:div>
    <w:div w:id="1046098496">
      <w:marLeft w:val="0"/>
      <w:marRight w:val="0"/>
      <w:marTop w:val="0"/>
      <w:marBottom w:val="0"/>
      <w:divBdr>
        <w:top w:val="none" w:sz="0" w:space="0" w:color="auto"/>
        <w:left w:val="none" w:sz="0" w:space="0" w:color="auto"/>
        <w:bottom w:val="none" w:sz="0" w:space="0" w:color="auto"/>
        <w:right w:val="none" w:sz="0" w:space="0" w:color="auto"/>
      </w:divBdr>
    </w:div>
    <w:div w:id="1046098497">
      <w:marLeft w:val="0"/>
      <w:marRight w:val="0"/>
      <w:marTop w:val="0"/>
      <w:marBottom w:val="0"/>
      <w:divBdr>
        <w:top w:val="none" w:sz="0" w:space="0" w:color="auto"/>
        <w:left w:val="none" w:sz="0" w:space="0" w:color="auto"/>
        <w:bottom w:val="none" w:sz="0" w:space="0" w:color="auto"/>
        <w:right w:val="none" w:sz="0" w:space="0" w:color="auto"/>
      </w:divBdr>
    </w:div>
    <w:div w:id="1046098498">
      <w:marLeft w:val="0"/>
      <w:marRight w:val="0"/>
      <w:marTop w:val="0"/>
      <w:marBottom w:val="0"/>
      <w:divBdr>
        <w:top w:val="none" w:sz="0" w:space="0" w:color="auto"/>
        <w:left w:val="none" w:sz="0" w:space="0" w:color="auto"/>
        <w:bottom w:val="none" w:sz="0" w:space="0" w:color="auto"/>
        <w:right w:val="none" w:sz="0" w:space="0" w:color="auto"/>
      </w:divBdr>
    </w:div>
    <w:div w:id="1046098499">
      <w:marLeft w:val="0"/>
      <w:marRight w:val="0"/>
      <w:marTop w:val="0"/>
      <w:marBottom w:val="0"/>
      <w:divBdr>
        <w:top w:val="none" w:sz="0" w:space="0" w:color="auto"/>
        <w:left w:val="none" w:sz="0" w:space="0" w:color="auto"/>
        <w:bottom w:val="none" w:sz="0" w:space="0" w:color="auto"/>
        <w:right w:val="none" w:sz="0" w:space="0" w:color="auto"/>
      </w:divBdr>
    </w:div>
    <w:div w:id="1046098500">
      <w:marLeft w:val="0"/>
      <w:marRight w:val="0"/>
      <w:marTop w:val="0"/>
      <w:marBottom w:val="0"/>
      <w:divBdr>
        <w:top w:val="none" w:sz="0" w:space="0" w:color="auto"/>
        <w:left w:val="none" w:sz="0" w:space="0" w:color="auto"/>
        <w:bottom w:val="none" w:sz="0" w:space="0" w:color="auto"/>
        <w:right w:val="none" w:sz="0" w:space="0" w:color="auto"/>
      </w:divBdr>
    </w:div>
    <w:div w:id="1046098501">
      <w:marLeft w:val="0"/>
      <w:marRight w:val="0"/>
      <w:marTop w:val="0"/>
      <w:marBottom w:val="0"/>
      <w:divBdr>
        <w:top w:val="none" w:sz="0" w:space="0" w:color="auto"/>
        <w:left w:val="none" w:sz="0" w:space="0" w:color="auto"/>
        <w:bottom w:val="none" w:sz="0" w:space="0" w:color="auto"/>
        <w:right w:val="none" w:sz="0" w:space="0" w:color="auto"/>
      </w:divBdr>
    </w:div>
    <w:div w:id="1046098502">
      <w:marLeft w:val="0"/>
      <w:marRight w:val="0"/>
      <w:marTop w:val="0"/>
      <w:marBottom w:val="0"/>
      <w:divBdr>
        <w:top w:val="none" w:sz="0" w:space="0" w:color="auto"/>
        <w:left w:val="none" w:sz="0" w:space="0" w:color="auto"/>
        <w:bottom w:val="none" w:sz="0" w:space="0" w:color="auto"/>
        <w:right w:val="none" w:sz="0" w:space="0" w:color="auto"/>
      </w:divBdr>
    </w:div>
    <w:div w:id="1046098503">
      <w:marLeft w:val="0"/>
      <w:marRight w:val="0"/>
      <w:marTop w:val="0"/>
      <w:marBottom w:val="0"/>
      <w:divBdr>
        <w:top w:val="none" w:sz="0" w:space="0" w:color="auto"/>
        <w:left w:val="none" w:sz="0" w:space="0" w:color="auto"/>
        <w:bottom w:val="none" w:sz="0" w:space="0" w:color="auto"/>
        <w:right w:val="none" w:sz="0" w:space="0" w:color="auto"/>
      </w:divBdr>
    </w:div>
    <w:div w:id="1046098504">
      <w:marLeft w:val="0"/>
      <w:marRight w:val="0"/>
      <w:marTop w:val="0"/>
      <w:marBottom w:val="0"/>
      <w:divBdr>
        <w:top w:val="none" w:sz="0" w:space="0" w:color="auto"/>
        <w:left w:val="none" w:sz="0" w:space="0" w:color="auto"/>
        <w:bottom w:val="none" w:sz="0" w:space="0" w:color="auto"/>
        <w:right w:val="none" w:sz="0" w:space="0" w:color="auto"/>
      </w:divBdr>
    </w:div>
    <w:div w:id="1046098505">
      <w:marLeft w:val="0"/>
      <w:marRight w:val="0"/>
      <w:marTop w:val="0"/>
      <w:marBottom w:val="0"/>
      <w:divBdr>
        <w:top w:val="none" w:sz="0" w:space="0" w:color="auto"/>
        <w:left w:val="none" w:sz="0" w:space="0" w:color="auto"/>
        <w:bottom w:val="none" w:sz="0" w:space="0" w:color="auto"/>
        <w:right w:val="none" w:sz="0" w:space="0" w:color="auto"/>
      </w:divBdr>
    </w:div>
    <w:div w:id="1046098509">
      <w:marLeft w:val="0"/>
      <w:marRight w:val="0"/>
      <w:marTop w:val="0"/>
      <w:marBottom w:val="0"/>
      <w:divBdr>
        <w:top w:val="none" w:sz="0" w:space="0" w:color="auto"/>
        <w:left w:val="none" w:sz="0" w:space="0" w:color="auto"/>
        <w:bottom w:val="none" w:sz="0" w:space="0" w:color="auto"/>
        <w:right w:val="none" w:sz="0" w:space="0" w:color="auto"/>
      </w:divBdr>
      <w:divsChild>
        <w:div w:id="1046098506">
          <w:marLeft w:val="0"/>
          <w:marRight w:val="0"/>
          <w:marTop w:val="288"/>
          <w:marBottom w:val="0"/>
          <w:divBdr>
            <w:top w:val="none" w:sz="0" w:space="0" w:color="auto"/>
            <w:left w:val="none" w:sz="0" w:space="0" w:color="auto"/>
            <w:bottom w:val="none" w:sz="0" w:space="0" w:color="auto"/>
            <w:right w:val="none" w:sz="0" w:space="0" w:color="auto"/>
          </w:divBdr>
        </w:div>
        <w:div w:id="1046098511">
          <w:marLeft w:val="0"/>
          <w:marRight w:val="0"/>
          <w:marTop w:val="288"/>
          <w:marBottom w:val="0"/>
          <w:divBdr>
            <w:top w:val="none" w:sz="0" w:space="0" w:color="auto"/>
            <w:left w:val="none" w:sz="0" w:space="0" w:color="auto"/>
            <w:bottom w:val="none" w:sz="0" w:space="0" w:color="auto"/>
            <w:right w:val="none" w:sz="0" w:space="0" w:color="auto"/>
          </w:divBdr>
        </w:div>
        <w:div w:id="1046098513">
          <w:marLeft w:val="0"/>
          <w:marRight w:val="0"/>
          <w:marTop w:val="288"/>
          <w:marBottom w:val="0"/>
          <w:divBdr>
            <w:top w:val="none" w:sz="0" w:space="0" w:color="auto"/>
            <w:left w:val="none" w:sz="0" w:space="0" w:color="auto"/>
            <w:bottom w:val="none" w:sz="0" w:space="0" w:color="auto"/>
            <w:right w:val="none" w:sz="0" w:space="0" w:color="auto"/>
          </w:divBdr>
        </w:div>
        <w:div w:id="1046098516">
          <w:marLeft w:val="0"/>
          <w:marRight w:val="0"/>
          <w:marTop w:val="288"/>
          <w:marBottom w:val="0"/>
          <w:divBdr>
            <w:top w:val="none" w:sz="0" w:space="0" w:color="auto"/>
            <w:left w:val="none" w:sz="0" w:space="0" w:color="auto"/>
            <w:bottom w:val="none" w:sz="0" w:space="0" w:color="auto"/>
            <w:right w:val="none" w:sz="0" w:space="0" w:color="auto"/>
          </w:divBdr>
        </w:div>
      </w:divsChild>
    </w:div>
    <w:div w:id="1046098512">
      <w:marLeft w:val="0"/>
      <w:marRight w:val="0"/>
      <w:marTop w:val="0"/>
      <w:marBottom w:val="0"/>
      <w:divBdr>
        <w:top w:val="none" w:sz="0" w:space="0" w:color="auto"/>
        <w:left w:val="none" w:sz="0" w:space="0" w:color="auto"/>
        <w:bottom w:val="none" w:sz="0" w:space="0" w:color="auto"/>
        <w:right w:val="none" w:sz="0" w:space="0" w:color="auto"/>
      </w:divBdr>
    </w:div>
    <w:div w:id="1046098514">
      <w:marLeft w:val="0"/>
      <w:marRight w:val="0"/>
      <w:marTop w:val="0"/>
      <w:marBottom w:val="0"/>
      <w:divBdr>
        <w:top w:val="none" w:sz="0" w:space="0" w:color="auto"/>
        <w:left w:val="none" w:sz="0" w:space="0" w:color="auto"/>
        <w:bottom w:val="none" w:sz="0" w:space="0" w:color="auto"/>
        <w:right w:val="none" w:sz="0" w:space="0" w:color="auto"/>
      </w:divBdr>
    </w:div>
    <w:div w:id="1046098515">
      <w:marLeft w:val="0"/>
      <w:marRight w:val="0"/>
      <w:marTop w:val="0"/>
      <w:marBottom w:val="0"/>
      <w:divBdr>
        <w:top w:val="none" w:sz="0" w:space="0" w:color="auto"/>
        <w:left w:val="none" w:sz="0" w:space="0" w:color="auto"/>
        <w:bottom w:val="none" w:sz="0" w:space="0" w:color="auto"/>
        <w:right w:val="none" w:sz="0" w:space="0" w:color="auto"/>
      </w:divBdr>
      <w:divsChild>
        <w:div w:id="1046098494">
          <w:marLeft w:val="0"/>
          <w:marRight w:val="0"/>
          <w:marTop w:val="288"/>
          <w:marBottom w:val="0"/>
          <w:divBdr>
            <w:top w:val="none" w:sz="0" w:space="0" w:color="auto"/>
            <w:left w:val="none" w:sz="0" w:space="0" w:color="auto"/>
            <w:bottom w:val="none" w:sz="0" w:space="0" w:color="auto"/>
            <w:right w:val="none" w:sz="0" w:space="0" w:color="auto"/>
          </w:divBdr>
        </w:div>
        <w:div w:id="1046098507">
          <w:marLeft w:val="0"/>
          <w:marRight w:val="0"/>
          <w:marTop w:val="288"/>
          <w:marBottom w:val="0"/>
          <w:divBdr>
            <w:top w:val="none" w:sz="0" w:space="0" w:color="auto"/>
            <w:left w:val="none" w:sz="0" w:space="0" w:color="auto"/>
            <w:bottom w:val="none" w:sz="0" w:space="0" w:color="auto"/>
            <w:right w:val="none" w:sz="0" w:space="0" w:color="auto"/>
          </w:divBdr>
        </w:div>
        <w:div w:id="1046098508">
          <w:marLeft w:val="0"/>
          <w:marRight w:val="0"/>
          <w:marTop w:val="288"/>
          <w:marBottom w:val="0"/>
          <w:divBdr>
            <w:top w:val="none" w:sz="0" w:space="0" w:color="auto"/>
            <w:left w:val="none" w:sz="0" w:space="0" w:color="auto"/>
            <w:bottom w:val="none" w:sz="0" w:space="0" w:color="auto"/>
            <w:right w:val="none" w:sz="0" w:space="0" w:color="auto"/>
          </w:divBdr>
        </w:div>
        <w:div w:id="1046098510">
          <w:marLeft w:val="0"/>
          <w:marRight w:val="0"/>
          <w:marTop w:val="288"/>
          <w:marBottom w:val="0"/>
          <w:divBdr>
            <w:top w:val="none" w:sz="0" w:space="0" w:color="auto"/>
            <w:left w:val="none" w:sz="0" w:space="0" w:color="auto"/>
            <w:bottom w:val="none" w:sz="0" w:space="0" w:color="auto"/>
            <w:right w:val="none" w:sz="0" w:space="0" w:color="auto"/>
          </w:divBdr>
        </w:div>
      </w:divsChild>
    </w:div>
    <w:div w:id="1046098517">
      <w:marLeft w:val="0"/>
      <w:marRight w:val="0"/>
      <w:marTop w:val="0"/>
      <w:marBottom w:val="0"/>
      <w:divBdr>
        <w:top w:val="none" w:sz="0" w:space="0" w:color="auto"/>
        <w:left w:val="none" w:sz="0" w:space="0" w:color="auto"/>
        <w:bottom w:val="none" w:sz="0" w:space="0" w:color="auto"/>
        <w:right w:val="none" w:sz="0" w:space="0" w:color="auto"/>
      </w:divBdr>
    </w:div>
    <w:div w:id="1046098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A6B86BDC-F152-4207-B7A0-D2850F769674}">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9e52a15-8fce-43d3-9ff2-f6bd6a140a3c"/>
    <ds:schemaRef ds:uri="http://purl.org/dc/terms/"/>
  </ds:schemaRefs>
</ds:datastoreItem>
</file>

<file path=customXml/itemProps6.xml><?xml version="1.0" encoding="utf-8"?>
<ds:datastoreItem xmlns:ds="http://schemas.openxmlformats.org/officeDocument/2006/customXml" ds:itemID="{810AC42C-DA8B-467F-82C1-8CBB761F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4</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2017-08-02T13:45:00Z</dcterms:created>
  <dcterms:modified xsi:type="dcterms:W3CDTF">2017-08-02T13:45:00Z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